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spacing w:after="260"/>
        <w:rPr>
          <w:color w:val="000000"/>
          <w:sz w:val="32"/>
          <w:szCs w:val="32"/>
          <w:lang w:val="en-US"/>
        </w:rPr>
      </w:pPr>
      <w:bookmarkStart w:id="0" w:name="bookmark88"/>
      <w:bookmarkStart w:id="1" w:name="bookmark90"/>
      <w:bookmarkStart w:id="2" w:name="bookmark89"/>
      <w:r>
        <w:rPr>
          <w:rFonts w:hint="eastAsia"/>
          <w:color w:val="000000"/>
          <w:sz w:val="32"/>
          <w:szCs w:val="32"/>
          <w:lang w:val="en-US"/>
        </w:rPr>
        <w:t>区商务局部门整体支出绩效报告</w:t>
      </w:r>
      <w:bookmarkEnd w:id="0"/>
      <w:bookmarkEnd w:id="1"/>
      <w:bookmarkEnd w:id="2"/>
    </w:p>
    <w:p>
      <w:pPr>
        <w:pStyle w:val="18"/>
        <w:tabs>
          <w:tab w:val="left" w:pos="867"/>
        </w:tabs>
        <w:spacing w:line="360" w:lineRule="auto"/>
        <w:rPr>
          <w:sz w:val="28"/>
          <w:szCs w:val="28"/>
        </w:rPr>
      </w:pPr>
      <w:r>
        <w:rPr>
          <w:rFonts w:hint="eastAsia"/>
          <w:color w:val="000000"/>
          <w:sz w:val="28"/>
          <w:szCs w:val="28"/>
        </w:rPr>
        <w:t>一、部门概况</w:t>
      </w:r>
    </w:p>
    <w:p>
      <w:pPr>
        <w:pStyle w:val="18"/>
        <w:tabs>
          <w:tab w:val="left" w:pos="1113"/>
        </w:tabs>
        <w:spacing w:line="360" w:lineRule="auto"/>
        <w:ind w:firstLine="500"/>
        <w:rPr>
          <w:color w:val="000000"/>
          <w:sz w:val="28"/>
          <w:szCs w:val="28"/>
        </w:rPr>
      </w:pPr>
      <w:bookmarkStart w:id="3" w:name="bookmark92"/>
      <w:r>
        <w:rPr>
          <w:rFonts w:hint="eastAsia"/>
          <w:color w:val="000000"/>
          <w:sz w:val="28"/>
          <w:szCs w:val="28"/>
        </w:rPr>
        <w:t>（</w:t>
      </w:r>
      <w:bookmarkEnd w:id="3"/>
      <w:r>
        <w:rPr>
          <w:rFonts w:hint="eastAsia"/>
          <w:color w:val="000000"/>
          <w:sz w:val="28"/>
          <w:szCs w:val="28"/>
        </w:rPr>
        <w:t>一）部门基本情况</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1.机构设置</w:t>
      </w:r>
    </w:p>
    <w:p>
      <w:pPr>
        <w:spacing w:line="590" w:lineRule="exact"/>
        <w:ind w:firstLine="66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bidi="zh-CN"/>
        </w:rPr>
        <w:t>区商务局在职人员共计</w:t>
      </w:r>
      <w:r>
        <w:rPr>
          <w:rFonts w:hint="eastAsia" w:ascii="宋体" w:hAnsi="宋体" w:cs="宋体"/>
          <w:color w:val="000000"/>
          <w:sz w:val="28"/>
          <w:szCs w:val="28"/>
          <w:lang w:bidi="zh-CN"/>
        </w:rPr>
        <w:t>12人，</w:t>
      </w:r>
      <w:bookmarkStart w:id="9" w:name="_GoBack"/>
      <w:r>
        <w:rPr>
          <w:rFonts w:hint="eastAsia" w:ascii="宋体" w:hAnsi="宋体" w:cs="宋体"/>
          <w:color w:val="000000"/>
          <w:sz w:val="28"/>
          <w:szCs w:val="28"/>
          <w:lang w:val="zh-CN" w:bidi="zh-CN"/>
        </w:rPr>
        <w:t>办公室、</w:t>
      </w:r>
      <w:r>
        <w:rPr>
          <w:rFonts w:hint="eastAsia" w:ascii="宋体" w:hAnsi="宋体" w:cs="宋体"/>
          <w:color w:val="000000"/>
          <w:sz w:val="28"/>
          <w:szCs w:val="28"/>
          <w:lang w:val="en-US" w:eastAsia="zh-CN" w:bidi="zh-CN"/>
        </w:rPr>
        <w:t>商贸</w:t>
      </w:r>
      <w:r>
        <w:rPr>
          <w:rFonts w:hint="eastAsia" w:ascii="宋体" w:hAnsi="宋体" w:cs="宋体"/>
          <w:color w:val="000000"/>
          <w:sz w:val="28"/>
          <w:szCs w:val="28"/>
          <w:lang w:val="zh-CN" w:bidi="zh-CN"/>
        </w:rPr>
        <w:t>股、</w:t>
      </w:r>
      <w:r>
        <w:rPr>
          <w:rFonts w:hint="eastAsia" w:ascii="宋体" w:hAnsi="宋体" w:cs="宋体"/>
          <w:color w:val="000000"/>
          <w:sz w:val="28"/>
          <w:szCs w:val="28"/>
          <w:lang w:val="en-US" w:eastAsia="zh-CN" w:bidi="zh-CN"/>
        </w:rPr>
        <w:t>招商</w:t>
      </w:r>
      <w:r>
        <w:rPr>
          <w:rFonts w:hint="eastAsia" w:ascii="宋体" w:hAnsi="宋体" w:cs="宋体"/>
          <w:color w:val="000000"/>
          <w:sz w:val="28"/>
          <w:szCs w:val="28"/>
          <w:lang w:val="zh-CN" w:bidi="zh-CN"/>
        </w:rPr>
        <w:t>股、</w:t>
      </w:r>
      <w:r>
        <w:rPr>
          <w:rFonts w:hint="eastAsia" w:ascii="宋体" w:hAnsi="宋体" w:cs="宋体"/>
          <w:color w:val="000000"/>
          <w:sz w:val="28"/>
          <w:szCs w:val="28"/>
          <w:lang w:val="en-US" w:eastAsia="zh-CN" w:bidi="zh-CN"/>
        </w:rPr>
        <w:t>旅游</w:t>
      </w:r>
      <w:r>
        <w:rPr>
          <w:rFonts w:hint="eastAsia" w:ascii="宋体" w:hAnsi="宋体" w:cs="宋体"/>
          <w:color w:val="000000"/>
          <w:sz w:val="28"/>
          <w:szCs w:val="28"/>
          <w:lang w:val="zh-CN" w:bidi="zh-CN"/>
        </w:rPr>
        <w:t>股</w:t>
      </w:r>
      <w:r>
        <w:rPr>
          <w:rFonts w:hint="eastAsia" w:ascii="宋体" w:hAnsi="宋体" w:cs="宋体"/>
          <w:color w:val="000000"/>
          <w:sz w:val="28"/>
          <w:szCs w:val="28"/>
          <w:lang w:val="zh-CN" w:eastAsia="zh-CN" w:bidi="zh-CN"/>
        </w:rPr>
        <w:t>。</w:t>
      </w:r>
    </w:p>
    <w:bookmarkEnd w:id="9"/>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2.职能职责</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一）贯彻执行有关国内外贸易、国际经济合作、区域经济合作宏观调控的发展战略、政策，拟订全区国内外贸易、招商引资、承接产业转移、对外援助、对外投资、对外经济合作和商贸流通业的中长期规划、政策措施和实施办法，研究提出经济全球化、区域经济合作、现代流通方式的发展趋势和流通体制改革的建议。</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二）推进流通产业结构调整，指导流通企业改革，促进商贸服务业、社区商业发展，研究提出促进商贸中小企业发展的政策建议，推动流通标准化和连锁经营、商业特许经营、物流配送、电子商务等现代流通方式的发展。</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三）拟订全区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（四）推动商务领域信用建设，指导商业信用销售；按有关规定对特殊流通行业进行监督管理。</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权限对成品油流通进行监督管理。</w:t>
      </w:r>
    </w:p>
    <w:p>
      <w:pPr>
        <w:spacing w:line="590" w:lineRule="exact"/>
        <w:ind w:firstLine="66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bidi="zh-CN"/>
        </w:rPr>
        <w:t>（六）</w:t>
      </w:r>
      <w:r>
        <w:rPr>
          <w:rFonts w:hint="eastAsia" w:ascii="宋体" w:hAnsi="宋体" w:cs="宋体"/>
          <w:color w:val="000000"/>
          <w:sz w:val="28"/>
          <w:szCs w:val="28"/>
          <w:lang w:val="zh-CN" w:eastAsia="zh-CN" w:bidi="zh-CN"/>
        </w:rPr>
        <w:t xml:space="preserve">负责组织参与商务部、省政府、市政府、区政府举办的内外贸易促销活动和招商引资、对外经济技术合作活动；负责组织、指导、协调以珠晖区名义在境内外举办的各种内外贸易交易会、展览会、展销会和招商引资等商务活动。 </w:t>
      </w:r>
    </w:p>
    <w:p>
      <w:pPr>
        <w:spacing w:line="590" w:lineRule="exact"/>
        <w:ind w:firstLine="66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（七）负责全区对外经济合作工作，拟订并组织实施全区外经济合作的政策措施和管理办法；指导对外承包工程、对外劳务合作等对外经济合作业务；负责牵头外派劳务和境外就业人员的权益保护工作。</w:t>
      </w:r>
    </w:p>
    <w:p>
      <w:pPr>
        <w:spacing w:line="590" w:lineRule="exact"/>
        <w:ind w:firstLine="66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（八）承担全区商务系统统计及其信息发布工作，提供信息咨询服务，指导全区流通领域（商场、超市、专业市场、批发市场、农贸市场除外）信息网络和电子商务建设。</w:t>
      </w:r>
    </w:p>
    <w:p>
      <w:pPr>
        <w:spacing w:line="590" w:lineRule="exact"/>
        <w:ind w:firstLine="66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（九）负责对区内成品油系统的安全生产工作实施监督管理。</w:t>
      </w:r>
    </w:p>
    <w:p>
      <w:pPr>
        <w:spacing w:line="590" w:lineRule="exact"/>
        <w:ind w:firstLine="66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十）拟订全区旅游业发展战略，组织、指导全区重要旅游产品的开发，促进和引导旅游业利用外资和社会投资工作；拟订全区国际旅游市场开发战略，组织全区旅游形象的对外宣传和重大推广活动；培育、完善和开拓国内旅游市场，拟订我区开拓旅游市场的措施并指导实施。组织全区旅游资源的普查、规划、开发和相关保护工作；指导协调旅游区的规划编制和开发建设，引导休闲度假。</w:t>
      </w:r>
    </w:p>
    <w:p>
      <w:pPr>
        <w:spacing w:line="590" w:lineRule="exact"/>
        <w:ind w:firstLine="66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十一）承担规范旅游市场秩序、监督管理服务质量、维护旅游消费者和经营者合法权益的责任；规范旅游企业和从业人员的经营和服务行为；组织实施国家、省、市确定的各类旅游区（点）、旅游设施、旅游服务、旅游产品等方面的等级和标准；在法律法规和国家旅游局、省旅游局、市旅游局规定和授权范围内，组织实施旅游饭店、旅行社等的星级标准和星级评定、推荐与复核工作；负责全区旅游安全的综合协调和监督管理，指导应急救援；指导旅游行业精神文明和诚信体系建设。</w:t>
      </w:r>
    </w:p>
    <w:p>
      <w:pPr>
        <w:spacing w:line="590" w:lineRule="exact"/>
        <w:ind w:firstLine="660"/>
        <w:rPr>
          <w:rFonts w:hint="eastAsia" w:ascii="宋体" w:hAnsi="宋体" w:cs="宋体"/>
          <w:color w:val="000000"/>
          <w:sz w:val="28"/>
          <w:szCs w:val="28"/>
          <w:lang w:val="zh-CN" w:eastAsia="zh-CN" w:bidi="zh-CN"/>
        </w:rPr>
      </w:pPr>
      <w:r>
        <w:rPr>
          <w:rFonts w:hint="eastAsia" w:ascii="宋体" w:hAnsi="宋体" w:cs="宋体"/>
          <w:color w:val="000000"/>
          <w:sz w:val="28"/>
          <w:szCs w:val="28"/>
          <w:lang w:val="zh-CN" w:eastAsia="zh-CN" w:bidi="zh-CN"/>
        </w:rPr>
        <w:t>（十二）组织实施出国旅游、赴港澳台旅游及边境旅游的政策规定；指导全区旅游对外交流与合作。</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eastAsia="zh-CN" w:bidi="zh-CN"/>
        </w:rPr>
        <w:t>（十三）承办区人民政府交办的其他事项。</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（十</w:t>
      </w:r>
      <w:r>
        <w:rPr>
          <w:rFonts w:hint="eastAsia" w:ascii="宋体" w:hAnsi="宋体" w:cs="宋体"/>
          <w:color w:val="000000"/>
          <w:sz w:val="28"/>
          <w:szCs w:val="28"/>
          <w:lang w:val="zh-CN" w:eastAsia="zh-CN" w:bidi="zh-CN"/>
        </w:rPr>
        <w:t>四</w:t>
      </w:r>
      <w:r>
        <w:rPr>
          <w:rFonts w:hint="eastAsia" w:ascii="宋体" w:hAnsi="宋体" w:cs="宋体"/>
          <w:color w:val="000000"/>
          <w:sz w:val="28"/>
          <w:szCs w:val="28"/>
          <w:lang w:val="zh-CN" w:bidi="zh-CN"/>
        </w:rPr>
        <w:t>）完成区委、区政府交办的其他任务。</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3.重点工作计划</w:t>
      </w:r>
    </w:p>
    <w:p>
      <w:pPr>
        <w:spacing w:line="580" w:lineRule="exact"/>
        <w:ind w:firstLine="560" w:firstLineChars="200"/>
        <w:rPr>
          <w:rFonts w:cs="宋体"/>
          <w:color w:val="000000"/>
          <w:sz w:val="28"/>
          <w:szCs w:val="28"/>
        </w:rPr>
      </w:pPr>
      <w:r>
        <w:rPr>
          <w:rFonts w:hint="eastAsia" w:ascii="宋体" w:hAnsi="宋体" w:cs="宋体"/>
          <w:color w:val="000000"/>
          <w:sz w:val="28"/>
          <w:szCs w:val="28"/>
          <w:lang w:val="zh-CN" w:bidi="zh-CN"/>
        </w:rPr>
        <w:t>（一）贯彻执行有关国内外贸易、国际经济合作、区域经济合作的发展战略、政策，拟订全区国内外贸易、招商引资、承接产业转移、对外援助、对外投资和对外经济合作的中长期规划、政策措施和实施办法</w:t>
      </w:r>
      <w:r>
        <w:rPr>
          <w:rFonts w:hint="eastAsia" w:ascii="宋体" w:hAnsi="宋体" w:cs="宋体"/>
          <w:color w:val="000000"/>
          <w:sz w:val="28"/>
          <w:szCs w:val="28"/>
        </w:rPr>
        <w:t>；</w:t>
      </w:r>
      <w:r>
        <w:rPr>
          <w:rFonts w:hint="eastAsia" w:cs="宋体"/>
          <w:color w:val="000000"/>
          <w:sz w:val="28"/>
          <w:szCs w:val="28"/>
        </w:rPr>
        <w:t>承担全区招商引资和承接产业转移工作，</w:t>
      </w:r>
    </w:p>
    <w:p>
      <w:pPr>
        <w:spacing w:line="580" w:lineRule="exact"/>
        <w:ind w:firstLine="560" w:firstLineChars="200"/>
        <w:rPr>
          <w:rFonts w:cs="宋体"/>
          <w:color w:val="000000"/>
          <w:sz w:val="28"/>
          <w:szCs w:val="28"/>
        </w:rPr>
      </w:pPr>
      <w:r>
        <w:rPr>
          <w:rFonts w:hint="eastAsia" w:cs="宋体"/>
          <w:color w:val="000000"/>
          <w:sz w:val="28"/>
          <w:szCs w:val="28"/>
        </w:rPr>
        <w:t>（二）拟订并组织实施招商引资和承接产业转移政策；承担全区商务系统统计及其信息发布工作，提供信息咨询服务，指导全区流通领域（商场、超市、专业市场、批发市场、农贸市场除外）信息网络和电子商务建设</w:t>
      </w:r>
    </w:p>
    <w:p>
      <w:pPr>
        <w:spacing w:line="580" w:lineRule="exact"/>
        <w:ind w:firstLine="560" w:firstLineChars="200"/>
        <w:rPr>
          <w:rFonts w:ascii="宋体" w:hAnsi="宋体" w:cs="宋体"/>
          <w:color w:val="000000"/>
          <w:sz w:val="28"/>
          <w:szCs w:val="28"/>
        </w:rPr>
      </w:pPr>
      <w:r>
        <w:rPr>
          <w:rFonts w:hint="eastAsia" w:cs="宋体"/>
          <w:color w:val="000000"/>
          <w:sz w:val="28"/>
          <w:szCs w:val="28"/>
        </w:rPr>
        <w:t>（三）负责对区内成品油系统的安全生产工作实施监督管理；指导区投资事务促进服务中心和区江东综合批发市场服务中心开展相关工作。</w:t>
      </w:r>
    </w:p>
    <w:p>
      <w:pPr>
        <w:pStyle w:val="18"/>
        <w:tabs>
          <w:tab w:val="left" w:pos="867"/>
        </w:tabs>
        <w:spacing w:line="360" w:lineRule="auto"/>
        <w:rPr>
          <w:sz w:val="28"/>
          <w:szCs w:val="28"/>
        </w:rPr>
      </w:pPr>
      <w:bookmarkStart w:id="4" w:name="bookmark94"/>
      <w:r>
        <w:rPr>
          <w:rFonts w:hint="eastAsia"/>
          <w:color w:val="000000"/>
          <w:sz w:val="28"/>
          <w:szCs w:val="28"/>
        </w:rPr>
        <w:t>二</w:t>
      </w:r>
      <w:bookmarkEnd w:id="4"/>
      <w:r>
        <w:rPr>
          <w:rFonts w:hint="eastAsia"/>
          <w:color w:val="000000"/>
          <w:sz w:val="28"/>
          <w:szCs w:val="28"/>
        </w:rPr>
        <w:t>、部门整体支出管理及使用情况</w:t>
      </w:r>
    </w:p>
    <w:p>
      <w:pPr>
        <w:pStyle w:val="18"/>
        <w:tabs>
          <w:tab w:val="left" w:pos="1111"/>
        </w:tabs>
        <w:spacing w:line="360" w:lineRule="auto"/>
        <w:ind w:firstLine="500"/>
        <w:jc w:val="left"/>
        <w:rPr>
          <w:sz w:val="28"/>
          <w:szCs w:val="28"/>
        </w:rPr>
      </w:pPr>
      <w:bookmarkStart w:id="5" w:name="bookmark95"/>
      <w:r>
        <w:rPr>
          <w:rFonts w:hint="eastAsia"/>
          <w:color w:val="000000"/>
          <w:sz w:val="28"/>
          <w:szCs w:val="28"/>
        </w:rPr>
        <w:t>（</w:t>
      </w:r>
      <w:bookmarkEnd w:id="5"/>
      <w:r>
        <w:rPr>
          <w:rFonts w:hint="eastAsia"/>
          <w:color w:val="000000"/>
          <w:sz w:val="28"/>
          <w:szCs w:val="28"/>
        </w:rPr>
        <w:t>一）基本支出</w:t>
      </w:r>
    </w:p>
    <w:p>
      <w:pPr>
        <w:spacing w:line="560" w:lineRule="exact"/>
        <w:ind w:firstLine="645"/>
        <w:rPr>
          <w:rFonts w:ascii="宋体" w:hAnsi="宋体" w:cs="宋体"/>
          <w:color w:val="000000"/>
          <w:sz w:val="28"/>
          <w:szCs w:val="28"/>
          <w:lang w:bidi="zh-CN"/>
        </w:rPr>
      </w:pPr>
      <w:r>
        <w:rPr>
          <w:rFonts w:hint="eastAsia" w:ascii="宋体" w:hAnsi="宋体" w:cs="宋体"/>
          <w:color w:val="000000"/>
          <w:sz w:val="28"/>
          <w:szCs w:val="28"/>
          <w:lang w:bidi="zh-CN"/>
        </w:rPr>
        <w:t>主要是工资福利支出、对个人家庭的补助、商品和服务支出中公用经费支出。</w:t>
      </w:r>
      <w:r>
        <w:rPr>
          <w:rFonts w:ascii="宋体" w:hAnsi="宋体" w:cs="宋体"/>
          <w:color w:val="000000"/>
          <w:sz w:val="28"/>
          <w:szCs w:val="28"/>
          <w:lang w:bidi="zh-CN"/>
        </w:rPr>
        <w:t>2018年度基本支出264.39万元，其中人员经费支出199.71万元，用于基本工资、津补贴、考核绩效工资、奖金发放、社会保障缴费、职业年金缴费等支出；公用支出63.97万元，主要用于办公费、工会经费</w:t>
      </w:r>
      <w:r>
        <w:rPr>
          <w:rFonts w:hint="eastAsia" w:ascii="宋体" w:hAnsi="宋体" w:cs="宋体"/>
          <w:color w:val="000000"/>
          <w:sz w:val="28"/>
          <w:szCs w:val="28"/>
          <w:lang w:bidi="zh-CN"/>
        </w:rPr>
        <w:t>、水、电费、维（护）费、</w:t>
      </w:r>
      <w:r>
        <w:rPr>
          <w:rFonts w:ascii="宋体" w:hAnsi="宋体" w:cs="宋体"/>
          <w:color w:val="000000"/>
          <w:sz w:val="28"/>
          <w:szCs w:val="28"/>
          <w:lang w:bidi="zh-CN"/>
        </w:rPr>
        <w:t>等</w:t>
      </w:r>
      <w:r>
        <w:rPr>
          <w:rFonts w:hint="eastAsia" w:ascii="宋体" w:hAnsi="宋体" w:cs="宋体"/>
          <w:color w:val="000000"/>
          <w:sz w:val="28"/>
          <w:szCs w:val="28"/>
          <w:lang w:bidi="zh-CN"/>
        </w:rPr>
        <w:t>日常</w:t>
      </w:r>
      <w:r>
        <w:rPr>
          <w:rFonts w:ascii="宋体" w:hAnsi="宋体" w:cs="宋体"/>
          <w:color w:val="000000"/>
          <w:sz w:val="28"/>
          <w:szCs w:val="28"/>
          <w:lang w:bidi="zh-CN"/>
        </w:rPr>
        <w:t>方面支出</w:t>
      </w:r>
      <w:r>
        <w:rPr>
          <w:rFonts w:hint="eastAsia" w:ascii="宋体" w:hAnsi="宋体" w:cs="宋体"/>
          <w:color w:val="000000"/>
          <w:sz w:val="28"/>
          <w:szCs w:val="28"/>
          <w:lang w:bidi="zh-CN"/>
        </w:rPr>
        <w:t>；资本性支出</w:t>
      </w:r>
      <w:r>
        <w:rPr>
          <w:rFonts w:ascii="宋体" w:hAnsi="宋体" w:cs="宋体"/>
          <w:color w:val="000000"/>
          <w:sz w:val="28"/>
          <w:szCs w:val="28"/>
          <w:lang w:bidi="zh-CN"/>
        </w:rPr>
        <w:t>0.7万元，用于</w:t>
      </w:r>
      <w:r>
        <w:rPr>
          <w:rFonts w:hint="eastAsia" w:ascii="宋体" w:hAnsi="宋体" w:cs="宋体"/>
          <w:color w:val="000000"/>
          <w:sz w:val="28"/>
          <w:szCs w:val="28"/>
          <w:lang w:bidi="zh-CN"/>
        </w:rPr>
        <w:t>办公设备购置。</w:t>
      </w:r>
    </w:p>
    <w:p>
      <w:pPr>
        <w:spacing w:line="590" w:lineRule="exact"/>
        <w:ind w:firstLine="660"/>
        <w:rPr>
          <w:rFonts w:ascii="宋体" w:hAnsi="宋体" w:cs="宋体"/>
          <w:color w:val="000000"/>
          <w:sz w:val="28"/>
          <w:szCs w:val="28"/>
        </w:rPr>
      </w:pPr>
      <w:r>
        <w:rPr>
          <w:rFonts w:hint="eastAsia" w:ascii="宋体" w:hAnsi="宋体" w:cs="宋体"/>
          <w:color w:val="000000"/>
          <w:sz w:val="28"/>
          <w:szCs w:val="28"/>
          <w:lang w:bidi="zh-CN"/>
        </w:rPr>
        <w:t>2018年“三公”经费支出为</w:t>
      </w:r>
      <w:r>
        <w:rPr>
          <w:rFonts w:ascii="宋体" w:hAnsi="宋体" w:cs="宋体"/>
          <w:color w:val="000000"/>
          <w:sz w:val="28"/>
          <w:szCs w:val="28"/>
          <w:lang w:bidi="zh-CN"/>
        </w:rPr>
        <w:t>19.73</w:t>
      </w:r>
      <w:r>
        <w:rPr>
          <w:rFonts w:hint="eastAsia" w:ascii="宋体" w:hAnsi="宋体" w:cs="宋体"/>
          <w:color w:val="000000"/>
          <w:sz w:val="28"/>
          <w:szCs w:val="28"/>
          <w:lang w:bidi="zh-CN"/>
        </w:rPr>
        <w:t>万元，为认真贯彻落实中央“八项规定”精神和厉行节约、反对铺张浪费要求，严格控制“三公”经费开支。</w:t>
      </w:r>
    </w:p>
    <w:p>
      <w:pPr>
        <w:pStyle w:val="18"/>
        <w:tabs>
          <w:tab w:val="left" w:pos="1111"/>
        </w:tabs>
        <w:spacing w:line="360" w:lineRule="auto"/>
        <w:ind w:firstLine="500"/>
        <w:jc w:val="left"/>
        <w:rPr>
          <w:sz w:val="28"/>
          <w:szCs w:val="28"/>
        </w:rPr>
      </w:pPr>
      <w:bookmarkStart w:id="6" w:name="bookmark96"/>
      <w:r>
        <w:rPr>
          <w:rFonts w:hint="eastAsia"/>
          <w:color w:val="000000"/>
          <w:sz w:val="28"/>
          <w:szCs w:val="28"/>
        </w:rPr>
        <w:t>（</w:t>
      </w:r>
      <w:bookmarkEnd w:id="6"/>
      <w:r>
        <w:rPr>
          <w:rFonts w:hint="eastAsia"/>
          <w:color w:val="000000"/>
          <w:sz w:val="28"/>
          <w:szCs w:val="28"/>
        </w:rPr>
        <w:t>二）项目支出</w:t>
      </w:r>
    </w:p>
    <w:p>
      <w:pPr>
        <w:pStyle w:val="18"/>
        <w:tabs>
          <w:tab w:val="left" w:pos="765"/>
        </w:tabs>
        <w:spacing w:line="360" w:lineRule="auto"/>
        <w:rPr>
          <w:sz w:val="28"/>
          <w:szCs w:val="28"/>
          <w:lang w:val="en-US" w:bidi="ar-SA"/>
        </w:rPr>
      </w:pPr>
      <w:r>
        <w:rPr>
          <w:rFonts w:hint="eastAsia"/>
          <w:color w:val="000000"/>
          <w:sz w:val="28"/>
          <w:szCs w:val="28"/>
          <w:lang w:val="en-US"/>
        </w:rPr>
        <w:t>主要是指单位为完成特定行政工作任务或事业发展目标而发生的支出，</w:t>
      </w:r>
      <w:r>
        <w:rPr>
          <w:color w:val="000000"/>
          <w:sz w:val="28"/>
          <w:szCs w:val="28"/>
          <w:lang w:val="en-US"/>
        </w:rPr>
        <w:t>2018年度</w:t>
      </w:r>
      <w:r>
        <w:rPr>
          <w:rFonts w:hint="eastAsia"/>
          <w:color w:val="000000"/>
          <w:sz w:val="28"/>
          <w:szCs w:val="28"/>
          <w:lang w:val="en-US"/>
        </w:rPr>
        <w:t>项目</w:t>
      </w:r>
      <w:r>
        <w:rPr>
          <w:color w:val="000000"/>
          <w:sz w:val="28"/>
          <w:szCs w:val="28"/>
          <w:lang w:val="en-US"/>
        </w:rPr>
        <w:t>支出188.84万元</w:t>
      </w:r>
      <w:r>
        <w:rPr>
          <w:rFonts w:hint="eastAsia"/>
          <w:color w:val="000000"/>
          <w:sz w:val="28"/>
          <w:szCs w:val="28"/>
          <w:lang w:val="en-US"/>
        </w:rPr>
        <w:t>，用于</w:t>
      </w:r>
      <w:r>
        <w:rPr>
          <w:rFonts w:hint="eastAsia"/>
          <w:sz w:val="28"/>
          <w:szCs w:val="28"/>
          <w:lang w:val="en-US" w:bidi="ar-SA"/>
        </w:rPr>
        <w:t>江东市场维护工作经费</w:t>
      </w:r>
      <w:bookmarkStart w:id="7" w:name="bookmark98"/>
    </w:p>
    <w:bookmarkEnd w:id="7"/>
    <w:p>
      <w:pPr>
        <w:pStyle w:val="18"/>
        <w:tabs>
          <w:tab w:val="left" w:pos="876"/>
        </w:tabs>
        <w:spacing w:line="360" w:lineRule="auto"/>
        <w:ind w:firstLine="420"/>
        <w:rPr>
          <w:sz w:val="28"/>
          <w:szCs w:val="28"/>
        </w:rPr>
      </w:pPr>
      <w:r>
        <w:rPr>
          <w:rFonts w:hint="eastAsia"/>
          <w:color w:val="000000"/>
          <w:sz w:val="28"/>
          <w:szCs w:val="28"/>
        </w:rPr>
        <w:t>三、资产管理情况</w:t>
      </w:r>
    </w:p>
    <w:p>
      <w:pPr>
        <w:widowControl/>
        <w:spacing w:line="560" w:lineRule="exact"/>
        <w:ind w:firstLine="548" w:firstLineChars="196"/>
        <w:jc w:val="left"/>
        <w:rPr>
          <w:rFonts w:ascii="宋体" w:hAnsi="宋体" w:cs="宋体"/>
          <w:color w:val="000000"/>
          <w:sz w:val="28"/>
          <w:szCs w:val="28"/>
          <w:lang w:bidi="zh-CN"/>
        </w:rPr>
      </w:pPr>
      <w:bookmarkStart w:id="8" w:name="bookmark102"/>
      <w:r>
        <w:rPr>
          <w:rFonts w:hint="eastAsia" w:ascii="宋体" w:hAnsi="宋体" w:cs="宋体"/>
          <w:color w:val="000000"/>
          <w:sz w:val="28"/>
          <w:szCs w:val="28"/>
          <w:lang w:bidi="zh-CN"/>
        </w:rPr>
        <w:t>国有资产占用使用及新增资产配置情况：截至 2018年 12 月底，国有资产15.26万，为通用设备及家具、用具、装具及动植物。</w:t>
      </w:r>
    </w:p>
    <w:p>
      <w:pPr>
        <w:pStyle w:val="18"/>
        <w:tabs>
          <w:tab w:val="left" w:pos="886"/>
        </w:tabs>
        <w:spacing w:line="360" w:lineRule="auto"/>
        <w:ind w:firstLine="420"/>
        <w:rPr>
          <w:sz w:val="28"/>
          <w:szCs w:val="28"/>
        </w:rPr>
      </w:pPr>
      <w:r>
        <w:rPr>
          <w:rFonts w:hint="eastAsia"/>
          <w:color w:val="000000"/>
          <w:sz w:val="28"/>
          <w:szCs w:val="28"/>
        </w:rPr>
        <w:t>五</w:t>
      </w:r>
      <w:bookmarkEnd w:id="8"/>
      <w:r>
        <w:rPr>
          <w:rFonts w:hint="eastAsia"/>
          <w:color w:val="000000"/>
          <w:sz w:val="28"/>
          <w:szCs w:val="28"/>
        </w:rPr>
        <w:t>、部门整体支出绩效情况</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部门整体支出的经济性，本年预算支出总额控制在预算总额内。</w:t>
      </w:r>
    </w:p>
    <w:p>
      <w:pPr>
        <w:spacing w:line="590" w:lineRule="exact"/>
        <w:ind w:firstLine="560" w:firstLineChars="200"/>
        <w:rPr>
          <w:rFonts w:ascii="宋体" w:hAnsi="宋体" w:cs="宋体"/>
          <w:color w:val="000000"/>
          <w:sz w:val="28"/>
          <w:szCs w:val="28"/>
          <w:lang w:bidi="zh-CN"/>
        </w:rPr>
      </w:pPr>
      <w:r>
        <w:rPr>
          <w:rFonts w:hint="eastAsia" w:ascii="宋体" w:hAnsi="宋体" w:cs="宋体"/>
          <w:color w:val="000000"/>
          <w:sz w:val="28"/>
          <w:szCs w:val="28"/>
          <w:lang w:bidi="zh-CN"/>
        </w:rPr>
        <w:t>部门整体支出的效率性，本年度各项工作、专项完成进度正常，完成质量高。</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部门整体支出的有效性，贯彻执行国家、省、市商务工作的方针、政策和法律法规；完成上级安排的商务各项工作目标，推动全区商务事业快速发展。</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部门整体支出的可持续性，基本满足工作要求，逐步提高服务水平，增加人民的满意度。</w:t>
      </w:r>
    </w:p>
    <w:p>
      <w:pPr>
        <w:numPr>
          <w:ilvl w:val="0"/>
          <w:numId w:val="1"/>
        </w:numPr>
        <w:spacing w:line="590" w:lineRule="exact"/>
        <w:ind w:firstLine="560" w:firstLineChars="200"/>
        <w:rPr>
          <w:rFonts w:ascii="宋体" w:hAnsi="宋体" w:cs="宋体"/>
          <w:color w:val="000000"/>
          <w:sz w:val="28"/>
          <w:szCs w:val="28"/>
          <w:lang w:bidi="zh-CN"/>
        </w:rPr>
      </w:pPr>
      <w:r>
        <w:rPr>
          <w:rFonts w:hint="eastAsia" w:ascii="宋体" w:hAnsi="宋体" w:cs="宋体"/>
          <w:color w:val="000000"/>
          <w:sz w:val="28"/>
          <w:szCs w:val="28"/>
          <w:lang w:bidi="zh-CN"/>
        </w:rPr>
        <w:t>改进措施和有关建议</w:t>
      </w:r>
    </w:p>
    <w:p>
      <w:pPr>
        <w:spacing w:line="590" w:lineRule="exact"/>
        <w:ind w:firstLine="660"/>
        <w:rPr>
          <w:rFonts w:ascii="宋体" w:hAnsi="宋体" w:cs="宋体"/>
          <w:sz w:val="28"/>
          <w:szCs w:val="28"/>
        </w:rPr>
      </w:pPr>
      <w:r>
        <w:rPr>
          <w:rFonts w:hint="eastAsia" w:ascii="宋体" w:hAnsi="宋体" w:cs="宋体"/>
          <w:color w:val="000000"/>
          <w:sz w:val="28"/>
          <w:szCs w:val="28"/>
          <w:lang w:val="zh-CN" w:bidi="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1027"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4wtzDYAAAADQEAAA8AAAAAAAAAAQAgAAAAIgAAAGRycy9kb3du&#10;cmV2LnhtbFBLAQIUABQAAAAIAIdO4kBhv3MujQEAACMDAAAOAAAAAAAAAAEAIAAAACcBAABkcnMv&#10;ZTJvRG9jLnhtbFBLBQYAAAAABgAGAFkBAAAmBQAAAAA=&#10;">
          <v:path/>
          <v:fill on="f" focussize="0,0"/>
          <v:stroke on="f" joinstyle="miter"/>
          <v:imagedata o:title=""/>
          <o:lock v:ext="edit"/>
          <v:textbox inset="0mm,0mm,0mm,0mm" style="mso-fit-shape-to-text:t;">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D18C5"/>
    <w:multiLevelType w:val="singleLevel"/>
    <w:tmpl w:val="A5CD18C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160BD0"/>
    <w:rsid w:val="00225E73"/>
    <w:rsid w:val="00230F1B"/>
    <w:rsid w:val="00251D0B"/>
    <w:rsid w:val="002902E6"/>
    <w:rsid w:val="002D14A8"/>
    <w:rsid w:val="003C46AF"/>
    <w:rsid w:val="003F77EF"/>
    <w:rsid w:val="00455E1B"/>
    <w:rsid w:val="004D64CA"/>
    <w:rsid w:val="00535FDB"/>
    <w:rsid w:val="0053729E"/>
    <w:rsid w:val="005547EF"/>
    <w:rsid w:val="00693623"/>
    <w:rsid w:val="007419C3"/>
    <w:rsid w:val="00851F67"/>
    <w:rsid w:val="00874DB9"/>
    <w:rsid w:val="00877331"/>
    <w:rsid w:val="008B28E0"/>
    <w:rsid w:val="009072EF"/>
    <w:rsid w:val="00914AB3"/>
    <w:rsid w:val="00924FC0"/>
    <w:rsid w:val="00A06C9C"/>
    <w:rsid w:val="00A20BC7"/>
    <w:rsid w:val="00A43ABB"/>
    <w:rsid w:val="00C339A6"/>
    <w:rsid w:val="00C50694"/>
    <w:rsid w:val="00D9723F"/>
    <w:rsid w:val="00DC0E0B"/>
    <w:rsid w:val="00E15FCC"/>
    <w:rsid w:val="00E6776C"/>
    <w:rsid w:val="00E72009"/>
    <w:rsid w:val="00ED51D3"/>
    <w:rsid w:val="00EF5A9E"/>
    <w:rsid w:val="00F321FC"/>
    <w:rsid w:val="00F73F0C"/>
    <w:rsid w:val="00FB7CB9"/>
    <w:rsid w:val="01CF307A"/>
    <w:rsid w:val="02312FDE"/>
    <w:rsid w:val="030A3C3B"/>
    <w:rsid w:val="03737E75"/>
    <w:rsid w:val="04953461"/>
    <w:rsid w:val="05D961AC"/>
    <w:rsid w:val="071F2805"/>
    <w:rsid w:val="07853A0B"/>
    <w:rsid w:val="0BB81BC8"/>
    <w:rsid w:val="0C505A2A"/>
    <w:rsid w:val="0D4E4030"/>
    <w:rsid w:val="0F3C6536"/>
    <w:rsid w:val="10400247"/>
    <w:rsid w:val="1085426C"/>
    <w:rsid w:val="111D7620"/>
    <w:rsid w:val="142B3C43"/>
    <w:rsid w:val="14A65964"/>
    <w:rsid w:val="15224E9F"/>
    <w:rsid w:val="18041186"/>
    <w:rsid w:val="1810076A"/>
    <w:rsid w:val="1A9E7B12"/>
    <w:rsid w:val="1AFF4480"/>
    <w:rsid w:val="1B9762D5"/>
    <w:rsid w:val="1C290127"/>
    <w:rsid w:val="1CB55F50"/>
    <w:rsid w:val="1D277482"/>
    <w:rsid w:val="1E2E2E1E"/>
    <w:rsid w:val="1F6E185C"/>
    <w:rsid w:val="1F7E147F"/>
    <w:rsid w:val="205265F0"/>
    <w:rsid w:val="205438DB"/>
    <w:rsid w:val="236639AE"/>
    <w:rsid w:val="279B23C3"/>
    <w:rsid w:val="281A0EAC"/>
    <w:rsid w:val="28E26A4A"/>
    <w:rsid w:val="290A0FAD"/>
    <w:rsid w:val="2C8F18D7"/>
    <w:rsid w:val="31692A6E"/>
    <w:rsid w:val="31EC420F"/>
    <w:rsid w:val="32151E1A"/>
    <w:rsid w:val="33341AE4"/>
    <w:rsid w:val="33A969D6"/>
    <w:rsid w:val="33B015AE"/>
    <w:rsid w:val="3BDB363C"/>
    <w:rsid w:val="3BE645DA"/>
    <w:rsid w:val="3F577654"/>
    <w:rsid w:val="3F6B28A6"/>
    <w:rsid w:val="40B95CD0"/>
    <w:rsid w:val="423B1DB6"/>
    <w:rsid w:val="48370BF5"/>
    <w:rsid w:val="48B10ADA"/>
    <w:rsid w:val="4999703E"/>
    <w:rsid w:val="49AB294A"/>
    <w:rsid w:val="49E8163E"/>
    <w:rsid w:val="4D301426"/>
    <w:rsid w:val="4D625F91"/>
    <w:rsid w:val="4DF777F5"/>
    <w:rsid w:val="506D5864"/>
    <w:rsid w:val="527541A2"/>
    <w:rsid w:val="52E51199"/>
    <w:rsid w:val="534E6B21"/>
    <w:rsid w:val="54365D91"/>
    <w:rsid w:val="54A2746E"/>
    <w:rsid w:val="56C81120"/>
    <w:rsid w:val="56F073BC"/>
    <w:rsid w:val="59547CDB"/>
    <w:rsid w:val="596706EB"/>
    <w:rsid w:val="59703C09"/>
    <w:rsid w:val="5A387BCA"/>
    <w:rsid w:val="5B7C6D33"/>
    <w:rsid w:val="5B8E7E9F"/>
    <w:rsid w:val="5BDD662D"/>
    <w:rsid w:val="5F9423E7"/>
    <w:rsid w:val="62513BD9"/>
    <w:rsid w:val="627B59FE"/>
    <w:rsid w:val="63F654F1"/>
    <w:rsid w:val="66E27882"/>
    <w:rsid w:val="688268EC"/>
    <w:rsid w:val="6C364DFB"/>
    <w:rsid w:val="6D064785"/>
    <w:rsid w:val="6D094C10"/>
    <w:rsid w:val="70A215E7"/>
    <w:rsid w:val="71282C3F"/>
    <w:rsid w:val="75C57ABA"/>
    <w:rsid w:val="767F4FDB"/>
    <w:rsid w:val="791D36A6"/>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287</Words>
  <Characters>1637</Characters>
  <Lines>13</Lines>
  <Paragraphs>3</Paragraphs>
  <TotalTime>1</TotalTime>
  <ScaleCrop>false</ScaleCrop>
  <LinksUpToDate>false</LinksUpToDate>
  <CharactersWithSpaces>1921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2021-06-04T00:48:35Z</cp:lastPrinted>
  <dcterms:modified xsi:type="dcterms:W3CDTF">2021-06-04T00:49:34Z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6B48CBDF8E73401CAE5AE3CA64E2BA18</vt:lpwstr>
  </property>
</Properties>
</file>