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仿宋_GB2312" w:hAnsi="仿宋_GB2312" w:eastAsia="方正小标宋_GBK" w:cs="仿宋_GB2312"/>
          <w:b/>
          <w:bCs/>
          <w:color w:val="000000"/>
          <w:spacing w:val="0"/>
          <w:w w:val="100"/>
          <w:position w:val="0"/>
          <w:sz w:val="32"/>
          <w:szCs w:val="32"/>
          <w:lang w:eastAsia="zh-CN"/>
        </w:rPr>
      </w:pP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报告</w:t>
      </w:r>
    </w:p>
    <w:p>
      <w:pPr>
        <w:pStyle w:val="8"/>
        <w:keepNext w:val="0"/>
        <w:keepLines w:val="0"/>
        <w:pageBreakBefore w:val="0"/>
        <w:widowControl w:val="0"/>
        <w:numPr>
          <w:ilvl w:val="0"/>
          <w:numId w:val="1"/>
        </w:numPr>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0" w:name="bookmark92"/>
    </w:p>
    <w:bookmarkEnd w:id="0"/>
    <w:p>
      <w:pPr>
        <w:pStyle w:val="8"/>
        <w:keepNext w:val="0"/>
        <w:keepLines w:val="0"/>
        <w:pageBreakBefore w:val="0"/>
        <w:widowControl w:val="0"/>
        <w:numPr>
          <w:ilvl w:val="0"/>
          <w:numId w:val="2"/>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部门基本情况（包括部门的在职人员情况、机构设置、主要职能及重点工作计划等）。</w:t>
      </w:r>
    </w:p>
    <w:p>
      <w:pPr>
        <w:pStyle w:val="8"/>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部门基本情况</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根据《</w:t>
      </w:r>
      <w:r>
        <w:rPr>
          <w:rFonts w:hint="eastAsia" w:ascii="仿宋_GB2312" w:hAnsi="仿宋_GB2312" w:eastAsia="仿宋_GB2312" w:cs="仿宋_GB2312"/>
          <w:color w:val="000000" w:themeColor="text1"/>
          <w:kern w:val="2"/>
          <w:sz w:val="32"/>
          <w:szCs w:val="32"/>
          <w:u w:val="none"/>
          <w:shd w:val="clear"/>
          <w:lang w:val="zh-CN" w:eastAsia="zh-CN" w:bidi="ar-SA"/>
          <w14:textFill>
            <w14:solidFill>
              <w14:schemeClr w14:val="tx1"/>
            </w14:solidFill>
          </w14:textFill>
        </w:rPr>
        <w:t>关于开展20</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22</w:t>
      </w:r>
      <w:r>
        <w:rPr>
          <w:rFonts w:hint="eastAsia" w:ascii="仿宋_GB2312" w:hAnsi="仿宋_GB2312" w:eastAsia="仿宋_GB2312" w:cs="仿宋_GB2312"/>
          <w:color w:val="000000" w:themeColor="text1"/>
          <w:kern w:val="2"/>
          <w:sz w:val="32"/>
          <w:szCs w:val="32"/>
          <w:u w:val="none"/>
          <w:shd w:val="clear"/>
          <w:lang w:val="zh-CN" w:eastAsia="zh-CN" w:bidi="ar-SA"/>
          <w14:textFill>
            <w14:solidFill>
              <w14:schemeClr w14:val="tx1"/>
            </w14:solidFill>
          </w14:textFill>
        </w:rPr>
        <w:t>年部门整体支出绩效自评的通知</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》（珠财绩〔2023〕01号）要求，现对珠晖区统计局2022年度的部门整体支出开展绩效自评，现将情况汇报如下：</w:t>
      </w:r>
    </w:p>
    <w:p>
      <w:pPr>
        <w:widowControl/>
        <w:spacing w:line="600" w:lineRule="exact"/>
        <w:ind w:firstLine="627" w:firstLineChars="196"/>
        <w:jc w:val="left"/>
        <w:rPr>
          <w:rFonts w:hint="default"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单位机构设置及人员情况：区统计局下设7个股室，1个二级机构（区计算机站）。区统计局纳入了财政预算管理，核定2022年机关人员编制数为13人，其中：行政编人员4人，事业编人员9人。实际在编人数，行政编3人，事业编7人。临聘人员4人。</w:t>
      </w:r>
    </w:p>
    <w:p>
      <w:pPr>
        <w:bidi w:val="0"/>
        <w:ind w:left="0" w:leftChars="0" w:firstLine="640" w:firstLineChars="200"/>
        <w:jc w:val="left"/>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 xml:space="preserve">单位的主要职能如下：   </w:t>
      </w:r>
    </w:p>
    <w:p>
      <w:pPr>
        <w:bidi w:val="0"/>
        <w:ind w:left="0" w:leftChars="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贯彻执行国家统计工作方针、政策和统计法律法规。</w:t>
      </w:r>
    </w:p>
    <w:p>
      <w:pPr>
        <w:bidi w:val="0"/>
        <w:ind w:left="0" w:leftChars="0"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负责区域范围内各项统计调查、统计管理工作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bidi w:val="0"/>
        <w:ind w:left="0" w:leftChars="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负责本辖区内非公有制企业统计代理制度的组织实施，开展地区生产总值核算资料的整理工作。</w:t>
      </w:r>
    </w:p>
    <w:p>
      <w:pPr>
        <w:bidi w:val="0"/>
        <w:ind w:left="0" w:leftChars="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负责所辖单位统计资料的搜集、审核、汇总和上报市统计局。</w:t>
      </w:r>
    </w:p>
    <w:p>
      <w:pPr>
        <w:bidi w:val="0"/>
        <w:ind w:left="0" w:leftChars="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负责开展辖区范围内经济社会发展情况的分析预测、重点课题的调查研究工作。</w:t>
      </w:r>
    </w:p>
    <w:p>
      <w:pPr>
        <w:bidi w:val="0"/>
        <w:ind w:left="0" w:leftChars="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负责实施省、市、区各项重大考核的指标数据评估认定况。</w:t>
      </w:r>
    </w:p>
    <w:p>
      <w:pPr>
        <w:bidi w:val="0"/>
        <w:ind w:left="0" w:leftChars="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负责辖区范围内统计登记、统计普</w:t>
      </w:r>
      <w:r>
        <w:rPr>
          <w:rFonts w:hint="eastAsia" w:ascii="仿宋_GB2312" w:hAnsi="仿宋_GB2312" w:eastAsia="仿宋_GB2312" w:cs="仿宋_GB2312"/>
          <w:color w:val="000000" w:themeColor="text1"/>
          <w:spacing w:val="-6"/>
          <w:sz w:val="32"/>
          <w:szCs w:val="32"/>
          <w14:textFill>
            <w14:solidFill>
              <w14:schemeClr w14:val="tx1"/>
            </w14:solidFill>
          </w14:textFill>
        </w:rPr>
        <w:t>法、统计</w:t>
      </w:r>
      <w:r>
        <w:rPr>
          <w:rFonts w:hint="eastAsia" w:ascii="仿宋_GB2312" w:hAnsi="仿宋_GB2312" w:eastAsia="仿宋_GB2312" w:cs="仿宋_GB2312"/>
          <w:color w:val="000000" w:themeColor="text1"/>
          <w:sz w:val="32"/>
          <w:szCs w:val="32"/>
          <w14:textFill>
            <w14:solidFill>
              <w14:schemeClr w14:val="tx1"/>
            </w14:solidFill>
          </w14:textFill>
        </w:rPr>
        <w:t>执法等各项工作。</w:t>
      </w:r>
    </w:p>
    <w:p>
      <w:pPr>
        <w:widowControl/>
        <w:spacing w:line="600" w:lineRule="exact"/>
        <w:ind w:firstLine="627" w:firstLineChars="196"/>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负责组织开展辖区范围内统计信息化建设，建立统计数据库和统计人员管理、培训、职称评定及考核奖惩。</w:t>
      </w:r>
    </w:p>
    <w:p>
      <w:pPr>
        <w:widowControl/>
        <w:spacing w:line="600" w:lineRule="exact"/>
        <w:ind w:firstLine="627" w:firstLineChars="196"/>
        <w:jc w:val="left"/>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单位年度工作计划：</w:t>
      </w:r>
      <w:r>
        <w:rPr>
          <w:rFonts w:hint="eastAsia" w:ascii="仿宋_GB2312" w:hAnsi="仿宋_GB2312" w:eastAsia="仿宋_GB2312" w:cs="仿宋_GB2312"/>
          <w:color w:val="000000" w:themeColor="text1"/>
          <w:sz w:val="32"/>
          <w:szCs w:val="32"/>
          <w14:textFill>
            <w14:solidFill>
              <w14:schemeClr w14:val="tx1"/>
            </w14:solidFill>
          </w14:textFill>
        </w:rPr>
        <w:t>1、搞好第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次全国</w:t>
      </w:r>
      <w:r>
        <w:rPr>
          <w:rFonts w:hint="eastAsia" w:ascii="仿宋_GB2312" w:hAnsi="仿宋_GB2312" w:eastAsia="仿宋_GB2312" w:cs="仿宋_GB2312"/>
          <w:color w:val="000000" w:themeColor="text1"/>
          <w:sz w:val="32"/>
          <w:szCs w:val="32"/>
          <w:lang w:eastAsia="zh-CN"/>
          <w14:textFill>
            <w14:solidFill>
              <w14:schemeClr w14:val="tx1"/>
            </w14:solidFill>
          </w14:textFill>
        </w:rPr>
        <w:t>经济</w:t>
      </w:r>
      <w:r>
        <w:rPr>
          <w:rFonts w:hint="eastAsia" w:ascii="仿宋_GB2312" w:hAnsi="仿宋_GB2312" w:eastAsia="仿宋_GB2312" w:cs="仿宋_GB2312"/>
          <w:color w:val="000000" w:themeColor="text1"/>
          <w:sz w:val="32"/>
          <w:szCs w:val="32"/>
          <w14:textFill>
            <w14:solidFill>
              <w14:schemeClr w14:val="tx1"/>
            </w14:solidFill>
          </w14:textFill>
        </w:rPr>
        <w:t>普查工作2、搞好常规统计调查。3、抓好联网直报单位申报入统工作。4、继续推进乡镇统计站规范化建设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8"/>
        <w:keepNext w:val="0"/>
        <w:keepLines w:val="0"/>
        <w:pageBreakBefore w:val="0"/>
        <w:widowControl w:val="0"/>
        <w:numPr>
          <w:ilvl w:val="0"/>
          <w:numId w:val="2"/>
        </w:numPr>
        <w:shd w:val="clear" w:color="auto" w:fill="auto"/>
        <w:tabs>
          <w:tab w:val="left" w:pos="1101"/>
        </w:tabs>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部门整体支出规模、使用方向和主要内容、涉及范围等。</w:t>
      </w:r>
    </w:p>
    <w:p>
      <w:pPr>
        <w:pStyle w:val="8"/>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我单位2022年度收入总计310.96万元，其中财政拨款收入310.96万元，占本年收入100%。本年支出总计310.96万元，其中：基本支出218.25万元，占本年支出的70.18%；项目支出92.71万元，占本年支出的29.82%。</w:t>
      </w:r>
    </w:p>
    <w:p>
      <w:pPr>
        <w:pStyle w:val="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1" w:name="bookmark94"/>
      <w:r>
        <w:rPr>
          <w:rFonts w:hint="eastAsia" w:ascii="仿宋_GB2312" w:hAnsi="仿宋_GB2312" w:eastAsia="仿宋_GB2312" w:cs="仿宋_GB2312"/>
          <w:b/>
          <w:bCs/>
          <w:color w:val="000000"/>
          <w:spacing w:val="0"/>
          <w:w w:val="100"/>
          <w:position w:val="0"/>
          <w:sz w:val="32"/>
          <w:szCs w:val="32"/>
        </w:rPr>
        <w:t>二</w:t>
      </w:r>
      <w:bookmarkEnd w:id="1"/>
      <w:r>
        <w:rPr>
          <w:rFonts w:hint="eastAsia" w:ascii="仿宋_GB2312" w:hAnsi="仿宋_GB2312" w:eastAsia="仿宋_GB2312" w:cs="仿宋_GB2312"/>
          <w:b/>
          <w:bCs/>
          <w:color w:val="000000"/>
          <w:spacing w:val="0"/>
          <w:w w:val="100"/>
          <w:position w:val="0"/>
          <w:sz w:val="32"/>
          <w:szCs w:val="32"/>
        </w:rPr>
        <w:t>、部门整体支出管理及使用情况</w:t>
      </w:r>
    </w:p>
    <w:p>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2" w:name="bookmark95"/>
      <w:r>
        <w:rPr>
          <w:rFonts w:hint="eastAsia" w:ascii="仿宋_GB2312" w:hAnsi="仿宋_GB2312" w:eastAsia="仿宋_GB2312" w:cs="仿宋_GB2312"/>
          <w:color w:val="000000"/>
          <w:spacing w:val="0"/>
          <w:w w:val="100"/>
          <w:position w:val="0"/>
          <w:sz w:val="32"/>
          <w:szCs w:val="32"/>
        </w:rPr>
        <w:t>（</w:t>
      </w:r>
      <w:bookmarkEnd w:id="2"/>
      <w:r>
        <w:rPr>
          <w:rFonts w:hint="eastAsia" w:ascii="仿宋_GB2312" w:hAnsi="仿宋_GB2312" w:eastAsia="仿宋_GB2312" w:cs="仿宋_GB2312"/>
          <w:color w:val="000000"/>
          <w:spacing w:val="0"/>
          <w:w w:val="100"/>
          <w:position w:val="0"/>
          <w:sz w:val="32"/>
          <w:szCs w:val="32"/>
        </w:rPr>
        <w:t>一）基本支出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基本支出是保障我局机构正常运转、完成日常工作任务而发生的各项支出，包括用于在职和离退休人员基本工资、各项保险缴费、津贴补贴等人员经费以及为保障基本运行而发生的办公费、印刷费、邮电费、维修费、办公设备购置等日常公用经</w:t>
      </w:r>
      <w:r>
        <w:rPr>
          <w:rFonts w:hint="eastAsia" w:ascii="仿宋_GB2312" w:hAnsi="仿宋_GB2312" w:eastAsia="仿宋_GB2312" w:cs="仿宋_GB2312"/>
          <w:color w:val="auto"/>
          <w:sz w:val="32"/>
          <w:szCs w:val="32"/>
          <w:lang w:val="en-US" w:eastAsia="zh-CN"/>
        </w:rPr>
        <w:t>费。</w:t>
      </w:r>
      <w:r>
        <w:rPr>
          <w:rFonts w:hint="eastAsia" w:ascii="仿宋_GB2312" w:hAnsi="仿宋_GB2312" w:eastAsia="仿宋_GB2312" w:cs="仿宋_GB2312"/>
          <w:color w:val="auto"/>
          <w:kern w:val="2"/>
          <w:sz w:val="32"/>
          <w:szCs w:val="32"/>
          <w:lang w:val="en-US" w:eastAsia="zh-CN" w:bidi="ar"/>
        </w:rPr>
        <w:t>2022年度财政拨款基本支出</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218.25</w:t>
      </w:r>
      <w:r>
        <w:rPr>
          <w:rFonts w:hint="eastAsia" w:ascii="仿宋_GB2312" w:hAnsi="仿宋_GB2312" w:eastAsia="仿宋_GB2312" w:cs="仿宋_GB2312"/>
          <w:color w:val="auto"/>
          <w:kern w:val="2"/>
          <w:sz w:val="32"/>
          <w:szCs w:val="32"/>
          <w:lang w:val="en-US" w:eastAsia="zh-CN" w:bidi="ar"/>
        </w:rPr>
        <w:t>万元，其中：人员经费200.97万元，占基本支出的92.08%,主要包括基本工资、津贴补贴、奖金、伙食补助费、绩效工资、机关事业单位基本养老保险缴费、职工基本医疗保险缴费、住房公积金、退休费、生活补助；占基本支出的7.92%，主要包括办公费、印刷费、工会经费、其他商品和服务支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区统计局进一步深入</w:t>
      </w:r>
      <w:r>
        <w:rPr>
          <w:rFonts w:hint="eastAsia" w:ascii="仿宋" w:hAnsi="仿宋" w:eastAsia="仿宋" w:cs="仿宋"/>
          <w:color w:val="000000" w:themeColor="text1"/>
          <w:kern w:val="2"/>
          <w:sz w:val="32"/>
          <w:szCs w:val="32"/>
          <w:u w:val="none"/>
          <w:shd w:val="clear"/>
          <w:lang w:val="en-US" w:eastAsia="zh-CN" w:bidi="ar-SA"/>
          <w14:textFill>
            <w14:solidFill>
              <w14:schemeClr w14:val="tx1"/>
            </w14:solidFill>
          </w14:textFill>
        </w:rPr>
        <w:t>贯彻落实中央八项规定精神，严格按照省、市委的要求将八项规定精神落实到工作的每个细节，通过尽量压缩公务接待，严格接待规格，控制陪餐人数，切实将精神落到实处，三公经费为0。</w:t>
      </w:r>
    </w:p>
    <w:p>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3" w:name="bookmark96"/>
      <w:r>
        <w:rPr>
          <w:rFonts w:hint="eastAsia" w:ascii="仿宋_GB2312" w:hAnsi="仿宋_GB2312" w:eastAsia="仿宋_GB2312" w:cs="仿宋_GB2312"/>
          <w:color w:val="000000"/>
          <w:spacing w:val="0"/>
          <w:w w:val="100"/>
          <w:position w:val="0"/>
          <w:sz w:val="32"/>
          <w:szCs w:val="32"/>
        </w:rPr>
        <w:t>（</w:t>
      </w:r>
      <w:bookmarkEnd w:id="3"/>
      <w:r>
        <w:rPr>
          <w:rFonts w:hint="eastAsia" w:ascii="仿宋_GB2312" w:hAnsi="仿宋_GB2312" w:eastAsia="仿宋_GB2312" w:cs="仿宋_GB2312"/>
          <w:color w:val="000000"/>
          <w:spacing w:val="0"/>
          <w:w w:val="100"/>
          <w:position w:val="0"/>
          <w:sz w:val="32"/>
          <w:szCs w:val="32"/>
        </w:rPr>
        <w:t>二）项目支出</w:t>
      </w:r>
    </w:p>
    <w:p>
      <w:pPr>
        <w:keepNext w:val="0"/>
        <w:keepLines w:val="0"/>
        <w:pageBreakBefore w:val="0"/>
        <w:widowControl/>
        <w:numPr>
          <w:ilvl w:val="0"/>
          <w:numId w:val="0"/>
        </w:numPr>
        <w:kinsoku/>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kern w:val="2"/>
          <w:sz w:val="32"/>
          <w:szCs w:val="32"/>
          <w:u w:val="none"/>
          <w:shd w:val="clear" w:color="auto" w:fill="auto"/>
          <w:lang w:val="en-US" w:eastAsia="zh-CN" w:bidi="ar-SA"/>
        </w:rPr>
      </w:pPr>
      <w:bookmarkStart w:id="4" w:name="bookmark100"/>
      <w:r>
        <w:rPr>
          <w:rFonts w:hint="eastAsia" w:ascii="仿宋_GB2312" w:hAnsi="仿宋_GB2312" w:eastAsia="仿宋_GB2312" w:cs="仿宋_GB2312"/>
          <w:b w:val="0"/>
          <w:bCs w:val="0"/>
          <w:color w:val="auto"/>
          <w:kern w:val="2"/>
          <w:sz w:val="32"/>
          <w:szCs w:val="32"/>
          <w:u w:val="none"/>
          <w:shd w:val="clear" w:color="auto" w:fill="auto"/>
          <w:lang w:val="en-US" w:eastAsia="zh-CN" w:bidi="ar-SA"/>
        </w:rPr>
        <w:t>主要是指单位为完成特定行政工作任务或事业发展目标而发生的支出，2022年度项目支出92.71万元，用于一般行政管理事务、专项统计业务、专项普查活动等业务支出。其中：统计事业经费5.08万元，统计专项调查经费5万元，小康监测工作经费10万元，乡镇统计站规范化建设经费7.5万元，联网直报工作经费29万元。</w:t>
      </w:r>
    </w:p>
    <w:p>
      <w:pPr>
        <w:pStyle w:val="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三</w:t>
      </w:r>
      <w:bookmarkEnd w:id="4"/>
      <w:r>
        <w:rPr>
          <w:rFonts w:hint="eastAsia" w:ascii="仿宋_GB2312" w:hAnsi="仿宋_GB2312" w:eastAsia="仿宋_GB2312" w:cs="仿宋_GB2312"/>
          <w:b/>
          <w:bCs/>
          <w:color w:val="000000"/>
          <w:spacing w:val="0"/>
          <w:w w:val="100"/>
          <w:position w:val="0"/>
          <w:sz w:val="32"/>
          <w:szCs w:val="32"/>
        </w:rPr>
        <w:t>、部门项目组织实施情况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（一）项目组织情况分析，主要包括项目招投标、调整、竣工验收等情况。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无。</w:t>
      </w:r>
    </w:p>
    <w:p>
      <w:pPr>
        <w:pStyle w:val="8"/>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项目管理情况分析，主要包括项目管理制度建设、日常检查监督管理等情况。</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200" w:right="0" w:rightChars="0" w:firstLine="320" w:firstLineChars="1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无。</w:t>
      </w:r>
    </w:p>
    <w:p>
      <w:pPr>
        <w:pStyle w:val="8"/>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bookmarkStart w:id="5" w:name="bookmark101"/>
      <w:r>
        <w:rPr>
          <w:rFonts w:hint="eastAsia" w:ascii="仿宋_GB2312" w:hAnsi="仿宋_GB2312" w:eastAsia="仿宋_GB2312" w:cs="仿宋_GB2312"/>
          <w:b/>
          <w:bCs/>
          <w:color w:val="000000"/>
          <w:spacing w:val="0"/>
          <w:w w:val="100"/>
          <w:position w:val="0"/>
          <w:sz w:val="32"/>
          <w:szCs w:val="32"/>
        </w:rPr>
        <w:t>四</w:t>
      </w:r>
      <w:bookmarkEnd w:id="5"/>
      <w:r>
        <w:rPr>
          <w:rFonts w:hint="eastAsia" w:ascii="仿宋_GB2312" w:hAnsi="仿宋_GB2312" w:eastAsia="仿宋_GB2312" w:cs="仿宋_GB2312"/>
          <w:b/>
          <w:bCs/>
          <w:color w:val="000000"/>
          <w:spacing w:val="0"/>
          <w:w w:val="100"/>
          <w:position w:val="0"/>
          <w:sz w:val="32"/>
          <w:szCs w:val="32"/>
        </w:rPr>
        <w:t>、资产管理情况</w:t>
      </w:r>
    </w:p>
    <w:p>
      <w:pPr>
        <w:pStyle w:val="8"/>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反映部门资产的配置、管理、处置等综合情况。包括制度建设、管理措施、配置处置的程序等。</w:t>
      </w:r>
      <w:bookmarkStart w:id="6" w:name="bookmark102"/>
    </w:p>
    <w:bookmarkEnd w:id="6"/>
    <w:p>
      <w:pPr>
        <w:pStyle w:val="8"/>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部门整体支出绩效情况</w:t>
      </w:r>
    </w:p>
    <w:p>
      <w:pPr>
        <w:keepNext w:val="0"/>
        <w:keepLines w:val="0"/>
        <w:pageBreakBefore w:val="0"/>
        <w:kinsoku/>
        <w:overflowPunct/>
        <w:topLinePunct w:val="0"/>
        <w:autoSpaceDE/>
        <w:autoSpaceDN/>
        <w:bidi w:val="0"/>
        <w:adjustRightInd/>
        <w:snapToGrid/>
        <w:spacing w:line="580" w:lineRule="exact"/>
        <w:ind w:firstLine="660"/>
        <w:textAlignment w:val="auto"/>
        <w:rPr>
          <w:rFonts w:hint="eastAsia"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部门整体支出的经济性，本年支出总额控制在收入总额内。</w:t>
      </w:r>
    </w:p>
    <w:p>
      <w:pPr>
        <w:keepNext w:val="0"/>
        <w:keepLines w:val="0"/>
        <w:pageBreakBefore w:val="0"/>
        <w:kinsoku/>
        <w:overflowPunct/>
        <w:topLinePunct w:val="0"/>
        <w:autoSpaceDE/>
        <w:autoSpaceDN/>
        <w:bidi w:val="0"/>
        <w:adjustRightInd/>
        <w:snapToGrid/>
        <w:spacing w:line="580" w:lineRule="exact"/>
        <w:ind w:firstLine="660"/>
        <w:textAlignment w:val="auto"/>
        <w:rPr>
          <w:rFonts w:hint="eastAsia"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部门整体支出的效率性，本年度各项工作完成进度正常，完成质量高。</w:t>
      </w:r>
    </w:p>
    <w:p>
      <w:pPr>
        <w:keepNext w:val="0"/>
        <w:keepLines w:val="0"/>
        <w:pageBreakBefore w:val="0"/>
        <w:kinsoku/>
        <w:overflowPunct/>
        <w:topLinePunct w:val="0"/>
        <w:autoSpaceDE/>
        <w:autoSpaceDN/>
        <w:bidi w:val="0"/>
        <w:adjustRightInd/>
        <w:snapToGrid/>
        <w:spacing w:line="580" w:lineRule="exact"/>
        <w:ind w:firstLine="660"/>
        <w:textAlignment w:val="auto"/>
        <w:rPr>
          <w:rFonts w:hint="eastAsia"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部门整体支出的有效性，</w:t>
      </w:r>
      <w:r>
        <w:rPr>
          <w:rFonts w:hint="eastAsia" w:ascii="仿宋_GB2312" w:hAnsi="仿宋_GB2312" w:eastAsia="仿宋_GB2312" w:cs="仿宋_GB2312"/>
          <w:color w:val="000000"/>
          <w:sz w:val="32"/>
          <w:szCs w:val="32"/>
          <w:lang w:val="en-US" w:bidi="zh-CN"/>
        </w:rPr>
        <w:t>严格</w:t>
      </w:r>
      <w:r>
        <w:rPr>
          <w:rFonts w:hint="eastAsia" w:ascii="仿宋_GB2312" w:hAnsi="仿宋_GB2312" w:eastAsia="仿宋_GB2312" w:cs="仿宋_GB2312"/>
          <w:color w:val="000000"/>
          <w:sz w:val="32"/>
          <w:szCs w:val="32"/>
          <w:lang w:bidi="zh-CN"/>
        </w:rPr>
        <w:t>贯彻执行国家、省、市</w:t>
      </w:r>
      <w:r>
        <w:rPr>
          <w:rFonts w:hint="eastAsia" w:ascii="仿宋_GB2312" w:hAnsi="仿宋_GB2312" w:eastAsia="仿宋_GB2312" w:cs="仿宋_GB2312"/>
          <w:color w:val="000000"/>
          <w:sz w:val="32"/>
          <w:szCs w:val="32"/>
          <w:lang w:val="en-US" w:bidi="zh-CN"/>
        </w:rPr>
        <w:t>统计</w:t>
      </w:r>
      <w:r>
        <w:rPr>
          <w:rFonts w:hint="eastAsia" w:ascii="仿宋_GB2312" w:hAnsi="仿宋_GB2312" w:eastAsia="仿宋_GB2312" w:cs="仿宋_GB2312"/>
          <w:color w:val="000000"/>
          <w:sz w:val="32"/>
          <w:szCs w:val="32"/>
          <w:lang w:bidi="zh-CN"/>
        </w:rPr>
        <w:t>工作的方针、政策和法律法规。</w:t>
      </w:r>
    </w:p>
    <w:p>
      <w:pPr>
        <w:pStyle w:val="8"/>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部门整体支出的可持续性，基本满足</w:t>
      </w:r>
      <w:r>
        <w:rPr>
          <w:rFonts w:hint="eastAsia" w:ascii="仿宋_GB2312" w:hAnsi="仿宋_GB2312" w:eastAsia="仿宋_GB2312" w:cs="仿宋_GB2312"/>
          <w:color w:val="000000"/>
          <w:sz w:val="32"/>
          <w:szCs w:val="32"/>
          <w:lang w:val="en-US" w:bidi="zh-CN"/>
        </w:rPr>
        <w:t>统计</w:t>
      </w:r>
      <w:r>
        <w:rPr>
          <w:rFonts w:hint="eastAsia" w:ascii="仿宋_GB2312" w:hAnsi="仿宋_GB2312" w:eastAsia="仿宋_GB2312" w:cs="仿宋_GB2312"/>
          <w:color w:val="000000"/>
          <w:sz w:val="32"/>
          <w:szCs w:val="32"/>
          <w:lang w:bidi="zh-CN"/>
        </w:rPr>
        <w:t>系统的工作要求，逐步提高</w:t>
      </w:r>
      <w:r>
        <w:rPr>
          <w:rFonts w:hint="eastAsia" w:ascii="仿宋_GB2312" w:hAnsi="仿宋_GB2312" w:eastAsia="仿宋_GB2312" w:cs="仿宋_GB2312"/>
          <w:color w:val="000000"/>
          <w:sz w:val="32"/>
          <w:szCs w:val="32"/>
          <w:lang w:val="en-US" w:bidi="zh-CN"/>
        </w:rPr>
        <w:t>统计</w:t>
      </w:r>
      <w:r>
        <w:rPr>
          <w:rFonts w:hint="eastAsia" w:ascii="仿宋_GB2312" w:hAnsi="仿宋_GB2312" w:eastAsia="仿宋_GB2312" w:cs="仿宋_GB2312"/>
          <w:color w:val="000000"/>
          <w:sz w:val="32"/>
          <w:szCs w:val="32"/>
          <w:lang w:bidi="zh-CN"/>
        </w:rPr>
        <w:t>系统的专业水平，增加人民的满意度。</w:t>
      </w:r>
    </w:p>
    <w:p>
      <w:pPr>
        <w:pStyle w:val="8"/>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rPr>
        <w:t>存在的主要问题</w:t>
      </w:r>
    </w:p>
    <w:p>
      <w:pPr>
        <w:keepNext w:val="0"/>
        <w:keepLines w:val="0"/>
        <w:pageBreakBefore w:val="0"/>
        <w:widowControl/>
        <w:kinsoku/>
        <w:wordWrap w:val="0"/>
        <w:overflowPunct/>
        <w:topLinePunct w:val="0"/>
        <w:autoSpaceDE/>
        <w:autoSpaceDN/>
        <w:bidi w:val="0"/>
        <w:adjustRightInd/>
        <w:snapToGrid/>
        <w:spacing w:beforeAutospacing="0" w:afterAutospacing="0" w:line="580" w:lineRule="exact"/>
        <w:ind w:firstLine="643"/>
        <w:jc w:val="left"/>
        <w:textAlignment w:val="auto"/>
        <w:rPr>
          <w:rFonts w:hint="eastAsia" w:ascii="仿宋_GB2312" w:hAnsi="Times New Roman" w:eastAsia="仿宋_GB2312" w:cs="仿宋_GB2312"/>
          <w:kern w:val="0"/>
          <w:sz w:val="32"/>
          <w:szCs w:val="32"/>
          <w:shd w:val="clear" w:color="auto" w:fill="FFFFFF"/>
          <w:lang w:eastAsia="zh-CN" w:bidi="ar"/>
        </w:rPr>
      </w:pPr>
      <w:r>
        <w:rPr>
          <w:rFonts w:hint="eastAsia" w:ascii="仿宋_GB2312" w:hAnsi="Times New Roman" w:eastAsia="仿宋_GB2312" w:cs="仿宋_GB2312"/>
          <w:kern w:val="0"/>
          <w:sz w:val="32"/>
          <w:szCs w:val="32"/>
          <w:shd w:val="clear" w:color="auto" w:fill="FFFFFF"/>
          <w:lang w:eastAsia="zh-CN" w:bidi="ar"/>
        </w:rPr>
        <w:t>20</w:t>
      </w:r>
      <w:r>
        <w:rPr>
          <w:rFonts w:hint="eastAsia" w:ascii="仿宋_GB2312" w:hAnsi="Times New Roman" w:eastAsia="仿宋_GB2312" w:cs="仿宋_GB2312"/>
          <w:kern w:val="0"/>
          <w:sz w:val="32"/>
          <w:szCs w:val="32"/>
          <w:shd w:val="clear" w:color="auto" w:fill="FFFFFF"/>
          <w:lang w:val="en-US" w:eastAsia="zh-CN" w:bidi="ar"/>
        </w:rPr>
        <w:t>22</w:t>
      </w:r>
      <w:r>
        <w:rPr>
          <w:rFonts w:hint="eastAsia" w:ascii="仿宋_GB2312" w:hAnsi="Times New Roman" w:eastAsia="仿宋_GB2312" w:cs="仿宋_GB2312"/>
          <w:kern w:val="0"/>
          <w:sz w:val="32"/>
          <w:szCs w:val="32"/>
          <w:shd w:val="clear" w:color="auto" w:fill="FFFFFF"/>
          <w:lang w:eastAsia="zh-CN" w:bidi="ar"/>
        </w:rPr>
        <w:t>年，我局</w:t>
      </w:r>
      <w:r>
        <w:rPr>
          <w:rFonts w:hint="eastAsia" w:ascii="仿宋_GB2312" w:hAnsi="Times New Roman" w:eastAsia="仿宋_GB2312" w:cs="仿宋_GB2312"/>
          <w:kern w:val="0"/>
          <w:sz w:val="32"/>
          <w:szCs w:val="32"/>
          <w:shd w:val="clear" w:color="auto" w:fill="FFFFFF"/>
          <w:lang w:bidi="ar"/>
        </w:rPr>
        <w:t>整体支出</w:t>
      </w:r>
      <w:r>
        <w:rPr>
          <w:rFonts w:hint="eastAsia" w:ascii="仿宋_GB2312" w:hAnsi="Times New Roman" w:eastAsia="仿宋_GB2312" w:cs="仿宋_GB2312"/>
          <w:kern w:val="0"/>
          <w:sz w:val="32"/>
          <w:szCs w:val="32"/>
          <w:shd w:val="clear" w:color="auto" w:fill="FFFFFF"/>
          <w:lang w:eastAsia="zh-CN" w:bidi="ar"/>
        </w:rPr>
        <w:t>执行情况总体较好，与上年比较，预算完成率上升，预算调整率有所下降，但</w:t>
      </w:r>
      <w:r>
        <w:rPr>
          <w:rFonts w:hint="eastAsia" w:ascii="仿宋_GB2312" w:hAnsi="Times New Roman" w:eastAsia="仿宋_GB2312" w:cs="仿宋_GB2312"/>
          <w:kern w:val="0"/>
          <w:sz w:val="32"/>
          <w:szCs w:val="32"/>
          <w:shd w:val="clear" w:color="auto" w:fill="FFFFFF"/>
          <w:lang w:bidi="ar"/>
        </w:rPr>
        <w:t>在预算执行方面</w:t>
      </w:r>
      <w:r>
        <w:rPr>
          <w:rFonts w:hint="eastAsia" w:ascii="仿宋_GB2312" w:hAnsi="Times New Roman" w:eastAsia="仿宋_GB2312" w:cs="仿宋_GB2312"/>
          <w:kern w:val="0"/>
          <w:sz w:val="32"/>
          <w:szCs w:val="32"/>
          <w:shd w:val="clear" w:color="auto" w:fill="FFFFFF"/>
          <w:lang w:eastAsia="zh-CN" w:bidi="ar"/>
        </w:rPr>
        <w:t>也</w:t>
      </w:r>
      <w:r>
        <w:rPr>
          <w:rFonts w:hint="eastAsia" w:ascii="仿宋_GB2312" w:hAnsi="Times New Roman" w:eastAsia="仿宋_GB2312" w:cs="仿宋_GB2312"/>
          <w:kern w:val="0"/>
          <w:sz w:val="32"/>
          <w:szCs w:val="32"/>
          <w:shd w:val="clear" w:color="auto" w:fill="FFFFFF"/>
          <w:lang w:bidi="ar"/>
        </w:rPr>
        <w:t>还存在一些问题和不足：</w:t>
      </w:r>
    </w:p>
    <w:p>
      <w:pPr>
        <w:keepNext w:val="0"/>
        <w:keepLines w:val="0"/>
        <w:pageBreakBefore w:val="0"/>
        <w:widowControl/>
        <w:kinsoku/>
        <w:wordWrap w:val="0"/>
        <w:overflowPunct/>
        <w:topLinePunct w:val="0"/>
        <w:autoSpaceDE/>
        <w:autoSpaceDN/>
        <w:bidi w:val="0"/>
        <w:adjustRightInd/>
        <w:snapToGrid/>
        <w:spacing w:beforeAutospacing="0" w:afterAutospacing="0" w:line="580" w:lineRule="exact"/>
        <w:ind w:firstLine="643" w:firstLineChars="200"/>
        <w:jc w:val="left"/>
        <w:textAlignment w:val="auto"/>
        <w:rPr>
          <w:rFonts w:hint="eastAsia" w:eastAsia="仿宋_GB2312" w:cs="Times New Roman"/>
          <w:sz w:val="32"/>
          <w:szCs w:val="32"/>
          <w:lang w:eastAsia="zh-CN"/>
        </w:rPr>
      </w:pPr>
      <w:r>
        <w:rPr>
          <w:rFonts w:hint="eastAsia" w:ascii="仿宋" w:hAnsi="仿宋" w:eastAsia="仿宋" w:cs="Arial"/>
          <w:b/>
          <w:bCs/>
          <w:color w:val="333333"/>
          <w:sz w:val="32"/>
          <w:szCs w:val="32"/>
          <w:lang w:val="en-US" w:eastAsia="zh-CN"/>
        </w:rPr>
        <w:t>（1）</w:t>
      </w:r>
      <w:r>
        <w:rPr>
          <w:rFonts w:hint="eastAsia" w:ascii="仿宋" w:hAnsi="仿宋" w:eastAsia="仿宋" w:cs="Arial"/>
          <w:b/>
          <w:bCs/>
          <w:color w:val="333333"/>
          <w:sz w:val="32"/>
          <w:szCs w:val="32"/>
          <w:lang w:eastAsia="zh-CN"/>
        </w:rPr>
        <w:t>预算执行率有待进一步提高。</w:t>
      </w:r>
      <w:r>
        <w:rPr>
          <w:rFonts w:hint="eastAsia" w:eastAsia="仿宋_GB2312"/>
          <w:sz w:val="32"/>
          <w:szCs w:val="32"/>
          <w:lang w:eastAsia="zh-CN"/>
        </w:rPr>
        <w:t>由于疫情冲击、厉行节约等因</w:t>
      </w:r>
      <w:r>
        <w:rPr>
          <w:rFonts w:hint="eastAsia" w:eastAsia="仿宋_GB2312" w:cs="Times New Roman"/>
          <w:sz w:val="32"/>
          <w:szCs w:val="32"/>
          <w:lang w:eastAsia="zh-CN"/>
        </w:rPr>
        <w:t>素</w:t>
      </w:r>
      <w:r>
        <w:rPr>
          <w:rFonts w:hint="eastAsia" w:eastAsia="仿宋_GB2312"/>
          <w:sz w:val="32"/>
          <w:szCs w:val="32"/>
          <w:lang w:eastAsia="zh-CN"/>
        </w:rPr>
        <w:t>影响</w:t>
      </w:r>
      <w:r>
        <w:rPr>
          <w:rFonts w:hint="eastAsia" w:eastAsia="仿宋_GB2312" w:cs="Times New Roman"/>
          <w:sz w:val="32"/>
          <w:szCs w:val="32"/>
          <w:lang w:eastAsia="zh-CN"/>
        </w:rPr>
        <w:t>，会议费、培训费，等项目执行情况与年初预算有一定的偏差，预算执行率偏低，我们将在下年加以重视，提前谋划，科学编制项目预算，进一步提高预算编制的精确性。</w:t>
      </w:r>
    </w:p>
    <w:p>
      <w:pPr>
        <w:keepNext w:val="0"/>
        <w:keepLines w:val="0"/>
        <w:pageBreakBefore w:val="0"/>
        <w:widowControl/>
        <w:kinsoku/>
        <w:wordWrap w:val="0"/>
        <w:overflowPunct/>
        <w:topLinePunct w:val="0"/>
        <w:autoSpaceDE/>
        <w:autoSpaceDN/>
        <w:bidi w:val="0"/>
        <w:adjustRightInd/>
        <w:snapToGrid/>
        <w:spacing w:beforeAutospacing="0" w:afterAutospacing="0" w:line="580" w:lineRule="exact"/>
        <w:ind w:firstLine="643" w:firstLineChars="200"/>
        <w:jc w:val="left"/>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仿宋" w:hAnsi="仿宋" w:eastAsia="仿宋" w:cs="Arial"/>
          <w:b/>
          <w:bCs/>
          <w:color w:val="333333"/>
          <w:sz w:val="32"/>
          <w:szCs w:val="32"/>
          <w:lang w:val="en-US" w:eastAsia="zh-CN"/>
        </w:rPr>
        <w:t>（2）预算</w:t>
      </w:r>
      <w:r>
        <w:rPr>
          <w:rFonts w:hint="eastAsia" w:ascii="仿宋" w:hAnsi="仿宋" w:eastAsia="仿宋" w:cs="Arial"/>
          <w:b/>
          <w:bCs/>
          <w:color w:val="333333"/>
          <w:sz w:val="32"/>
          <w:szCs w:val="32"/>
          <w:lang w:eastAsia="zh-CN"/>
        </w:rPr>
        <w:t>调整率有待降低。</w:t>
      </w:r>
      <w:r>
        <w:rPr>
          <w:rFonts w:hint="eastAsia" w:ascii="Times New Roman" w:hAnsi="Times New Roman" w:eastAsia="仿宋_GB2312" w:cs="仿宋_GB2312"/>
          <w:b w:val="0"/>
          <w:bCs w:val="0"/>
          <w:color w:val="auto"/>
          <w:kern w:val="2"/>
          <w:sz w:val="32"/>
          <w:szCs w:val="32"/>
          <w:lang w:val="en-US" w:eastAsia="zh-CN" w:bidi="ar-SA"/>
        </w:rPr>
        <w:t>部分项目支出预算编制不够精细，如经济分类科目为其他商品和服务支出，未进行细化明确，导致与实际工作需要不一致，不便于预算的执行。为确保资金专款专用，需要在年度内进行预算指标调整，从而导致了预算调整数增加。</w:t>
      </w:r>
    </w:p>
    <w:p>
      <w:pPr>
        <w:pStyle w:val="8"/>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改进措施和有关建议</w:t>
      </w:r>
    </w:p>
    <w:p>
      <w:pPr>
        <w:spacing w:line="590" w:lineRule="exact"/>
        <w:ind w:firstLine="660"/>
        <w:rPr>
          <w:rFonts w:hint="eastAsia" w:ascii="仿宋" w:hAnsi="仿宋" w:eastAsia="仿宋" w:cs="仿宋"/>
          <w:color w:val="000000" w:themeColor="text1"/>
          <w:sz w:val="32"/>
          <w:szCs w:val="32"/>
          <w:lang w:val="zh-CN" w:bidi="zh-CN"/>
          <w14:textFill>
            <w14:solidFill>
              <w14:schemeClr w14:val="tx1"/>
            </w14:solidFill>
          </w14:textFill>
        </w:rPr>
      </w:pPr>
      <w:r>
        <w:rPr>
          <w:rFonts w:hint="eastAsia" w:ascii="仿宋" w:hAnsi="仿宋" w:eastAsia="仿宋" w:cs="仿宋"/>
          <w:color w:val="000000" w:themeColor="text1"/>
          <w:sz w:val="32"/>
          <w:szCs w:val="32"/>
          <w:lang w:val="zh-CN" w:bidi="zh-CN"/>
          <w14:textFill>
            <w14:solidFill>
              <w14:schemeClr w14:val="tx1"/>
            </w14:solidFill>
          </w14:textFill>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pPr>
        <w:pageBreakBefore w:val="0"/>
        <w:widowControl w:val="0"/>
        <w:kinsoku/>
        <w:wordWrap/>
        <w:overflowPunct/>
        <w:topLinePunct w:val="0"/>
        <w:autoSpaceDE/>
        <w:autoSpaceDN/>
        <w:bidi w:val="0"/>
        <w:adjustRightInd/>
        <w:snapToGrid/>
        <w:spacing w:line="560" w:lineRule="exact"/>
        <w:ind w:firstLine="360" w:firstLineChars="200"/>
        <w:jc w:val="both"/>
        <w:textAlignment w:val="auto"/>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pStyle w:val="2"/>
        <w:rPr>
          <w:rFonts w:hint="eastAsia" w:ascii="宋体" w:hAnsi="宋体" w:eastAsia="宋体" w:cs="宋体"/>
          <w:sz w:val="18"/>
          <w:szCs w:val="18"/>
          <w:lang w:eastAsia="zh-CN"/>
        </w:rPr>
      </w:pPr>
    </w:p>
    <w:p>
      <w:pPr>
        <w:spacing w:beforeLines="50" w:afterLines="50"/>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指标</w:t>
      </w:r>
      <w:r>
        <w:rPr>
          <w:rFonts w:hint="default" w:ascii="Times New Roman" w:hAnsi="Times New Roman" w:eastAsia="方正小标宋_GBK" w:cs="Times New Roman"/>
          <w:kern w:val="0"/>
          <w:sz w:val="36"/>
          <w:szCs w:val="36"/>
        </w:rPr>
        <w:t>表</w:t>
      </w:r>
    </w:p>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eastAsia="zh-CN"/>
        </w:rPr>
        <w:t>填报单位：（盖章）</w:t>
      </w:r>
    </w:p>
    <w:tbl>
      <w:tblPr>
        <w:tblStyle w:val="6"/>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hint="eastAsia" w:ascii="仿宋_GB2312" w:eastAsia="仿宋_GB2312"/>
                <w:b/>
                <w:bCs/>
                <w:szCs w:val="21"/>
                <w:lang w:eastAsia="zh-CN"/>
              </w:rPr>
            </w:pPr>
            <w:r>
              <w:rPr>
                <w:rFonts w:hint="eastAsia" w:ascii="仿宋_GB2312" w:eastAsia="仿宋_GB2312"/>
                <w:b/>
                <w:bCs/>
                <w:szCs w:val="21"/>
              </w:rPr>
              <w:t>一级</w:t>
            </w:r>
          </w:p>
          <w:p>
            <w:pPr>
              <w:jc w:val="center"/>
              <w:rPr>
                <w:rFonts w:ascii="仿宋_GB2312" w:eastAsia="仿宋_GB2312"/>
                <w:b/>
                <w:bCs/>
                <w:szCs w:val="21"/>
              </w:rPr>
            </w:pP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目标</w:t>
            </w:r>
          </w:p>
          <w:p>
            <w:pPr>
              <w:spacing w:line="320" w:lineRule="exact"/>
              <w:jc w:val="center"/>
              <w:rPr>
                <w:rFonts w:ascii="仿宋_GB2312" w:eastAsia="仿宋_GB2312"/>
                <w:szCs w:val="21"/>
              </w:rPr>
            </w:pP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在职人员数：部门实际在职人数，以财政部确定的部门决算编制口径为准。</w:t>
            </w:r>
          </w:p>
          <w:p>
            <w:pPr>
              <w:spacing w:line="320" w:lineRule="exact"/>
              <w:ind w:left="105" w:leftChars="50" w:right="105" w:rightChars="50"/>
              <w:rPr>
                <w:rFonts w:ascii="仿宋_GB2312" w:eastAsia="仿宋_GB2312"/>
                <w:szCs w:val="21"/>
              </w:rPr>
            </w:pP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hint="eastAsia" w:ascii="仿宋_GB2312" w:eastAsia="仿宋_GB2312"/>
                <w:szCs w:val="21"/>
                <w:lang w:val="en-US" w:eastAsia="zh-CN"/>
              </w:rPr>
              <w:t>2</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预算执行数：部门本年度实际完成的预算数。</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实际支付进度：部门在某一时点的支出预算执行总数与年度支出预算数的比率。</w:t>
            </w:r>
          </w:p>
          <w:p>
            <w:pPr>
              <w:spacing w:line="320" w:lineRule="exact"/>
              <w:ind w:left="105" w:leftChars="50" w:right="105" w:rightChars="50"/>
              <w:rPr>
                <w:rFonts w:ascii="仿宋_GB2312" w:eastAsia="仿宋_GB2312"/>
                <w:szCs w:val="21"/>
              </w:rPr>
            </w:pP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相关管理制度是否合法、合规、完整；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预算支出的重大开支是否经过评估论证；</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是否符合部门预算批复的用途；</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是否按规定内容公开预决算信息；</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是否按规定时限公开预决算信息。</w:t>
            </w:r>
          </w:p>
          <w:p>
            <w:pPr>
              <w:spacing w:line="320" w:lineRule="exact"/>
              <w:ind w:left="105" w:leftChars="50" w:right="105" w:rightChars="50"/>
              <w:rPr>
                <w:rFonts w:ascii="仿宋_GB2312" w:eastAsia="仿宋_GB2312"/>
                <w:szCs w:val="21"/>
              </w:rPr>
            </w:pP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基础数据信息和会计信息资料是否真实；</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基础数据信息和会计信息资料是否完整；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资产</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资产保存是否完整；</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资产配置是否合理；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资产处置是否规范；</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资产账务管理是否合规，是否帐实相符；</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jc w:val="center"/>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实际完成工作数：一定时期（年度或规划期）内部门实际完成工作任务的数量。</w:t>
            </w:r>
          </w:p>
          <w:p>
            <w:pPr>
              <w:spacing w:line="320" w:lineRule="exact"/>
              <w:ind w:left="105" w:leftChars="50" w:right="105" w:rightChars="50"/>
              <w:rPr>
                <w:rFonts w:ascii="仿宋_GB2312" w:eastAsia="仿宋_GB2312"/>
                <w:szCs w:val="21"/>
              </w:rPr>
            </w:pP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hint="eastAsia"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restart"/>
            <w:vAlign w:val="center"/>
          </w:tcPr>
          <w:p>
            <w:pPr>
              <w:spacing w:line="320" w:lineRule="exact"/>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履职</w:t>
            </w:r>
          </w:p>
          <w:p>
            <w:pPr>
              <w:spacing w:line="320" w:lineRule="exact"/>
              <w:jc w:val="center"/>
              <w:rPr>
                <w:rFonts w:ascii="仿宋_GB2312" w:eastAsia="仿宋_GB2312"/>
                <w:szCs w:val="21"/>
              </w:rPr>
            </w:pP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p>
        </w:tc>
      </w:tr>
    </w:tbl>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bookmarkStart w:id="7" w:name="_GoBack"/>
      <w:bookmarkEnd w:id="7"/>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1"/>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p>
    <w:p>
      <w:pPr>
        <w:pStyle w:val="16"/>
        <w:spacing w:line="56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部门整体支出绩效评价基础数据表</w:t>
      </w:r>
    </w:p>
    <w:p>
      <w:pPr>
        <w:pStyle w:val="11"/>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spacing w:val="0"/>
          <w:w w:val="100"/>
          <w:position w:val="0"/>
          <w:sz w:val="24"/>
          <w:szCs w:val="24"/>
        </w:rPr>
      </w:pPr>
    </w:p>
    <w:p>
      <w:pPr>
        <w:pStyle w:val="11"/>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填报单位：</w:t>
      </w:r>
      <w:r>
        <w:rPr>
          <w:rFonts w:hint="eastAsia" w:cs="宋体"/>
          <w:color w:val="000000"/>
          <w:spacing w:val="0"/>
          <w:w w:val="100"/>
          <w:position w:val="0"/>
          <w:sz w:val="24"/>
          <w:szCs w:val="24"/>
          <w:lang w:eastAsia="zh-CN"/>
        </w:rPr>
        <w:t>（盖章）</w:t>
      </w:r>
    </w:p>
    <w:tbl>
      <w:tblPr>
        <w:tblStyle w:val="6"/>
        <w:tblW w:w="9437" w:type="dxa"/>
        <w:jc w:val="center"/>
        <w:tblLayout w:type="fixed"/>
        <w:tblCellMar>
          <w:top w:w="0" w:type="dxa"/>
          <w:left w:w="10" w:type="dxa"/>
          <w:bottom w:w="0" w:type="dxa"/>
          <w:right w:w="10" w:type="dxa"/>
        </w:tblCellMar>
      </w:tblPr>
      <w:tblGrid>
        <w:gridCol w:w="2732"/>
        <w:gridCol w:w="1080"/>
        <w:gridCol w:w="1005"/>
        <w:gridCol w:w="1172"/>
        <w:gridCol w:w="1142"/>
        <w:gridCol w:w="1255"/>
        <w:gridCol w:w="1051"/>
      </w:tblGrid>
      <w:tr>
        <w:tblPrEx>
          <w:tblCellMar>
            <w:top w:w="0" w:type="dxa"/>
            <w:left w:w="10" w:type="dxa"/>
            <w:bottom w:w="0" w:type="dxa"/>
            <w:right w:w="10" w:type="dxa"/>
          </w:tblCellMar>
        </w:tblPrEx>
        <w:trPr>
          <w:trHeight w:val="619"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财政供养人员情况</w:t>
            </w:r>
          </w:p>
        </w:tc>
        <w:tc>
          <w:tcPr>
            <w:tcW w:w="2085" w:type="dxa"/>
            <w:gridSpan w:val="2"/>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编制数</w:t>
            </w:r>
          </w:p>
        </w:tc>
        <w:tc>
          <w:tcPr>
            <w:tcW w:w="2314" w:type="dxa"/>
            <w:gridSpan w:val="2"/>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p>
        </w:tc>
        <w:tc>
          <w:tcPr>
            <w:tcW w:w="2306" w:type="dxa"/>
            <w:gridSpan w:val="2"/>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rPr>
              <w:t>控制率</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rPr>
              <w:t>编制数</w:t>
            </w:r>
          </w:p>
        </w:tc>
      </w:tr>
      <w:tr>
        <w:tblPrEx>
          <w:tblCellMar>
            <w:top w:w="0" w:type="dxa"/>
            <w:left w:w="10" w:type="dxa"/>
            <w:bottom w:w="0" w:type="dxa"/>
            <w:right w:w="10" w:type="dxa"/>
          </w:tblCellMar>
        </w:tblPrEx>
        <w:trPr>
          <w:trHeight w:val="455" w:hRule="exact"/>
          <w:jc w:val="center"/>
        </w:trPr>
        <w:tc>
          <w:tcPr>
            <w:tcW w:w="2732" w:type="dxa"/>
            <w:vMerge w:val="continue"/>
            <w:tcBorders>
              <w:left w:val="single" w:color="auto" w:sz="4" w:space="0"/>
              <w:bottom w:val="single" w:color="auto" w:sz="4" w:space="0"/>
            </w:tcBorders>
            <w:shd w:val="clear" w:color="auto" w:fill="FFFFFF"/>
            <w:noWrap w:val="0"/>
            <w:vAlign w:val="center"/>
          </w:tcPr>
          <w:p>
            <w:pPr>
              <w:jc w:val="center"/>
              <w:rPr>
                <w:rFonts w:hint="eastAsia" w:ascii="仿宋_GB2312" w:hAnsi="仿宋_GB2312" w:eastAsia="仿宋_GB2312" w:cs="仿宋_GB2312"/>
                <w:sz w:val="21"/>
                <w:szCs w:val="21"/>
              </w:rPr>
            </w:pPr>
          </w:p>
        </w:tc>
        <w:tc>
          <w:tcPr>
            <w:tcW w:w="2085" w:type="dxa"/>
            <w:gridSpan w:val="2"/>
            <w:tcBorders>
              <w:top w:val="single" w:color="auto" w:sz="4" w:space="0"/>
              <w:left w:val="single" w:color="auto" w:sz="4" w:space="0"/>
              <w:bottom w:val="single" w:color="auto" w:sz="4" w:space="0"/>
            </w:tcBorders>
            <w:shd w:val="clear" w:color="auto" w:fill="FFFFFF"/>
            <w:noWrap w:val="0"/>
            <w:vAlign w:val="top"/>
          </w:tcPr>
          <w:p>
            <w:pPr>
              <w:widowControl w:val="0"/>
              <w:spacing w:line="360" w:lineRule="auto"/>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2314" w:type="dxa"/>
            <w:gridSpan w:val="2"/>
            <w:tcBorders>
              <w:top w:val="single" w:color="auto" w:sz="4" w:space="0"/>
              <w:left w:val="single" w:color="auto" w:sz="4" w:space="0"/>
              <w:bottom w:val="single" w:color="auto" w:sz="4" w:space="0"/>
            </w:tcBorders>
            <w:shd w:val="clear" w:color="auto" w:fill="FFFFFF"/>
            <w:noWrap w:val="0"/>
            <w:vAlign w:val="top"/>
          </w:tcPr>
          <w:p>
            <w:pPr>
              <w:widowControl w:val="0"/>
              <w:spacing w:line="360" w:lineRule="auto"/>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2306"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spacing w:line="360" w:lineRule="auto"/>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77%</w:t>
            </w:r>
          </w:p>
        </w:tc>
      </w:tr>
      <w:tr>
        <w:tblPrEx>
          <w:tblCellMar>
            <w:top w:w="0" w:type="dxa"/>
            <w:left w:w="10" w:type="dxa"/>
            <w:bottom w:w="0" w:type="dxa"/>
            <w:right w:w="10" w:type="dxa"/>
          </w:tblCellMar>
        </w:tblPrEx>
        <w:trPr>
          <w:trHeight w:val="532"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经费控制情况</w:t>
            </w:r>
          </w:p>
        </w:tc>
        <w:tc>
          <w:tcPr>
            <w:tcW w:w="2085" w:type="dxa"/>
            <w:gridSpan w:val="2"/>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20</w:t>
            </w:r>
            <w:r>
              <w:rPr>
                <w:rFonts w:hint="eastAsia" w:ascii="仿宋_GB2312" w:hAnsi="仿宋_GB2312" w:eastAsia="仿宋_GB2312" w:cs="仿宋_GB2312"/>
                <w:b/>
                <w:bCs/>
                <w:color w:val="000000"/>
                <w:spacing w:val="0"/>
                <w:w w:val="100"/>
                <w:position w:val="0"/>
                <w:sz w:val="21"/>
                <w:szCs w:val="21"/>
                <w:lang w:val="en-US" w:eastAsia="zh-CN"/>
              </w:rPr>
              <w:t>21</w:t>
            </w:r>
            <w:r>
              <w:rPr>
                <w:rFonts w:hint="eastAsia" w:ascii="仿宋_GB2312" w:hAnsi="仿宋_GB2312" w:eastAsia="仿宋_GB2312" w:cs="仿宋_GB2312"/>
                <w:b/>
                <w:bCs/>
                <w:color w:val="000000"/>
                <w:spacing w:val="0"/>
                <w:w w:val="100"/>
                <w:position w:val="0"/>
                <w:sz w:val="21"/>
                <w:szCs w:val="21"/>
              </w:rPr>
              <w:t>年决算数</w:t>
            </w:r>
          </w:p>
        </w:tc>
        <w:tc>
          <w:tcPr>
            <w:tcW w:w="2314" w:type="dxa"/>
            <w:gridSpan w:val="2"/>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2</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预算数</w:t>
            </w:r>
          </w:p>
        </w:tc>
        <w:tc>
          <w:tcPr>
            <w:tcW w:w="2306" w:type="dxa"/>
            <w:gridSpan w:val="2"/>
            <w:tcBorders>
              <w:top w:val="single" w:color="auto" w:sz="4" w:space="0"/>
              <w:left w:val="single" w:color="auto" w:sz="4" w:space="0"/>
              <w:righ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2</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决算数</w:t>
            </w:r>
          </w:p>
        </w:tc>
      </w:tr>
      <w:tr>
        <w:tblPrEx>
          <w:tblCellMar>
            <w:top w:w="0" w:type="dxa"/>
            <w:left w:w="10" w:type="dxa"/>
            <w:bottom w:w="0" w:type="dxa"/>
            <w:right w:w="10" w:type="dxa"/>
          </w:tblCellMar>
        </w:tblPrEx>
        <w:trPr>
          <w:trHeight w:val="503"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三公经费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CellMar>
            <w:top w:w="0" w:type="dxa"/>
            <w:left w:w="10" w:type="dxa"/>
            <w:bottom w:w="0" w:type="dxa"/>
            <w:right w:w="10" w:type="dxa"/>
          </w:tblCellMar>
        </w:tblPrEx>
        <w:trPr>
          <w:trHeight w:val="652"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、公务用车购置和维护经费</w:t>
            </w:r>
          </w:p>
        </w:tc>
        <w:tc>
          <w:tcPr>
            <w:tcW w:w="2085" w:type="dxa"/>
            <w:gridSpan w:val="2"/>
            <w:tcBorders>
              <w:top w:val="single" w:color="auto" w:sz="4" w:space="0"/>
              <w:left w:val="single" w:color="auto" w:sz="4" w:space="0"/>
            </w:tcBorders>
            <w:shd w:val="clear" w:color="auto" w:fill="FFFFFF"/>
            <w:noWrap w:val="0"/>
            <w:vAlign w:val="top"/>
          </w:tcPr>
          <w:p>
            <w:pPr>
              <w:widowControl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14" w:type="dxa"/>
            <w:gridSpan w:val="2"/>
            <w:tcBorders>
              <w:top w:val="single" w:color="auto" w:sz="4" w:space="0"/>
              <w:lef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5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其中：公车购置</w:t>
            </w:r>
          </w:p>
        </w:tc>
        <w:tc>
          <w:tcPr>
            <w:tcW w:w="2085" w:type="dxa"/>
            <w:gridSpan w:val="2"/>
            <w:tcBorders>
              <w:top w:val="single" w:color="auto" w:sz="4" w:space="0"/>
              <w:lef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14" w:type="dxa"/>
            <w:gridSpan w:val="2"/>
            <w:tcBorders>
              <w:top w:val="single" w:color="auto" w:sz="4" w:space="0"/>
              <w:lef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116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公车运行维护</w:t>
            </w:r>
          </w:p>
        </w:tc>
        <w:tc>
          <w:tcPr>
            <w:tcW w:w="2085" w:type="dxa"/>
            <w:gridSpan w:val="2"/>
            <w:tcBorders>
              <w:top w:val="single" w:color="auto" w:sz="4" w:space="0"/>
              <w:lef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14" w:type="dxa"/>
            <w:gridSpan w:val="2"/>
            <w:tcBorders>
              <w:top w:val="single" w:color="auto" w:sz="4" w:space="0"/>
              <w:lef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、出国经费</w:t>
            </w:r>
          </w:p>
        </w:tc>
        <w:tc>
          <w:tcPr>
            <w:tcW w:w="2085" w:type="dxa"/>
            <w:gridSpan w:val="2"/>
            <w:tcBorders>
              <w:top w:val="single" w:color="auto" w:sz="4" w:space="0"/>
              <w:lef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14" w:type="dxa"/>
            <w:gridSpan w:val="2"/>
            <w:tcBorders>
              <w:top w:val="single" w:color="auto" w:sz="4" w:space="0"/>
              <w:lef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3</w:t>
            </w:r>
            <w:r>
              <w:rPr>
                <w:rFonts w:hint="eastAsia" w:ascii="仿宋_GB2312" w:hAnsi="仿宋_GB2312" w:eastAsia="仿宋_GB2312" w:cs="仿宋_GB2312"/>
                <w:color w:val="000000"/>
                <w:spacing w:val="0"/>
                <w:w w:val="100"/>
                <w:position w:val="0"/>
                <w:sz w:val="21"/>
                <w:szCs w:val="21"/>
              </w:rPr>
              <w:t>、公务接待</w:t>
            </w:r>
          </w:p>
        </w:tc>
        <w:tc>
          <w:tcPr>
            <w:tcW w:w="2085" w:type="dxa"/>
            <w:gridSpan w:val="2"/>
            <w:tcBorders>
              <w:top w:val="single" w:color="auto" w:sz="4" w:space="0"/>
              <w:lef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14" w:type="dxa"/>
            <w:gridSpan w:val="2"/>
            <w:tcBorders>
              <w:top w:val="single" w:color="auto" w:sz="4" w:space="0"/>
              <w:lef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项目支出：</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156.58</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92.71</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92.71</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、业务工作专项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117.5</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42.58</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42.48</w:t>
            </w: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、运行维护专项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39.08</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50.13</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50.13</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公用经费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18.41</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17.29</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17.29</w:t>
            </w: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left="0" w:right="0" w:firstLine="3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其中：办公经费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3.98</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3.98</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水费、电费、差旅费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0.32</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0.071</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0.071</w:t>
            </w: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10"/>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会议费、培训费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0.1</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政府采购金额</w:t>
            </w:r>
          </w:p>
        </w:tc>
        <w:tc>
          <w:tcPr>
            <w:tcW w:w="2085" w:type="dxa"/>
            <w:gridSpan w:val="2"/>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0"/>
                <w:w w:val="100"/>
                <w:position w:val="0"/>
                <w:sz w:val="21"/>
                <w:szCs w:val="21"/>
                <w:lang w:val="en-US" w:eastAsia="zh-CN"/>
              </w:rPr>
              <w:t>32.94</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23.90</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部门整体支出预算调整</w:t>
            </w:r>
          </w:p>
        </w:tc>
        <w:tc>
          <w:tcPr>
            <w:tcW w:w="2085" w:type="dxa"/>
            <w:gridSpan w:val="2"/>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r>
      <w:tr>
        <w:tblPrEx>
          <w:tblCellMar>
            <w:top w:w="0" w:type="dxa"/>
            <w:left w:w="10" w:type="dxa"/>
            <w:bottom w:w="0" w:type="dxa"/>
            <w:right w:w="10" w:type="dxa"/>
          </w:tblCellMar>
        </w:tblPrEx>
        <w:trPr>
          <w:trHeight w:val="782"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楼堂馆所控制情况 </w:t>
            </w:r>
            <w:r>
              <w:rPr>
                <w:rFonts w:hint="eastAsia" w:ascii="仿宋_GB2312" w:hAnsi="仿宋_GB2312" w:eastAsia="仿宋_GB2312" w:cs="仿宋_GB2312"/>
                <w:b w:val="0"/>
                <w:bCs w:val="0"/>
                <w:color w:val="000000"/>
                <w:spacing w:val="0"/>
                <w:w w:val="100"/>
                <w:position w:val="0"/>
                <w:sz w:val="21"/>
                <w:szCs w:val="21"/>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color w:val="000000"/>
                <w:spacing w:val="0"/>
                <w:w w:val="100"/>
                <w:position w:val="0"/>
                <w:sz w:val="21"/>
                <w:szCs w:val="21"/>
              </w:rPr>
              <w:t>完工项目）</w:t>
            </w:r>
          </w:p>
        </w:tc>
        <w:tc>
          <w:tcPr>
            <w:tcW w:w="1080"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批复规模 </w:t>
            </w: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1</w:t>
            </w:r>
            <w:r>
              <w:rPr>
                <w:rFonts w:hint="eastAsia" w:ascii="仿宋_GB2312" w:hAnsi="仿宋_GB2312" w:eastAsia="仿宋_GB2312" w:cs="仿宋_GB2312"/>
                <w:color w:val="000000"/>
                <w:spacing w:val="0"/>
                <w:w w:val="100"/>
                <w:position w:val="0"/>
                <w:sz w:val="21"/>
                <w:szCs w:val="21"/>
                <w:lang w:val="en-US" w:eastAsia="en-US" w:bidi="en-US"/>
              </w:rPr>
              <w:t>）</w:t>
            </w:r>
          </w:p>
        </w:tc>
        <w:tc>
          <w:tcPr>
            <w:tcW w:w="1005"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40" w:line="312" w:lineRule="exact"/>
              <w:ind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实际规模</w:t>
            </w:r>
          </w:p>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2</w:t>
            </w:r>
            <w:r>
              <w:rPr>
                <w:rFonts w:hint="eastAsia" w:ascii="仿宋_GB2312" w:hAnsi="仿宋_GB2312" w:eastAsia="仿宋_GB2312" w:cs="仿宋_GB2312"/>
                <w:color w:val="000000"/>
                <w:spacing w:val="0"/>
                <w:w w:val="100"/>
                <w:position w:val="0"/>
                <w:sz w:val="21"/>
                <w:szCs w:val="21"/>
                <w:lang w:val="en-US" w:eastAsia="en-US" w:bidi="en-US"/>
              </w:rPr>
              <w:t>）</w:t>
            </w:r>
          </w:p>
        </w:tc>
        <w:tc>
          <w:tcPr>
            <w:tcW w:w="117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规模控制率</w:t>
            </w:r>
          </w:p>
        </w:tc>
        <w:tc>
          <w:tcPr>
            <w:tcW w:w="1142"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预算投资</w:t>
            </w:r>
            <w:r>
              <w:rPr>
                <w:rFonts w:hint="eastAsia" w:ascii="仿宋_GB2312" w:hAnsi="仿宋_GB2312" w:eastAsia="仿宋_GB2312" w:cs="仿宋_GB2312"/>
                <w:color w:val="000000"/>
                <w:spacing w:val="0"/>
                <w:w w:val="100"/>
                <w:position w:val="0"/>
                <w:sz w:val="21"/>
                <w:szCs w:val="21"/>
                <w:lang w:val="en-US" w:eastAsia="zh-CN"/>
              </w:rPr>
              <w:t xml:space="preserve">     </w:t>
            </w:r>
            <w:r>
              <w:rPr>
                <w:rFonts w:hint="eastAsia" w:ascii="仿宋_GB2312" w:hAnsi="仿宋_GB2312" w:eastAsia="仿宋_GB2312" w:cs="仿宋_GB2312"/>
                <w:color w:val="000000"/>
                <w:spacing w:val="0"/>
                <w:w w:val="100"/>
                <w:position w:val="0"/>
                <w:sz w:val="21"/>
                <w:szCs w:val="21"/>
              </w:rPr>
              <w:t>（万元）</w:t>
            </w:r>
          </w:p>
        </w:tc>
        <w:tc>
          <w:tcPr>
            <w:tcW w:w="1255" w:type="dxa"/>
            <w:tcBorders>
              <w:top w:val="single" w:color="auto" w:sz="4" w:space="0"/>
              <w:lef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实际投资 （万元）</w:t>
            </w:r>
          </w:p>
        </w:tc>
        <w:tc>
          <w:tcPr>
            <w:tcW w:w="1051" w:type="dxa"/>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widowControl w:val="0"/>
              <w:shd w:val="clear" w:color="auto" w:fill="auto"/>
              <w:bidi w:val="0"/>
              <w:spacing w:before="0" w:after="0" w:line="283"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投资概算控制率</w:t>
            </w:r>
          </w:p>
        </w:tc>
      </w:tr>
      <w:tr>
        <w:tblPrEx>
          <w:tblCellMar>
            <w:top w:w="0" w:type="dxa"/>
            <w:left w:w="10" w:type="dxa"/>
            <w:bottom w:w="0" w:type="dxa"/>
            <w:right w:w="10" w:type="dxa"/>
          </w:tblCellMar>
        </w:tblPrEx>
        <w:trPr>
          <w:trHeight w:val="466" w:hRule="exact"/>
          <w:jc w:val="center"/>
        </w:trPr>
        <w:tc>
          <w:tcPr>
            <w:tcW w:w="2732"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1080"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0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7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25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51"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CellMar>
            <w:top w:w="0" w:type="dxa"/>
            <w:left w:w="10" w:type="dxa"/>
            <w:bottom w:w="0" w:type="dxa"/>
            <w:right w:w="10" w:type="dxa"/>
          </w:tblCellMar>
        </w:tblPrEx>
        <w:trPr>
          <w:trHeight w:val="1480" w:hRule="exact"/>
          <w:jc w:val="center"/>
        </w:trPr>
        <w:tc>
          <w:tcPr>
            <w:tcW w:w="2732" w:type="dxa"/>
            <w:tcBorders>
              <w:top w:val="single" w:color="auto" w:sz="4" w:space="0"/>
              <w:left w:val="single" w:color="auto" w:sz="4" w:space="0"/>
              <w:bottom w:val="single" w:color="auto" w:sz="4" w:space="0"/>
            </w:tcBorders>
            <w:shd w:val="clear" w:color="auto" w:fill="FFFFFF"/>
            <w:noWrap w:val="0"/>
            <w:vAlign w:val="top"/>
          </w:tcPr>
          <w:p>
            <w:pPr>
              <w:pStyle w:val="10"/>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color w:val="000000"/>
                <w:spacing w:val="0"/>
                <w:w w:val="100"/>
                <w:position w:val="0"/>
                <w:sz w:val="21"/>
                <w:szCs w:val="21"/>
              </w:rPr>
            </w:pPr>
          </w:p>
          <w:p>
            <w:pPr>
              <w:pStyle w:val="10"/>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厉行节约保障措施</w:t>
            </w:r>
          </w:p>
        </w:tc>
        <w:tc>
          <w:tcPr>
            <w:tcW w:w="6705"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lang w:val="en-US" w:eastAsia="zh-CN"/>
              </w:rPr>
            </w:pPr>
            <w:r>
              <w:rPr>
                <w:rFonts w:hint="eastAsia"/>
                <w:lang w:eastAsia="zh-CN"/>
              </w:rPr>
              <w:t>节约用电，随手关灯。空调使用温度严格按照制冷</w:t>
            </w:r>
            <w:r>
              <w:rPr>
                <w:rFonts w:hint="eastAsia"/>
                <w:lang w:val="en-US" w:eastAsia="zh-CN"/>
              </w:rPr>
              <w:t>26℃，制热20℃。</w:t>
            </w:r>
          </w:p>
          <w:p>
            <w:pPr>
              <w:pStyle w:val="5"/>
              <w:rPr>
                <w:rFonts w:hint="default"/>
                <w:lang w:val="en-US" w:eastAsia="zh-CN"/>
              </w:rPr>
            </w:pPr>
          </w:p>
        </w:tc>
      </w:tr>
    </w:tbl>
    <w:p>
      <w:pPr>
        <w:pStyle w:val="12"/>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12"/>
        <w:keepNext w:val="0"/>
        <w:keepLines w:val="0"/>
        <w:widowControl w:val="0"/>
        <w:shd w:val="clear" w:color="auto" w:fill="auto"/>
        <w:bidi w:val="0"/>
        <w:spacing w:before="0" w:after="0"/>
        <w:ind w:left="0" w:right="0" w:firstLine="0"/>
        <w:jc w:val="left"/>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sectPr>
      <w:footerReference r:id="rId3" w:type="default"/>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79151"/>
    <w:multiLevelType w:val="singleLevel"/>
    <w:tmpl w:val="80279151"/>
    <w:lvl w:ilvl="0" w:tentative="0">
      <w:start w:val="1"/>
      <w:numFmt w:val="chineseCounting"/>
      <w:suff w:val="nothing"/>
      <w:lvlText w:val="（%1）"/>
      <w:lvlJc w:val="left"/>
      <w:rPr>
        <w:rFonts w:hint="eastAsia"/>
      </w:rPr>
    </w:lvl>
  </w:abstractNum>
  <w:abstractNum w:abstractNumId="1">
    <w:nsid w:val="0E813F1C"/>
    <w:multiLevelType w:val="singleLevel"/>
    <w:tmpl w:val="0E813F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Yzg4OTFkYzI1MGEyYWYzZmViN2M2MmI4YjdlYTMifQ=="/>
  </w:docVars>
  <w:rsids>
    <w:rsidRoot w:val="00000000"/>
    <w:rsid w:val="00563274"/>
    <w:rsid w:val="005A7208"/>
    <w:rsid w:val="024F2A05"/>
    <w:rsid w:val="051C34DF"/>
    <w:rsid w:val="06541A2E"/>
    <w:rsid w:val="069D39AB"/>
    <w:rsid w:val="069F7723"/>
    <w:rsid w:val="06CB676A"/>
    <w:rsid w:val="08D9696C"/>
    <w:rsid w:val="08E14130"/>
    <w:rsid w:val="0AF838A6"/>
    <w:rsid w:val="0C77765A"/>
    <w:rsid w:val="0CC561BE"/>
    <w:rsid w:val="0D1C7D1F"/>
    <w:rsid w:val="0D576FA9"/>
    <w:rsid w:val="0E107158"/>
    <w:rsid w:val="0F87344A"/>
    <w:rsid w:val="109C7BEF"/>
    <w:rsid w:val="11431086"/>
    <w:rsid w:val="118C4D48"/>
    <w:rsid w:val="14172FEE"/>
    <w:rsid w:val="141C0A1B"/>
    <w:rsid w:val="15BE26E4"/>
    <w:rsid w:val="15EE7D7F"/>
    <w:rsid w:val="15FE04ED"/>
    <w:rsid w:val="174F3A55"/>
    <w:rsid w:val="17AA5F28"/>
    <w:rsid w:val="18001FEB"/>
    <w:rsid w:val="19063631"/>
    <w:rsid w:val="1A0B2E3F"/>
    <w:rsid w:val="1A6C1BBA"/>
    <w:rsid w:val="1A78230D"/>
    <w:rsid w:val="1A91517D"/>
    <w:rsid w:val="1BDF723B"/>
    <w:rsid w:val="1C0B1F5C"/>
    <w:rsid w:val="1CFF0AC4"/>
    <w:rsid w:val="1D1D115D"/>
    <w:rsid w:val="1EB853CE"/>
    <w:rsid w:val="1F291E28"/>
    <w:rsid w:val="200F2916"/>
    <w:rsid w:val="20F56394"/>
    <w:rsid w:val="21254871"/>
    <w:rsid w:val="21507B40"/>
    <w:rsid w:val="2297354C"/>
    <w:rsid w:val="242B4894"/>
    <w:rsid w:val="24650CAD"/>
    <w:rsid w:val="272C6959"/>
    <w:rsid w:val="27F3419F"/>
    <w:rsid w:val="28A10C81"/>
    <w:rsid w:val="290D27BA"/>
    <w:rsid w:val="2ADE440E"/>
    <w:rsid w:val="2AE31A25"/>
    <w:rsid w:val="2C02237E"/>
    <w:rsid w:val="2CD86C3B"/>
    <w:rsid w:val="2E184591"/>
    <w:rsid w:val="2EC97183"/>
    <w:rsid w:val="2F5B602D"/>
    <w:rsid w:val="309C68FD"/>
    <w:rsid w:val="30FC114A"/>
    <w:rsid w:val="31603DCF"/>
    <w:rsid w:val="31AF2660"/>
    <w:rsid w:val="32075FF9"/>
    <w:rsid w:val="340B2BA2"/>
    <w:rsid w:val="34192013"/>
    <w:rsid w:val="349642F8"/>
    <w:rsid w:val="356419B4"/>
    <w:rsid w:val="366C0B20"/>
    <w:rsid w:val="368416DE"/>
    <w:rsid w:val="372D232C"/>
    <w:rsid w:val="37F25055"/>
    <w:rsid w:val="380D6333"/>
    <w:rsid w:val="3951224F"/>
    <w:rsid w:val="396F26D5"/>
    <w:rsid w:val="39F350B4"/>
    <w:rsid w:val="3CA207E9"/>
    <w:rsid w:val="3CFE26EE"/>
    <w:rsid w:val="3D9646D4"/>
    <w:rsid w:val="3DD35929"/>
    <w:rsid w:val="3DDA0420"/>
    <w:rsid w:val="3E0930F8"/>
    <w:rsid w:val="401D10DD"/>
    <w:rsid w:val="40307062"/>
    <w:rsid w:val="40C15F0C"/>
    <w:rsid w:val="425D23F3"/>
    <w:rsid w:val="42C41CE4"/>
    <w:rsid w:val="435C6D50"/>
    <w:rsid w:val="436F39FE"/>
    <w:rsid w:val="442A3DC9"/>
    <w:rsid w:val="4469669F"/>
    <w:rsid w:val="448917EC"/>
    <w:rsid w:val="453A003B"/>
    <w:rsid w:val="4662784A"/>
    <w:rsid w:val="46C2653A"/>
    <w:rsid w:val="473E2065"/>
    <w:rsid w:val="48965ED0"/>
    <w:rsid w:val="4953791E"/>
    <w:rsid w:val="49641B2B"/>
    <w:rsid w:val="49892887"/>
    <w:rsid w:val="49C5081B"/>
    <w:rsid w:val="49F56182"/>
    <w:rsid w:val="4A2F2139"/>
    <w:rsid w:val="4A9F6714"/>
    <w:rsid w:val="4CB61310"/>
    <w:rsid w:val="4E8F31A6"/>
    <w:rsid w:val="4F8B6063"/>
    <w:rsid w:val="50E750E8"/>
    <w:rsid w:val="512E4EF8"/>
    <w:rsid w:val="534C3D5B"/>
    <w:rsid w:val="545509EE"/>
    <w:rsid w:val="55202DAA"/>
    <w:rsid w:val="55755470"/>
    <w:rsid w:val="5855720E"/>
    <w:rsid w:val="59440C7A"/>
    <w:rsid w:val="599C7F9A"/>
    <w:rsid w:val="5AAB6FEB"/>
    <w:rsid w:val="5AC912A1"/>
    <w:rsid w:val="5C2E290C"/>
    <w:rsid w:val="5C3F445D"/>
    <w:rsid w:val="5C7D6D34"/>
    <w:rsid w:val="5D8B1CD6"/>
    <w:rsid w:val="5E653F23"/>
    <w:rsid w:val="5EB63CF0"/>
    <w:rsid w:val="60031C46"/>
    <w:rsid w:val="602F47E9"/>
    <w:rsid w:val="60C452CD"/>
    <w:rsid w:val="613368C6"/>
    <w:rsid w:val="627F0705"/>
    <w:rsid w:val="63E458EA"/>
    <w:rsid w:val="63F518A5"/>
    <w:rsid w:val="64460353"/>
    <w:rsid w:val="649B244D"/>
    <w:rsid w:val="65442AE4"/>
    <w:rsid w:val="65905D2A"/>
    <w:rsid w:val="675A65EF"/>
    <w:rsid w:val="68024591"/>
    <w:rsid w:val="68081D7E"/>
    <w:rsid w:val="696E0130"/>
    <w:rsid w:val="69E2467A"/>
    <w:rsid w:val="6A955B90"/>
    <w:rsid w:val="6AEF34F2"/>
    <w:rsid w:val="6DA85BDA"/>
    <w:rsid w:val="6F2110CC"/>
    <w:rsid w:val="705D2CAC"/>
    <w:rsid w:val="70BD199D"/>
    <w:rsid w:val="72E40307"/>
    <w:rsid w:val="74251D33"/>
    <w:rsid w:val="74FB2A94"/>
    <w:rsid w:val="75321D1A"/>
    <w:rsid w:val="75AC3F78"/>
    <w:rsid w:val="77754D7F"/>
    <w:rsid w:val="779D6084"/>
    <w:rsid w:val="787D4DC0"/>
    <w:rsid w:val="79134850"/>
    <w:rsid w:val="79473B84"/>
    <w:rsid w:val="79AC0800"/>
    <w:rsid w:val="7A122D59"/>
    <w:rsid w:val="7A1B7E60"/>
    <w:rsid w:val="7AB636E5"/>
    <w:rsid w:val="7C224DAA"/>
    <w:rsid w:val="7CFB7AD5"/>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Arial Unicode MS"/>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customStyle="1" w:styleId="8">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9">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10">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1">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2">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13">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14">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5">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1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6898</Words>
  <Characters>7306</Characters>
  <Lines>0</Lines>
  <Paragraphs>0</Paragraphs>
  <TotalTime>0</TotalTime>
  <ScaleCrop>false</ScaleCrop>
  <LinksUpToDate>false</LinksUpToDate>
  <CharactersWithSpaces>7461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2023-06-26T02:14:00Z</dcterms:created>
  <dc:creator>Administrator</dc:creator>
  <cp:lastModifiedBy>棉花糖</cp:lastModifiedBy>
  <dcterms:modified xsi:type="dcterms:W3CDTF">2023-12-05T08:27:54Z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32A0AAD35E8E4E14B3B2199F993A474A_13</vt:lpwstr>
  </property>
</Properties>
</file>