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1</w:t>
      </w:r>
    </w:p>
    <w:p>
      <w:pPr>
        <w:spacing w:beforeLines="50" w:afterLines="50"/>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指标</w:t>
      </w:r>
      <w:r>
        <w:rPr>
          <w:rFonts w:hint="default" w:ascii="Times New Roman" w:hAnsi="Times New Roman" w:eastAsia="方正小标宋_GBK" w:cs="Times New Roman"/>
          <w:kern w:val="0"/>
          <w:sz w:val="36"/>
          <w:szCs w:val="36"/>
        </w:rPr>
        <w:t>表</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eastAsia="zh-CN"/>
        </w:rPr>
        <w:t>填报单位：（盖章）</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hint="eastAsia" w:ascii="仿宋_GB2312" w:eastAsia="仿宋_GB2312"/>
                <w:b/>
                <w:bCs/>
                <w:szCs w:val="21"/>
                <w:lang w:eastAsia="zh-CN"/>
              </w:rPr>
            </w:pPr>
            <w:r>
              <w:rPr>
                <w:rFonts w:hint="eastAsia" w:ascii="仿宋_GB2312" w:eastAsia="仿宋_GB2312"/>
                <w:b/>
                <w:bCs/>
                <w:szCs w:val="21"/>
              </w:rPr>
              <w:t>一级</w:t>
            </w:r>
          </w:p>
          <w:p>
            <w:pPr>
              <w:jc w:val="center"/>
              <w:rPr>
                <w:rFonts w:ascii="仿宋_GB2312" w:eastAsia="仿宋_GB2312"/>
                <w:b/>
                <w:bCs/>
                <w:szCs w:val="21"/>
              </w:rPr>
            </w:pP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目标</w:t>
            </w:r>
          </w:p>
          <w:p>
            <w:pPr>
              <w:spacing w:line="320" w:lineRule="exact"/>
              <w:jc w:val="center"/>
              <w:rPr>
                <w:rFonts w:ascii="仿宋_GB2312" w:eastAsia="仿宋_GB2312"/>
                <w:szCs w:val="21"/>
              </w:rPr>
            </w:pP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在职人员数：部门实际在职人数，以财政部确定的部门决算编制口径为准。</w:t>
            </w:r>
          </w:p>
          <w:p>
            <w:pPr>
              <w:spacing w:line="320" w:lineRule="exact"/>
              <w:ind w:left="105" w:leftChars="50" w:right="105" w:rightChars="50"/>
              <w:rPr>
                <w:rFonts w:ascii="仿宋_GB2312" w:eastAsia="仿宋_GB2312"/>
                <w:szCs w:val="21"/>
              </w:rPr>
            </w:pP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hint="eastAsia" w:ascii="仿宋_GB2312" w:eastAsia="仿宋_GB2312"/>
                <w:szCs w:val="21"/>
                <w:lang w:val="en-US" w:eastAsia="zh-CN"/>
              </w:rPr>
              <w:t>2</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预算执行数：部门本年度实际完成的预算数。</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实际支付进度：部门在某一时点的支出预算执行总数与年度支出预算数的比率。</w:t>
            </w:r>
          </w:p>
          <w:p>
            <w:pPr>
              <w:spacing w:line="320" w:lineRule="exact"/>
              <w:ind w:left="105" w:leftChars="50" w:right="105" w:rightChars="50"/>
              <w:rPr>
                <w:rFonts w:ascii="仿宋_GB2312" w:eastAsia="仿宋_GB2312"/>
                <w:szCs w:val="21"/>
              </w:rPr>
            </w:pP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相关管理制度是否合法、合规、完整；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预算支出的重大开支是否经过评估论证；</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是否符合部门预算批复的用途；</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是否按规定内容公开预决算信息；</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是否按规定时限公开预决算信息。</w:t>
            </w:r>
          </w:p>
          <w:p>
            <w:pPr>
              <w:spacing w:line="320" w:lineRule="exact"/>
              <w:ind w:left="105" w:leftChars="50" w:right="105" w:rightChars="50"/>
              <w:rPr>
                <w:rFonts w:ascii="仿宋_GB2312" w:eastAsia="仿宋_GB2312"/>
                <w:szCs w:val="21"/>
              </w:rPr>
            </w:pP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基础数据信息和会计信息资料是否真实；</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基础数据信息和会计信息资料是否完整；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资产</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资产保存是否完整；</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资产配置是否合理；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资产处置是否规范；</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资产账务管理是否合规，是否帐实相符；</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jc w:val="center"/>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实际完成工作数：一定时期（年度或规划期）内部门实际完成工作任务的数量。</w:t>
            </w:r>
          </w:p>
          <w:p>
            <w:pPr>
              <w:spacing w:line="320" w:lineRule="exact"/>
              <w:ind w:left="105" w:leftChars="50" w:right="105" w:rightChars="50"/>
              <w:rPr>
                <w:rFonts w:ascii="仿宋_GB2312" w:eastAsia="仿宋_GB2312"/>
                <w:szCs w:val="21"/>
              </w:rPr>
            </w:pP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hint="eastAsia"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restart"/>
            <w:vAlign w:val="center"/>
          </w:tcPr>
          <w:p>
            <w:pPr>
              <w:spacing w:line="320" w:lineRule="exact"/>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履职</w:t>
            </w:r>
          </w:p>
          <w:p>
            <w:pPr>
              <w:spacing w:line="320" w:lineRule="exact"/>
              <w:jc w:val="center"/>
              <w:rPr>
                <w:rFonts w:ascii="仿宋_GB2312" w:eastAsia="仿宋_GB2312"/>
                <w:szCs w:val="21"/>
              </w:rPr>
            </w:pP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p>
        </w:tc>
      </w:tr>
    </w:tbl>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bookmarkStart w:id="12" w:name="_GoBack"/>
      <w:bookmarkEnd w:id="12"/>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2</w:t>
      </w:r>
    </w:p>
    <w:p>
      <w:pPr>
        <w:pStyle w:val="15"/>
        <w:spacing w:line="56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部门整体支出绩效评价基础数据表</w:t>
      </w:r>
    </w:p>
    <w:p>
      <w:pPr>
        <w:pStyle w:val="10"/>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spacing w:val="0"/>
          <w:w w:val="100"/>
          <w:position w:val="0"/>
          <w:sz w:val="24"/>
          <w:szCs w:val="24"/>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（盖章）</w:t>
      </w:r>
    </w:p>
    <w:tbl>
      <w:tblPr>
        <w:tblStyle w:val="5"/>
        <w:tblW w:w="9437" w:type="dxa"/>
        <w:jc w:val="center"/>
        <w:tblLayout w:type="fixed"/>
        <w:tblCellMar>
          <w:top w:w="0" w:type="dxa"/>
          <w:left w:w="10" w:type="dxa"/>
          <w:bottom w:w="0" w:type="dxa"/>
          <w:right w:w="10" w:type="dxa"/>
        </w:tblCellMar>
      </w:tblPr>
      <w:tblGrid>
        <w:gridCol w:w="2732"/>
        <w:gridCol w:w="1080"/>
        <w:gridCol w:w="1005"/>
        <w:gridCol w:w="1172"/>
        <w:gridCol w:w="1142"/>
        <w:gridCol w:w="1255"/>
        <w:gridCol w:w="1051"/>
      </w:tblGrid>
      <w:tr>
        <w:tblPrEx>
          <w:tblCellMar>
            <w:top w:w="0" w:type="dxa"/>
            <w:left w:w="10" w:type="dxa"/>
            <w:bottom w:w="0" w:type="dxa"/>
            <w:right w:w="10" w:type="dxa"/>
          </w:tblCellMar>
        </w:tblPrEx>
        <w:trPr>
          <w:trHeight w:val="619"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财政供养人员情况</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编制数</w:t>
            </w:r>
          </w:p>
        </w:tc>
        <w:tc>
          <w:tcPr>
            <w:tcW w:w="2314"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p>
        </w:tc>
        <w:tc>
          <w:tcPr>
            <w:tcW w:w="2306" w:type="dxa"/>
            <w:gridSpan w:val="2"/>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rPr>
              <w:t>控制率</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rPr>
              <w:t>编制数</w:t>
            </w:r>
          </w:p>
        </w:tc>
      </w:tr>
      <w:tr>
        <w:tblPrEx>
          <w:tblCellMar>
            <w:top w:w="0" w:type="dxa"/>
            <w:left w:w="10" w:type="dxa"/>
            <w:bottom w:w="0" w:type="dxa"/>
            <w:right w:w="10" w:type="dxa"/>
          </w:tblCellMar>
        </w:tblPrEx>
        <w:trPr>
          <w:trHeight w:val="455" w:hRule="exact"/>
          <w:jc w:val="center"/>
        </w:trPr>
        <w:tc>
          <w:tcPr>
            <w:tcW w:w="2732" w:type="dxa"/>
            <w:vMerge w:val="continue"/>
            <w:tcBorders>
              <w:left w:val="single" w:color="auto" w:sz="4" w:space="0"/>
              <w:bottom w:val="single" w:color="auto" w:sz="4" w:space="0"/>
            </w:tcBorders>
            <w:shd w:val="clear" w:color="auto" w:fill="FFFFFF"/>
            <w:noWrap w:val="0"/>
            <w:vAlign w:val="center"/>
          </w:tcPr>
          <w:p>
            <w:pPr>
              <w:jc w:val="center"/>
              <w:rPr>
                <w:rFonts w:hint="eastAsia" w:ascii="仿宋_GB2312" w:hAnsi="仿宋_GB2312" w:eastAsia="仿宋_GB2312" w:cs="仿宋_GB2312"/>
                <w:sz w:val="21"/>
                <w:szCs w:val="21"/>
              </w:rPr>
            </w:pPr>
          </w:p>
        </w:tc>
        <w:tc>
          <w:tcPr>
            <w:tcW w:w="2085" w:type="dxa"/>
            <w:gridSpan w:val="2"/>
            <w:tcBorders>
              <w:top w:val="single" w:color="auto" w:sz="4" w:space="0"/>
              <w:left w:val="single" w:color="auto" w:sz="4" w:space="0"/>
              <w:bottom w:val="single" w:color="auto" w:sz="4" w:space="0"/>
            </w:tcBorders>
            <w:shd w:val="clear" w:color="auto" w:fill="FFFFFF"/>
            <w:noWrap w:val="0"/>
            <w:vAlign w:val="top"/>
          </w:tcPr>
          <w:p>
            <w:pPr>
              <w:widowControl w:val="0"/>
              <w:ind w:firstLine="840" w:firstLineChars="4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314" w:type="dxa"/>
            <w:gridSpan w:val="2"/>
            <w:tcBorders>
              <w:top w:val="single" w:color="auto" w:sz="4" w:space="0"/>
              <w:left w:val="single" w:color="auto" w:sz="4" w:space="0"/>
              <w:bottom w:val="single" w:color="auto" w:sz="4" w:space="0"/>
            </w:tcBorders>
            <w:shd w:val="clear" w:color="auto" w:fill="FFFFFF"/>
            <w:noWrap w:val="0"/>
            <w:vAlign w:val="top"/>
          </w:tcPr>
          <w:p>
            <w:pPr>
              <w:widowControl w:val="0"/>
              <w:ind w:firstLine="1050" w:firstLineChars="5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30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ind w:firstLine="840" w:firstLineChars="4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r>
      <w:tr>
        <w:tblPrEx>
          <w:tblCellMar>
            <w:top w:w="0" w:type="dxa"/>
            <w:left w:w="10" w:type="dxa"/>
            <w:bottom w:w="0" w:type="dxa"/>
            <w:right w:w="10" w:type="dxa"/>
          </w:tblCellMar>
        </w:tblPrEx>
        <w:trPr>
          <w:trHeight w:val="5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经费控制情况</w:t>
            </w:r>
          </w:p>
        </w:tc>
        <w:tc>
          <w:tcPr>
            <w:tcW w:w="2085" w:type="dxa"/>
            <w:gridSpan w:val="2"/>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20</w:t>
            </w:r>
            <w:r>
              <w:rPr>
                <w:rFonts w:hint="eastAsia" w:ascii="仿宋_GB2312" w:hAnsi="仿宋_GB2312" w:eastAsia="仿宋_GB2312" w:cs="仿宋_GB2312"/>
                <w:b/>
                <w:bCs/>
                <w:color w:val="000000"/>
                <w:spacing w:val="0"/>
                <w:w w:val="100"/>
                <w:position w:val="0"/>
                <w:sz w:val="21"/>
                <w:szCs w:val="21"/>
                <w:lang w:val="en-US" w:eastAsia="zh-CN"/>
              </w:rPr>
              <w:t>21</w:t>
            </w:r>
            <w:r>
              <w:rPr>
                <w:rFonts w:hint="eastAsia" w:ascii="仿宋_GB2312" w:hAnsi="仿宋_GB2312" w:eastAsia="仿宋_GB2312" w:cs="仿宋_GB2312"/>
                <w:b/>
                <w:bCs/>
                <w:color w:val="000000"/>
                <w:spacing w:val="0"/>
                <w:w w:val="100"/>
                <w:position w:val="0"/>
                <w:sz w:val="21"/>
                <w:szCs w:val="21"/>
              </w:rPr>
              <w:t>年决算数</w:t>
            </w:r>
          </w:p>
        </w:tc>
        <w:tc>
          <w:tcPr>
            <w:tcW w:w="2314" w:type="dxa"/>
            <w:gridSpan w:val="2"/>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预算数</w:t>
            </w:r>
          </w:p>
        </w:tc>
        <w:tc>
          <w:tcPr>
            <w:tcW w:w="2306" w:type="dxa"/>
            <w:gridSpan w:val="2"/>
            <w:tcBorders>
              <w:top w:val="single" w:color="auto" w:sz="4" w:space="0"/>
              <w:left w:val="single" w:color="auto" w:sz="4" w:space="0"/>
              <w:righ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2</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决算数</w:t>
            </w:r>
          </w:p>
        </w:tc>
      </w:tr>
      <w:tr>
        <w:tblPrEx>
          <w:tblCellMar>
            <w:top w:w="0" w:type="dxa"/>
            <w:left w:w="10" w:type="dxa"/>
            <w:bottom w:w="0" w:type="dxa"/>
            <w:right w:w="10" w:type="dxa"/>
          </w:tblCellMar>
        </w:tblPrEx>
        <w:trPr>
          <w:trHeight w:val="46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三公经费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652"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、公务用车购置和维护经费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5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其中：公车购置</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11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公车运行维护</w:t>
            </w:r>
          </w:p>
        </w:tc>
        <w:tc>
          <w:tcPr>
            <w:tcW w:w="2085" w:type="dxa"/>
            <w:gridSpan w:val="2"/>
            <w:tcBorders>
              <w:top w:val="single" w:color="auto" w:sz="4" w:space="0"/>
              <w:left w:val="single" w:color="auto" w:sz="4" w:space="0"/>
            </w:tcBorders>
            <w:shd w:val="clear" w:color="auto" w:fill="FFFFFF"/>
            <w:noWrap w:val="0"/>
            <w:vAlign w:val="top"/>
          </w:tcPr>
          <w:p>
            <w:pPr>
              <w:widowControl w:val="0"/>
              <w:ind w:firstLine="630" w:firstLineChars="3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70000</w:t>
            </w:r>
          </w:p>
        </w:tc>
        <w:tc>
          <w:tcPr>
            <w:tcW w:w="2314" w:type="dxa"/>
            <w:gridSpan w:val="2"/>
            <w:tcBorders>
              <w:top w:val="single" w:color="auto" w:sz="4" w:space="0"/>
              <w:left w:val="single" w:color="auto" w:sz="4" w:space="0"/>
            </w:tcBorders>
            <w:shd w:val="clear" w:color="auto" w:fill="FFFFFF"/>
            <w:noWrap w:val="0"/>
            <w:vAlign w:val="top"/>
          </w:tcPr>
          <w:p>
            <w:pPr>
              <w:widowControl w:val="0"/>
              <w:ind w:firstLine="840" w:firstLineChars="400"/>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43200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ind w:firstLine="840" w:firstLineChars="4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30000</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、出国经费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3</w:t>
            </w:r>
            <w:r>
              <w:rPr>
                <w:rFonts w:hint="eastAsia" w:ascii="仿宋_GB2312" w:hAnsi="仿宋_GB2312" w:eastAsia="仿宋_GB2312" w:cs="仿宋_GB2312"/>
                <w:color w:val="000000"/>
                <w:spacing w:val="0"/>
                <w:w w:val="100"/>
                <w:position w:val="0"/>
                <w:sz w:val="21"/>
                <w:szCs w:val="21"/>
              </w:rPr>
              <w:t>、公务接待</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项目支出：</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、业务工作专项</w:t>
            </w:r>
          </w:p>
        </w:tc>
        <w:tc>
          <w:tcPr>
            <w:tcW w:w="2085" w:type="dxa"/>
            <w:gridSpan w:val="2"/>
            <w:tcBorders>
              <w:top w:val="single" w:color="auto" w:sz="4" w:space="0"/>
              <w:left w:val="single" w:color="auto" w:sz="4" w:space="0"/>
            </w:tcBorders>
            <w:shd w:val="clear" w:color="auto" w:fill="FFFFFF"/>
            <w:noWrap w:val="0"/>
            <w:vAlign w:val="top"/>
          </w:tcPr>
          <w:p>
            <w:pPr>
              <w:widowControl w:val="0"/>
              <w:ind w:firstLine="630" w:firstLineChars="3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450000</w:t>
            </w:r>
          </w:p>
        </w:tc>
        <w:tc>
          <w:tcPr>
            <w:tcW w:w="2314" w:type="dxa"/>
            <w:gridSpan w:val="2"/>
            <w:tcBorders>
              <w:top w:val="single" w:color="auto" w:sz="4" w:space="0"/>
              <w:left w:val="single" w:color="auto" w:sz="4" w:space="0"/>
            </w:tcBorders>
            <w:shd w:val="clear" w:color="auto" w:fill="FFFFFF"/>
            <w:noWrap w:val="0"/>
            <w:vAlign w:val="top"/>
          </w:tcPr>
          <w:p>
            <w:pPr>
              <w:widowControl w:val="0"/>
              <w:ind w:firstLine="840" w:firstLineChars="400"/>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400000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ind w:firstLine="840" w:firstLineChars="4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400000</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、运行维护专项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公用经费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3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其中：办公经费</w:t>
            </w:r>
          </w:p>
        </w:tc>
        <w:tc>
          <w:tcPr>
            <w:tcW w:w="2085" w:type="dxa"/>
            <w:gridSpan w:val="2"/>
            <w:tcBorders>
              <w:top w:val="single" w:color="auto" w:sz="4" w:space="0"/>
              <w:left w:val="single" w:color="auto" w:sz="4" w:space="0"/>
            </w:tcBorders>
            <w:shd w:val="clear" w:color="auto" w:fill="FFFFFF"/>
            <w:noWrap w:val="0"/>
            <w:vAlign w:val="top"/>
          </w:tcPr>
          <w:p>
            <w:pPr>
              <w:widowControl w:val="0"/>
              <w:ind w:firstLine="630" w:firstLineChars="3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30000</w:t>
            </w:r>
          </w:p>
        </w:tc>
        <w:tc>
          <w:tcPr>
            <w:tcW w:w="2314" w:type="dxa"/>
            <w:gridSpan w:val="2"/>
            <w:tcBorders>
              <w:top w:val="single" w:color="auto" w:sz="4" w:space="0"/>
              <w:left w:val="single" w:color="auto" w:sz="4" w:space="0"/>
            </w:tcBorders>
            <w:shd w:val="clear" w:color="auto" w:fill="FFFFFF"/>
            <w:noWrap w:val="0"/>
            <w:vAlign w:val="top"/>
          </w:tcPr>
          <w:p>
            <w:pPr>
              <w:widowControl w:val="0"/>
              <w:ind w:firstLine="840" w:firstLineChars="400"/>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50400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ind w:firstLine="840" w:firstLineChars="4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43200</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水费、电费、差旅费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会议费、培训费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政府采购金额</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部门整体支出预算调整</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ind w:firstLine="630" w:firstLineChars="3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2352507.87</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ind w:firstLine="630" w:firstLineChars="3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2742832.87</w:t>
            </w:r>
          </w:p>
        </w:tc>
      </w:tr>
      <w:tr>
        <w:tblPrEx>
          <w:tblCellMar>
            <w:top w:w="0" w:type="dxa"/>
            <w:left w:w="10" w:type="dxa"/>
            <w:bottom w:w="0" w:type="dxa"/>
            <w:right w:w="10" w:type="dxa"/>
          </w:tblCellMar>
        </w:tblPrEx>
        <w:trPr>
          <w:trHeight w:val="782"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楼堂馆所控制情况 </w:t>
            </w:r>
            <w:r>
              <w:rPr>
                <w:rFonts w:hint="eastAsia" w:ascii="仿宋_GB2312" w:hAnsi="仿宋_GB2312" w:eastAsia="仿宋_GB2312" w:cs="仿宋_GB2312"/>
                <w:b w:val="0"/>
                <w:bCs w:val="0"/>
                <w:color w:val="000000"/>
                <w:spacing w:val="0"/>
                <w:w w:val="100"/>
                <w:position w:val="0"/>
                <w:sz w:val="21"/>
                <w:szCs w:val="21"/>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color w:val="000000"/>
                <w:spacing w:val="0"/>
                <w:w w:val="100"/>
                <w:position w:val="0"/>
                <w:sz w:val="21"/>
                <w:szCs w:val="21"/>
              </w:rPr>
              <w:t>完工项目）</w:t>
            </w:r>
          </w:p>
        </w:tc>
        <w:tc>
          <w:tcPr>
            <w:tcW w:w="1080"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批复规模 </w:t>
            </w: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1</w:t>
            </w:r>
            <w:r>
              <w:rPr>
                <w:rFonts w:hint="eastAsia" w:ascii="仿宋_GB2312" w:hAnsi="仿宋_GB2312" w:eastAsia="仿宋_GB2312" w:cs="仿宋_GB2312"/>
                <w:color w:val="000000"/>
                <w:spacing w:val="0"/>
                <w:w w:val="100"/>
                <w:position w:val="0"/>
                <w:sz w:val="21"/>
                <w:szCs w:val="21"/>
                <w:lang w:val="en-US" w:eastAsia="en-US" w:bidi="en-US"/>
              </w:rPr>
              <w:t>）</w:t>
            </w:r>
          </w:p>
        </w:tc>
        <w:tc>
          <w:tcPr>
            <w:tcW w:w="1005"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40" w:line="312" w:lineRule="exact"/>
              <w:ind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实际规模</w:t>
            </w:r>
          </w:p>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2</w:t>
            </w:r>
            <w:r>
              <w:rPr>
                <w:rFonts w:hint="eastAsia" w:ascii="仿宋_GB2312" w:hAnsi="仿宋_GB2312" w:eastAsia="仿宋_GB2312" w:cs="仿宋_GB2312"/>
                <w:color w:val="000000"/>
                <w:spacing w:val="0"/>
                <w:w w:val="100"/>
                <w:position w:val="0"/>
                <w:sz w:val="21"/>
                <w:szCs w:val="21"/>
                <w:lang w:val="en-US" w:eastAsia="en-US" w:bidi="en-US"/>
              </w:rPr>
              <w:t>）</w:t>
            </w:r>
          </w:p>
        </w:tc>
        <w:tc>
          <w:tcPr>
            <w:tcW w:w="117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规模控制率</w:t>
            </w:r>
          </w:p>
        </w:tc>
        <w:tc>
          <w:tcPr>
            <w:tcW w:w="114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预算投资</w:t>
            </w:r>
            <w:r>
              <w:rPr>
                <w:rFonts w:hint="eastAsia" w:ascii="仿宋_GB2312" w:hAnsi="仿宋_GB2312" w:eastAsia="仿宋_GB2312" w:cs="仿宋_GB2312"/>
                <w:color w:val="000000"/>
                <w:spacing w:val="0"/>
                <w:w w:val="100"/>
                <w:position w:val="0"/>
                <w:sz w:val="21"/>
                <w:szCs w:val="21"/>
                <w:lang w:val="en-US" w:eastAsia="zh-CN"/>
              </w:rPr>
              <w:t xml:space="preserve">     </w:t>
            </w:r>
            <w:r>
              <w:rPr>
                <w:rFonts w:hint="eastAsia" w:ascii="仿宋_GB2312" w:hAnsi="仿宋_GB2312" w:eastAsia="仿宋_GB2312" w:cs="仿宋_GB2312"/>
                <w:color w:val="000000"/>
                <w:spacing w:val="0"/>
                <w:w w:val="100"/>
                <w:position w:val="0"/>
                <w:sz w:val="21"/>
                <w:szCs w:val="21"/>
              </w:rPr>
              <w:t>（万元）</w:t>
            </w:r>
          </w:p>
        </w:tc>
        <w:tc>
          <w:tcPr>
            <w:tcW w:w="1255"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实际投资 （万元）</w:t>
            </w:r>
          </w:p>
        </w:tc>
        <w:tc>
          <w:tcPr>
            <w:tcW w:w="1051" w:type="dxa"/>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83"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投资概算控制率</w:t>
            </w:r>
          </w:p>
        </w:tc>
      </w:tr>
      <w:tr>
        <w:tblPrEx>
          <w:tblCellMar>
            <w:top w:w="0" w:type="dxa"/>
            <w:left w:w="10" w:type="dxa"/>
            <w:bottom w:w="0" w:type="dxa"/>
            <w:right w:w="10" w:type="dxa"/>
          </w:tblCellMar>
        </w:tblPrEx>
        <w:trPr>
          <w:trHeight w:val="466" w:hRule="exact"/>
          <w:jc w:val="center"/>
        </w:trPr>
        <w:tc>
          <w:tcPr>
            <w:tcW w:w="2732"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1080"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0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7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25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51"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1480" w:hRule="exact"/>
          <w:jc w:val="center"/>
        </w:trPr>
        <w:tc>
          <w:tcPr>
            <w:tcW w:w="2732" w:type="dxa"/>
            <w:tcBorders>
              <w:top w:val="single" w:color="auto" w:sz="4" w:space="0"/>
              <w:left w:val="single" w:color="auto" w:sz="4" w:space="0"/>
              <w:bottom w:val="single" w:color="auto" w:sz="4" w:space="0"/>
            </w:tcBorders>
            <w:shd w:val="clear" w:color="auto" w:fill="FFFFFF"/>
            <w:noWrap w:val="0"/>
            <w:vAlign w:val="top"/>
          </w:tcPr>
          <w:p>
            <w:pPr>
              <w:pStyle w:val="9"/>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color w:val="000000"/>
                <w:spacing w:val="0"/>
                <w:w w:val="100"/>
                <w:position w:val="0"/>
                <w:sz w:val="21"/>
                <w:szCs w:val="21"/>
              </w:rPr>
            </w:pPr>
          </w:p>
          <w:p>
            <w:pPr>
              <w:pStyle w:val="9"/>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厉行节约保障措施</w:t>
            </w:r>
          </w:p>
        </w:tc>
        <w:tc>
          <w:tcPr>
            <w:tcW w:w="6705"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bl>
    <w:p>
      <w:pPr>
        <w:pStyle w:val="11"/>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11"/>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3</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仿宋_GB2312" w:hAnsi="仿宋_GB2312" w:eastAsia="方正小标宋_GBK" w:cs="仿宋_GB2312"/>
          <w:b/>
          <w:bCs/>
          <w:color w:val="000000"/>
          <w:spacing w:val="0"/>
          <w:w w:val="100"/>
          <w:position w:val="0"/>
          <w:sz w:val="32"/>
          <w:szCs w:val="32"/>
          <w:lang w:eastAsia="zh-CN"/>
        </w:rPr>
      </w:pPr>
      <w:r>
        <w:rPr>
          <w:rFonts w:hint="eastAsia" w:ascii="Times New Roman" w:hAnsi="Times New Roman" w:eastAsia="方正小标宋_GBK" w:cs="Times New Roman"/>
          <w:kern w:val="0"/>
          <w:sz w:val="36"/>
          <w:szCs w:val="36"/>
          <w:lang w:eastAsia="zh-CN"/>
        </w:rPr>
        <w:t>区房征中心</w:t>
      </w: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报告</w:t>
      </w:r>
    </w:p>
    <w:p>
      <w:pPr>
        <w:pStyle w:val="7"/>
        <w:keepNext w:val="0"/>
        <w:keepLines w:val="0"/>
        <w:pageBreakBefore w:val="0"/>
        <w:widowControl w:val="0"/>
        <w:numPr>
          <w:ilvl w:val="0"/>
          <w:numId w:val="1"/>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0" w:name="bookmark92"/>
    </w:p>
    <w:p>
      <w:pPr>
        <w:pStyle w:val="16"/>
        <w:spacing w:before="0" w:beforeAutospacing="0" w:after="2" w:afterAutospacing="0"/>
        <w:ind w:firstLine="641"/>
        <w:rPr>
          <w:rFonts w:ascii="Tahoma" w:hAnsi="Tahoma" w:cs="Tahoma"/>
          <w:color w:val="000000"/>
          <w:sz w:val="27"/>
          <w:szCs w:val="27"/>
        </w:rPr>
      </w:pPr>
      <w:r>
        <w:rPr>
          <w:rFonts w:hint="eastAsia" w:ascii="仿宋_GB2312" w:hAnsi="仿宋_GB2312" w:eastAsia="仿宋_GB2312" w:cs="仿宋_GB2312"/>
          <w:color w:val="000000"/>
          <w:spacing w:val="0"/>
          <w:w w:val="100"/>
          <w:position w:val="0"/>
          <w:sz w:val="32"/>
          <w:szCs w:val="32"/>
        </w:rPr>
        <w:t>（</w:t>
      </w:r>
      <w:bookmarkEnd w:id="0"/>
      <w:r>
        <w:rPr>
          <w:rFonts w:hint="eastAsia" w:ascii="仿宋_GB2312" w:hAnsi="仿宋_GB2312" w:eastAsia="仿宋_GB2312" w:cs="仿宋_GB2312"/>
          <w:color w:val="000000"/>
          <w:spacing w:val="0"/>
          <w:w w:val="100"/>
          <w:position w:val="0"/>
          <w:sz w:val="32"/>
          <w:szCs w:val="32"/>
        </w:rPr>
        <w:t>一）部门基本情况（包括部门的在职人员情况、机构设置、主要职能及重点工作计划等）。</w:t>
      </w:r>
      <w:r>
        <w:rPr>
          <w:rFonts w:hint="eastAsia" w:cs="Tahoma"/>
          <w:bCs/>
          <w:color w:val="000000"/>
          <w:sz w:val="32"/>
          <w:szCs w:val="32"/>
        </w:rPr>
        <w:t>部门职责</w:t>
      </w:r>
      <w:r>
        <w:rPr>
          <w:rFonts w:hint="eastAsia" w:cs="Tahoma"/>
          <w:color w:val="000000"/>
          <w:sz w:val="32"/>
          <w:szCs w:val="32"/>
        </w:rPr>
        <w:t>1、推进全区重点工程项目建设，做好国有土地上房屋征收工作。</w:t>
      </w:r>
    </w:p>
    <w:p>
      <w:pPr>
        <w:pStyle w:val="16"/>
        <w:spacing w:before="0" w:beforeAutospacing="0" w:after="2" w:afterAutospacing="0"/>
        <w:ind w:firstLine="641"/>
        <w:rPr>
          <w:rFonts w:ascii="Tahoma" w:hAnsi="Tahoma" w:cs="Tahoma"/>
          <w:color w:val="000000"/>
          <w:sz w:val="27"/>
          <w:szCs w:val="27"/>
        </w:rPr>
      </w:pPr>
      <w:r>
        <w:rPr>
          <w:rFonts w:hint="eastAsia" w:cs="Tahoma"/>
          <w:color w:val="000000"/>
          <w:sz w:val="32"/>
          <w:szCs w:val="32"/>
        </w:rPr>
        <w:t>2、组织相关执法部门确保拆违拆迁工作顺利进行。</w:t>
      </w:r>
    </w:p>
    <w:p>
      <w:pPr>
        <w:pStyle w:val="16"/>
        <w:spacing w:before="0" w:beforeAutospacing="0" w:after="2" w:afterAutospacing="0"/>
        <w:ind w:firstLine="641"/>
        <w:rPr>
          <w:rFonts w:ascii="Tahoma" w:hAnsi="Tahoma" w:cs="Tahoma"/>
          <w:color w:val="000000"/>
          <w:sz w:val="27"/>
          <w:szCs w:val="27"/>
        </w:rPr>
      </w:pPr>
      <w:r>
        <w:rPr>
          <w:rFonts w:hint="eastAsia" w:cs="Tahoma"/>
          <w:bCs/>
          <w:color w:val="000000"/>
          <w:sz w:val="32"/>
          <w:szCs w:val="32"/>
        </w:rPr>
        <w:t>机构设置及决算单位构成</w:t>
      </w:r>
    </w:p>
    <w:p>
      <w:pPr>
        <w:pStyle w:val="16"/>
        <w:spacing w:before="0" w:beforeAutospacing="0" w:after="2" w:afterAutospacing="0"/>
        <w:ind w:firstLine="641"/>
        <w:rPr>
          <w:rFonts w:ascii="Tahoma" w:hAnsi="Tahoma" w:cs="Tahoma"/>
          <w:color w:val="000000"/>
          <w:sz w:val="27"/>
          <w:szCs w:val="27"/>
        </w:rPr>
      </w:pPr>
      <w:r>
        <w:rPr>
          <w:rFonts w:hint="eastAsia" w:cs="Tahoma"/>
          <w:color w:val="000000"/>
          <w:sz w:val="32"/>
          <w:szCs w:val="32"/>
        </w:rPr>
        <w:t>1、内设机构设置</w:t>
      </w:r>
    </w:p>
    <w:p>
      <w:pPr>
        <w:pStyle w:val="16"/>
        <w:spacing w:before="0" w:beforeAutospacing="0" w:after="2" w:afterAutospacing="0"/>
        <w:ind w:firstLine="641"/>
        <w:rPr>
          <w:rFonts w:ascii="Tahoma" w:hAnsi="Tahoma" w:cs="Tahoma"/>
          <w:color w:val="000000"/>
          <w:sz w:val="27"/>
          <w:szCs w:val="27"/>
        </w:rPr>
      </w:pPr>
      <w:r>
        <w:rPr>
          <w:rFonts w:hint="eastAsia" w:cs="Tahoma"/>
          <w:color w:val="000000"/>
          <w:sz w:val="32"/>
          <w:szCs w:val="32"/>
        </w:rPr>
        <w:t>珠晖区国有土地上房屋征收中心内设机构包括：编制人数8人，实有人数32人。内设股室9个，分别为：主任室，副主任室，办公室，征收室，财务室，巡查队4队。</w:t>
      </w:r>
    </w:p>
    <w:p>
      <w:pPr>
        <w:pStyle w:val="16"/>
        <w:spacing w:before="0" w:beforeAutospacing="0" w:after="2" w:afterAutospacing="0"/>
        <w:ind w:firstLine="641"/>
        <w:rPr>
          <w:rFonts w:ascii="Tahoma" w:hAnsi="Tahoma" w:cs="Tahoma"/>
          <w:color w:val="000000"/>
          <w:sz w:val="27"/>
          <w:szCs w:val="27"/>
        </w:rPr>
      </w:pPr>
      <w:r>
        <w:rPr>
          <w:rFonts w:hint="eastAsia" w:cs="Tahoma"/>
          <w:color w:val="000000"/>
          <w:sz w:val="32"/>
          <w:szCs w:val="32"/>
        </w:rPr>
        <w:t>2、决算单位构成</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cs="Tahoma"/>
          <w:color w:val="000000"/>
          <w:sz w:val="32"/>
          <w:szCs w:val="32"/>
        </w:rPr>
        <w:t>珠晖区国有土地上房屋征收中心202</w:t>
      </w:r>
      <w:r>
        <w:rPr>
          <w:rFonts w:hint="eastAsia" w:cs="Tahoma"/>
          <w:color w:val="000000"/>
          <w:sz w:val="32"/>
          <w:szCs w:val="32"/>
          <w:lang w:val="en-US" w:eastAsia="zh-CN"/>
        </w:rPr>
        <w:t>2</w:t>
      </w:r>
      <w:r>
        <w:rPr>
          <w:rFonts w:hint="eastAsia" w:cs="Tahoma"/>
          <w:color w:val="000000"/>
          <w:sz w:val="32"/>
          <w:szCs w:val="32"/>
        </w:rPr>
        <w:t>年部门决算汇总公开单位构成包括：珠晖区国有土地上房屋征收中心本级。</w:t>
      </w:r>
    </w:p>
    <w:p>
      <w:pPr>
        <w:pStyle w:val="7"/>
        <w:tabs>
          <w:tab w:val="left" w:pos="1101"/>
        </w:tabs>
        <w:spacing w:line="560" w:lineRule="exact"/>
        <w:ind w:firstLine="640" w:firstLineChars="200"/>
        <w:rPr>
          <w:rFonts w:hint="default" w:eastAsia="宋体" w:cs="仿宋_GB2312"/>
          <w:sz w:val="32"/>
          <w:szCs w:val="32"/>
          <w:lang w:val="en-US" w:eastAsia="zh-CN"/>
        </w:rPr>
      </w:pPr>
      <w:bookmarkStart w:id="1" w:name="bookmark93"/>
      <w:r>
        <w:rPr>
          <w:rFonts w:hint="eastAsia" w:ascii="仿宋_GB2312" w:hAnsi="仿宋_GB2312" w:eastAsia="仿宋_GB2312" w:cs="仿宋_GB2312"/>
          <w:color w:val="000000"/>
          <w:spacing w:val="0"/>
          <w:w w:val="100"/>
          <w:position w:val="0"/>
          <w:sz w:val="32"/>
          <w:szCs w:val="32"/>
        </w:rPr>
        <w:t>（</w:t>
      </w:r>
      <w:bookmarkEnd w:id="1"/>
      <w:r>
        <w:rPr>
          <w:rFonts w:hint="eastAsia" w:ascii="仿宋_GB2312" w:hAnsi="仿宋_GB2312" w:eastAsia="仿宋_GB2312" w:cs="仿宋_GB2312"/>
          <w:color w:val="000000"/>
          <w:spacing w:val="0"/>
          <w:w w:val="100"/>
          <w:position w:val="0"/>
          <w:sz w:val="32"/>
          <w:szCs w:val="32"/>
        </w:rPr>
        <w:t>二）部门整体支出规模、使用方向和主要内容、涉及范围等。</w:t>
      </w:r>
      <w:r>
        <w:rPr>
          <w:rFonts w:hint="eastAsia"/>
          <w:color w:val="000000"/>
          <w:sz w:val="32"/>
          <w:szCs w:val="32"/>
        </w:rPr>
        <w:t>部门整体支出规模</w:t>
      </w:r>
      <w:r>
        <w:rPr>
          <w:rFonts w:hint="eastAsia"/>
          <w:color w:val="000000"/>
          <w:sz w:val="32"/>
          <w:szCs w:val="32"/>
          <w:lang w:val="en-US" w:eastAsia="zh-CN"/>
        </w:rPr>
        <w:t>2</w:t>
      </w:r>
      <w:r>
        <w:rPr>
          <w:rFonts w:hint="default"/>
          <w:color w:val="000000"/>
          <w:sz w:val="32"/>
          <w:szCs w:val="32"/>
          <w:lang w:eastAsia="zh-CN"/>
        </w:rPr>
        <w:t>74</w:t>
      </w:r>
      <w:r>
        <w:rPr>
          <w:rFonts w:hint="eastAsia"/>
          <w:color w:val="000000"/>
          <w:sz w:val="32"/>
          <w:szCs w:val="32"/>
          <w:lang w:val="en-US" w:eastAsia="zh-CN"/>
        </w:rPr>
        <w:t>.2</w:t>
      </w:r>
      <w:r>
        <w:rPr>
          <w:rFonts w:hint="default"/>
          <w:color w:val="000000"/>
          <w:sz w:val="32"/>
          <w:szCs w:val="32"/>
          <w:lang w:eastAsia="zh-CN"/>
        </w:rPr>
        <w:t>8</w:t>
      </w:r>
      <w:r>
        <w:rPr>
          <w:rFonts w:hint="eastAsia"/>
          <w:color w:val="000000"/>
          <w:sz w:val="32"/>
          <w:szCs w:val="32"/>
        </w:rPr>
        <w:t>万元、人员工资</w:t>
      </w:r>
      <w:r>
        <w:rPr>
          <w:rFonts w:hint="eastAsia"/>
          <w:color w:val="000000"/>
          <w:sz w:val="32"/>
          <w:szCs w:val="32"/>
          <w:lang w:val="en-US" w:eastAsia="zh-CN"/>
        </w:rPr>
        <w:t>194.24</w:t>
      </w:r>
      <w:r>
        <w:rPr>
          <w:rFonts w:hint="eastAsia"/>
          <w:color w:val="000000"/>
          <w:sz w:val="32"/>
          <w:szCs w:val="32"/>
        </w:rPr>
        <w:t>万元</w:t>
      </w:r>
      <w:r>
        <w:rPr>
          <w:rFonts w:hint="eastAsia"/>
          <w:color w:val="000000"/>
          <w:sz w:val="32"/>
          <w:szCs w:val="32"/>
          <w:lang w:eastAsia="zh-CN"/>
        </w:rPr>
        <w:t>（其中在职人员</w:t>
      </w:r>
      <w:r>
        <w:rPr>
          <w:rFonts w:hint="eastAsia"/>
          <w:color w:val="000000"/>
          <w:sz w:val="32"/>
          <w:szCs w:val="32"/>
          <w:lang w:val="en-US" w:eastAsia="zh-CN"/>
        </w:rPr>
        <w:t>70.24万元，自收自支人员24万，应急处突队员100万元</w:t>
      </w:r>
      <w:r>
        <w:rPr>
          <w:rFonts w:hint="eastAsia"/>
          <w:color w:val="000000"/>
          <w:sz w:val="32"/>
          <w:szCs w:val="32"/>
          <w:lang w:eastAsia="zh-CN"/>
        </w:rPr>
        <w:t>）</w:t>
      </w:r>
      <w:r>
        <w:rPr>
          <w:rFonts w:hint="eastAsia"/>
          <w:color w:val="000000"/>
          <w:sz w:val="32"/>
          <w:szCs w:val="32"/>
        </w:rPr>
        <w:t>，住房公积金</w:t>
      </w:r>
      <w:r>
        <w:rPr>
          <w:rFonts w:hint="eastAsia"/>
          <w:color w:val="000000"/>
          <w:sz w:val="32"/>
          <w:szCs w:val="32"/>
          <w:lang w:val="en-US" w:eastAsia="zh-CN"/>
        </w:rPr>
        <w:t>7.04</w:t>
      </w:r>
      <w:r>
        <w:rPr>
          <w:rFonts w:hint="eastAsia"/>
          <w:color w:val="000000"/>
          <w:sz w:val="32"/>
          <w:szCs w:val="32"/>
        </w:rPr>
        <w:t>万元，养老保险缴费</w:t>
      </w:r>
      <w:r>
        <w:rPr>
          <w:rFonts w:hint="eastAsia"/>
          <w:color w:val="000000"/>
          <w:sz w:val="32"/>
          <w:szCs w:val="32"/>
          <w:lang w:val="en-US" w:eastAsia="zh-CN"/>
        </w:rPr>
        <w:t>6.82</w:t>
      </w:r>
      <w:r>
        <w:rPr>
          <w:rFonts w:hint="eastAsia"/>
          <w:color w:val="000000"/>
          <w:sz w:val="32"/>
          <w:szCs w:val="32"/>
        </w:rPr>
        <w:t>万元，医疗保险缴费</w:t>
      </w:r>
      <w:r>
        <w:rPr>
          <w:rFonts w:hint="default"/>
          <w:color w:val="000000"/>
          <w:sz w:val="32"/>
          <w:szCs w:val="32"/>
          <w:lang w:eastAsia="zh-CN"/>
        </w:rPr>
        <w:t>7</w:t>
      </w:r>
      <w:r>
        <w:rPr>
          <w:rFonts w:hint="eastAsia"/>
          <w:color w:val="000000"/>
          <w:sz w:val="32"/>
          <w:szCs w:val="32"/>
          <w:lang w:val="en-US" w:eastAsia="zh-CN"/>
        </w:rPr>
        <w:t>.32</w:t>
      </w:r>
      <w:r>
        <w:rPr>
          <w:rFonts w:hint="eastAsia"/>
          <w:color w:val="000000"/>
          <w:sz w:val="32"/>
          <w:szCs w:val="32"/>
        </w:rPr>
        <w:t>万元，拆违专项经费</w:t>
      </w:r>
      <w:r>
        <w:rPr>
          <w:rFonts w:hint="eastAsia"/>
          <w:color w:val="000000"/>
          <w:sz w:val="32"/>
          <w:szCs w:val="32"/>
          <w:lang w:val="en-US" w:eastAsia="zh-CN"/>
        </w:rPr>
        <w:t>40</w:t>
      </w:r>
      <w:r>
        <w:rPr>
          <w:rFonts w:hint="eastAsia"/>
          <w:color w:val="000000"/>
          <w:sz w:val="32"/>
          <w:szCs w:val="32"/>
        </w:rPr>
        <w:t>万元，办公费</w:t>
      </w:r>
      <w:r>
        <w:rPr>
          <w:rFonts w:hint="default"/>
          <w:color w:val="000000"/>
          <w:sz w:val="32"/>
          <w:szCs w:val="32"/>
          <w:lang w:eastAsia="zh-CN"/>
        </w:rPr>
        <w:t>4.32</w:t>
      </w:r>
      <w:r>
        <w:rPr>
          <w:rFonts w:hint="eastAsia"/>
          <w:color w:val="000000"/>
          <w:sz w:val="32"/>
          <w:szCs w:val="32"/>
        </w:rPr>
        <w:t>万元，公务用车运行维护费</w:t>
      </w:r>
      <w:r>
        <w:rPr>
          <w:rFonts w:hint="eastAsia"/>
          <w:color w:val="000000"/>
          <w:sz w:val="32"/>
          <w:szCs w:val="32"/>
          <w:lang w:val="en-US" w:eastAsia="zh-CN"/>
        </w:rPr>
        <w:t>3</w:t>
      </w:r>
      <w:r>
        <w:rPr>
          <w:rFonts w:hint="eastAsia"/>
          <w:color w:val="000000"/>
          <w:sz w:val="32"/>
          <w:szCs w:val="32"/>
        </w:rPr>
        <w:t>万元</w:t>
      </w:r>
      <w:r>
        <w:rPr>
          <w:rFonts w:hint="eastAsia" w:cs="仿宋_GB2312"/>
          <w:color w:val="000000"/>
          <w:sz w:val="32"/>
          <w:szCs w:val="32"/>
          <w:lang w:eastAsia="zh-CN"/>
        </w:rPr>
        <w:t>，突发公共卫生事件应急处理</w:t>
      </w:r>
      <w:r>
        <w:rPr>
          <w:rFonts w:hint="eastAsia" w:cs="仿宋_GB2312"/>
          <w:color w:val="000000"/>
          <w:sz w:val="32"/>
          <w:szCs w:val="32"/>
          <w:lang w:val="en-US" w:eastAsia="zh-CN"/>
        </w:rPr>
        <w:t>6.5万元，其他交通费用5.04万元。</w:t>
      </w:r>
    </w:p>
    <w:p>
      <w:pPr>
        <w:pStyle w:val="7"/>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2" w:name="bookmark94"/>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二</w:t>
      </w:r>
      <w:bookmarkEnd w:id="2"/>
      <w:r>
        <w:rPr>
          <w:rFonts w:hint="eastAsia" w:ascii="仿宋_GB2312" w:hAnsi="仿宋_GB2312" w:eastAsia="仿宋_GB2312" w:cs="仿宋_GB2312"/>
          <w:b/>
          <w:bCs/>
          <w:color w:val="000000"/>
          <w:spacing w:val="0"/>
          <w:w w:val="100"/>
          <w:position w:val="0"/>
          <w:sz w:val="32"/>
          <w:szCs w:val="32"/>
        </w:rPr>
        <w:t>、部门整体支出管理及使用情况</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3" w:name="bookmark95"/>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一）基本支出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560" w:firstLineChars="200"/>
        <w:jc w:val="both"/>
        <w:textAlignment w:val="auto"/>
        <w:rPr>
          <w:rFonts w:hint="eastAsia" w:ascii="仿宋_GB2312" w:hAnsi="仿宋_GB2312" w:eastAsia="仿宋_GB2312" w:cs="仿宋_GB2312"/>
          <w:sz w:val="32"/>
          <w:szCs w:val="32"/>
        </w:rPr>
      </w:pPr>
      <w:r>
        <w:rPr>
          <w:rFonts w:hint="eastAsia"/>
          <w:color w:val="000000"/>
          <w:sz w:val="28"/>
          <w:szCs w:val="28"/>
        </w:rPr>
        <w:t>主要用于在职人员与临聘人员的工资、住房公积金、医疗与养老保险，以及巡查队巡查车辆日常使用与维护保养。</w:t>
      </w:r>
    </w:p>
    <w:p>
      <w:pPr>
        <w:pStyle w:val="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4" w:name="bookmark96"/>
      <w:r>
        <w:rPr>
          <w:rFonts w:hint="eastAsia" w:ascii="仿宋_GB2312" w:hAnsi="仿宋_GB2312" w:eastAsia="仿宋_GB2312" w:cs="仿宋_GB2312"/>
          <w:color w:val="000000"/>
          <w:spacing w:val="0"/>
          <w:w w:val="100"/>
          <w:position w:val="0"/>
          <w:sz w:val="32"/>
          <w:szCs w:val="32"/>
        </w:rPr>
        <w:t>（</w:t>
      </w:r>
      <w:bookmarkEnd w:id="4"/>
      <w:r>
        <w:rPr>
          <w:rFonts w:hint="eastAsia" w:ascii="仿宋_GB2312" w:hAnsi="仿宋_GB2312" w:eastAsia="仿宋_GB2312" w:cs="仿宋_GB2312"/>
          <w:color w:val="000000"/>
          <w:spacing w:val="0"/>
          <w:w w:val="100"/>
          <w:position w:val="0"/>
          <w:sz w:val="32"/>
          <w:szCs w:val="32"/>
        </w:rPr>
        <w:t>二）项目支出</w:t>
      </w:r>
    </w:p>
    <w:p>
      <w:pPr>
        <w:pStyle w:val="7"/>
        <w:tabs>
          <w:tab w:val="left" w:pos="767"/>
        </w:tabs>
        <w:spacing w:line="560" w:lineRule="exact"/>
        <w:ind w:firstLine="640" w:firstLineChars="200"/>
        <w:rPr>
          <w:rFonts w:hint="eastAsia" w:ascii="仿宋_GB2312" w:hAnsi="仿宋_GB2312" w:eastAsia="仿宋_GB2312" w:cs="仿宋_GB2312"/>
          <w:sz w:val="32"/>
          <w:szCs w:val="32"/>
        </w:rPr>
      </w:pPr>
      <w:bookmarkStart w:id="5" w:name="bookmark97"/>
      <w:r>
        <w:rPr>
          <w:rFonts w:hint="eastAsia" w:ascii="仿宋_GB2312" w:hAnsi="仿宋_GB2312" w:eastAsia="仿宋_GB2312" w:cs="仿宋_GB2312"/>
          <w:b w:val="0"/>
          <w:bCs w:val="0"/>
          <w:color w:val="000000"/>
          <w:spacing w:val="0"/>
          <w:w w:val="100"/>
          <w:position w:val="0"/>
          <w:sz w:val="32"/>
          <w:szCs w:val="32"/>
        </w:rPr>
        <w:t>1</w:t>
      </w:r>
      <w:bookmarkEnd w:id="5"/>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项目资金（包括财政资金、自筹资金等）安排落实、总投入等情况分析</w:t>
      </w:r>
      <w:r>
        <w:rPr>
          <w:rFonts w:hint="eastAsia" w:cs="仿宋_GB2312"/>
          <w:color w:val="000000"/>
          <w:sz w:val="30"/>
          <w:szCs w:val="30"/>
        </w:rPr>
        <w:t>：</w:t>
      </w:r>
      <w:r>
        <w:rPr>
          <w:rFonts w:hint="eastAsia"/>
          <w:color w:val="000000"/>
          <w:sz w:val="30"/>
          <w:szCs w:val="30"/>
        </w:rPr>
        <w:t>项目资金由财政拨款4</w:t>
      </w:r>
      <w:r>
        <w:rPr>
          <w:rFonts w:hint="eastAsia"/>
          <w:color w:val="000000"/>
          <w:sz w:val="30"/>
          <w:szCs w:val="30"/>
          <w:lang w:val="en-US" w:eastAsia="zh-CN"/>
        </w:rPr>
        <w:t>0</w:t>
      </w:r>
      <w:r>
        <w:rPr>
          <w:rFonts w:hint="eastAsia"/>
          <w:color w:val="000000"/>
          <w:sz w:val="30"/>
          <w:szCs w:val="30"/>
        </w:rPr>
        <w:t>万元主要用于违章建筑拆除</w:t>
      </w:r>
      <w:r>
        <w:rPr>
          <w:rFonts w:hint="eastAsia" w:cs="仿宋_GB2312"/>
          <w:color w:val="000000"/>
          <w:sz w:val="30"/>
          <w:szCs w:val="30"/>
        </w:rPr>
        <w:t>。</w:t>
      </w:r>
    </w:p>
    <w:p>
      <w:pPr>
        <w:pStyle w:val="7"/>
        <w:keepNext w:val="0"/>
        <w:keepLines w:val="0"/>
        <w:pageBreakBefore w:val="0"/>
        <w:widowControl w:val="0"/>
        <w:shd w:val="clear" w:color="auto" w:fill="auto"/>
        <w:tabs>
          <w:tab w:val="left" w:pos="765"/>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仿宋_GB2312" w:hAnsi="仿宋_GB2312" w:eastAsia="仿宋_GB2312" w:cs="仿宋_GB2312"/>
          <w:sz w:val="32"/>
          <w:szCs w:val="32"/>
          <w:lang w:val="en-US" w:eastAsia="zh-CN"/>
        </w:rPr>
      </w:pPr>
      <w:bookmarkStart w:id="6" w:name="bookmark98"/>
      <w:r>
        <w:rPr>
          <w:rFonts w:hint="eastAsia" w:ascii="仿宋_GB2312" w:hAnsi="仿宋_GB2312" w:eastAsia="仿宋_GB2312" w:cs="仿宋_GB2312"/>
          <w:b w:val="0"/>
          <w:bCs w:val="0"/>
          <w:color w:val="000000"/>
          <w:spacing w:val="0"/>
          <w:w w:val="100"/>
          <w:position w:val="0"/>
          <w:sz w:val="32"/>
          <w:szCs w:val="32"/>
        </w:rPr>
        <w:t>2</w:t>
      </w:r>
      <w:bookmarkEnd w:id="6"/>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项目资金（主要指财政资金）实际使用情况分析</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22年共查处疑似违法建设161宗、面积26205平方米;共拆除5980平方米。</w:t>
      </w:r>
    </w:p>
    <w:p>
      <w:pPr>
        <w:shd w:val="clear" w:color="auto" w:fill="FFFFFF"/>
        <w:spacing w:line="580" w:lineRule="atLeast"/>
        <w:ind w:firstLine="640"/>
        <w:rPr>
          <w:rFonts w:ascii="宋体" w:hAnsi="宋体" w:cs="宋体"/>
          <w:color w:val="000000"/>
          <w:kern w:val="0"/>
          <w:sz w:val="30"/>
          <w:szCs w:val="30"/>
        </w:rPr>
      </w:pPr>
      <w:bookmarkStart w:id="7" w:name="bookmark99"/>
      <w:r>
        <w:rPr>
          <w:rFonts w:hint="eastAsia" w:ascii="仿宋_GB2312" w:hAnsi="仿宋_GB2312" w:eastAsia="仿宋_GB2312" w:cs="仿宋_GB2312"/>
          <w:b w:val="0"/>
          <w:bCs w:val="0"/>
          <w:color w:val="000000"/>
          <w:spacing w:val="0"/>
          <w:w w:val="100"/>
          <w:position w:val="0"/>
          <w:sz w:val="32"/>
          <w:szCs w:val="32"/>
        </w:rPr>
        <w:t>3</w:t>
      </w:r>
      <w:bookmarkEnd w:id="7"/>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项目资金管理情况分析，主要包括管理制度、办法的制订及执行情况</w:t>
      </w:r>
      <w:r>
        <w:rPr>
          <w:rFonts w:hint="eastAsia" w:ascii="宋体" w:hAnsi="宋体" w:cs="仿宋_GB2312"/>
          <w:color w:val="000000"/>
          <w:sz w:val="30"/>
          <w:szCs w:val="30"/>
        </w:rPr>
        <w:t>：</w:t>
      </w:r>
      <w:r>
        <w:rPr>
          <w:rFonts w:hint="eastAsia" w:ascii="宋体" w:hAnsi="宋体" w:cs="宋体"/>
          <w:color w:val="000000"/>
          <w:sz w:val="30"/>
          <w:szCs w:val="30"/>
        </w:rPr>
        <w:t>项目资金管理</w:t>
      </w:r>
      <w:r>
        <w:rPr>
          <w:rFonts w:hint="eastAsia" w:ascii="宋体" w:hAnsi="宋体" w:cs="宋体"/>
          <w:color w:val="000000"/>
          <w:kern w:val="0"/>
          <w:sz w:val="30"/>
          <w:szCs w:val="30"/>
        </w:rPr>
        <w:t>1、制定了财务管理制度、预算业务管理制度等。管理制度符合相关法律法规。会计记账和核算工作财务室执行。</w:t>
      </w:r>
    </w:p>
    <w:p>
      <w:pPr>
        <w:widowControl/>
        <w:shd w:val="clear" w:color="auto" w:fill="FFFFFF"/>
        <w:spacing w:line="580" w:lineRule="atLeast"/>
        <w:ind w:firstLine="640"/>
        <w:jc w:val="left"/>
        <w:rPr>
          <w:rFonts w:ascii="宋体" w:hAnsi="宋体" w:cs="宋体"/>
          <w:color w:val="000000"/>
          <w:kern w:val="0"/>
          <w:sz w:val="30"/>
          <w:szCs w:val="30"/>
        </w:rPr>
      </w:pPr>
      <w:r>
        <w:rPr>
          <w:rFonts w:hint="eastAsia" w:ascii="宋体" w:hAnsi="宋体" w:cs="宋体"/>
          <w:color w:val="000000"/>
          <w:kern w:val="0"/>
          <w:sz w:val="30"/>
          <w:szCs w:val="30"/>
        </w:rPr>
        <w:t>2、资金支出符合国家财经法规和财务管理制度规定；资金拨付有完整的审批程序和手续；支出基本符合部门预算批复的用途；未发现资金截留挪用虚列开支等情况。</w:t>
      </w:r>
    </w:p>
    <w:p>
      <w:pPr>
        <w:pStyle w:val="7"/>
        <w:keepNext w:val="0"/>
        <w:keepLines w:val="0"/>
        <w:pageBreakBefore w:val="0"/>
        <w:widowControl w:val="0"/>
        <w:shd w:val="clear" w:color="auto" w:fill="auto"/>
        <w:tabs>
          <w:tab w:val="left" w:pos="770"/>
        </w:tabs>
        <w:kinsoku/>
        <w:wordWrap/>
        <w:overflowPunct/>
        <w:topLinePunct w:val="0"/>
        <w:autoSpaceDE/>
        <w:autoSpaceDN/>
        <w:bidi w:val="0"/>
        <w:adjustRightInd/>
        <w:snapToGrid/>
        <w:spacing w:before="0" w:after="0" w:line="560" w:lineRule="exact"/>
        <w:ind w:left="0" w:leftChars="0" w:right="0" w:firstLine="600" w:firstLineChars="200"/>
        <w:jc w:val="both"/>
        <w:textAlignment w:val="auto"/>
        <w:rPr>
          <w:rFonts w:hint="eastAsia" w:ascii="仿宋_GB2312" w:hAnsi="仿宋_GB2312" w:eastAsia="仿宋_GB2312" w:cs="仿宋_GB2312"/>
          <w:sz w:val="32"/>
          <w:szCs w:val="32"/>
        </w:rPr>
      </w:pPr>
      <w:r>
        <w:rPr>
          <w:rFonts w:hint="eastAsia" w:ascii="宋体" w:hAnsi="宋体" w:cs="宋体"/>
          <w:color w:val="000000"/>
          <w:kern w:val="0"/>
          <w:sz w:val="30"/>
          <w:szCs w:val="30"/>
        </w:rPr>
        <w:t>3、预决算信息内容按时在政府网站公示</w:t>
      </w:r>
      <w:r>
        <w:rPr>
          <w:rFonts w:hint="eastAsia" w:ascii="宋体" w:hAnsi="宋体" w:cs="宋体"/>
          <w:color w:val="000000" w:themeColor="text1"/>
          <w:kern w:val="0"/>
          <w:sz w:val="30"/>
          <w:szCs w:val="30"/>
          <w14:textFill>
            <w14:solidFill>
              <w14:schemeClr w14:val="tx1"/>
            </w14:solidFill>
          </w14:textFill>
        </w:rPr>
        <w:t>。</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8" w:name="bookmark100"/>
      <w:r>
        <w:rPr>
          <w:rFonts w:hint="eastAsia" w:ascii="仿宋_GB2312" w:hAnsi="仿宋_GB2312" w:eastAsia="仿宋_GB2312" w:cs="仿宋_GB2312"/>
          <w:b/>
          <w:bCs/>
          <w:color w:val="000000"/>
          <w:spacing w:val="0"/>
          <w:w w:val="100"/>
          <w:position w:val="0"/>
          <w:sz w:val="32"/>
          <w:szCs w:val="32"/>
        </w:rPr>
        <w:t>三</w:t>
      </w:r>
      <w:bookmarkEnd w:id="8"/>
      <w:r>
        <w:rPr>
          <w:rFonts w:hint="eastAsia" w:ascii="仿宋_GB2312" w:hAnsi="仿宋_GB2312" w:eastAsia="仿宋_GB2312" w:cs="仿宋_GB2312"/>
          <w:b/>
          <w:bCs/>
          <w:color w:val="000000"/>
          <w:spacing w:val="0"/>
          <w:w w:val="100"/>
          <w:position w:val="0"/>
          <w:sz w:val="32"/>
          <w:szCs w:val="32"/>
        </w:rPr>
        <w:t>、部门项目组织实施情况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w:t>
      </w:r>
      <w:r>
        <w:rPr>
          <w:rFonts w:hint="eastAsia"/>
          <w:color w:val="000000"/>
          <w:sz w:val="28"/>
          <w:szCs w:val="28"/>
        </w:rPr>
        <w:t>成立</w:t>
      </w:r>
      <w:r>
        <w:rPr>
          <w:rFonts w:hint="eastAsia"/>
          <w:color w:val="000000"/>
          <w:sz w:val="28"/>
          <w:szCs w:val="28"/>
          <w:lang w:eastAsia="zh-CN"/>
        </w:rPr>
        <w:t>了</w:t>
      </w:r>
      <w:r>
        <w:rPr>
          <w:rFonts w:hint="eastAsia"/>
          <w:color w:val="000000"/>
          <w:sz w:val="28"/>
          <w:szCs w:val="28"/>
        </w:rPr>
        <w:t>组织领导小组，明确具体工作人员，召开会议安排部署各项工作，收集相关文件资料和依据，协调各乡镇街道与相关职能部门对违章情况予以拆除</w:t>
      </w:r>
      <w:r>
        <w:rPr>
          <w:rFonts w:hint="eastAsia" w:ascii="仿宋_GB2312" w:hAnsi="仿宋_GB2312" w:eastAsia="仿宋_GB2312" w:cs="仿宋_GB2312"/>
          <w:color w:val="000000"/>
          <w:sz w:val="32"/>
          <w:szCs w:val="32"/>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w:t>
      </w:r>
      <w:r>
        <w:rPr>
          <w:rFonts w:hint="eastAsia"/>
          <w:color w:val="000000"/>
          <w:sz w:val="28"/>
          <w:szCs w:val="28"/>
        </w:rPr>
        <w:t>项目管理情况组织合理，执行到位，能完成会议决定的各项工作要求</w:t>
      </w:r>
      <w:r>
        <w:rPr>
          <w:rFonts w:hint="eastAsia" w:ascii="仿宋_GB2312" w:hAnsi="仿宋_GB2312" w:eastAsia="仿宋_GB2312" w:cs="仿宋_GB2312"/>
          <w:color w:val="000000"/>
          <w:sz w:val="32"/>
          <w:szCs w:val="32"/>
        </w:rPr>
        <w:t>。</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9" w:name="bookmark101"/>
      <w:r>
        <w:rPr>
          <w:rFonts w:hint="eastAsia" w:ascii="仿宋_GB2312" w:hAnsi="仿宋_GB2312" w:eastAsia="仿宋_GB2312" w:cs="仿宋_GB2312"/>
          <w:b/>
          <w:bCs/>
          <w:color w:val="000000"/>
          <w:spacing w:val="0"/>
          <w:w w:val="100"/>
          <w:position w:val="0"/>
          <w:sz w:val="32"/>
          <w:szCs w:val="32"/>
        </w:rPr>
        <w:t>四</w:t>
      </w:r>
      <w:bookmarkEnd w:id="9"/>
      <w:r>
        <w:rPr>
          <w:rFonts w:hint="eastAsia" w:ascii="仿宋_GB2312" w:hAnsi="仿宋_GB2312" w:eastAsia="仿宋_GB2312" w:cs="仿宋_GB2312"/>
          <w:b/>
          <w:bCs/>
          <w:color w:val="000000"/>
          <w:spacing w:val="0"/>
          <w:w w:val="100"/>
          <w:position w:val="0"/>
          <w:sz w:val="32"/>
          <w:szCs w:val="32"/>
        </w:rPr>
        <w:t>、资产管理情况</w:t>
      </w:r>
    </w:p>
    <w:p>
      <w:pPr>
        <w:widowControl/>
        <w:shd w:val="clear" w:color="auto" w:fill="FFFFFF"/>
        <w:spacing w:line="580" w:lineRule="atLeast"/>
        <w:ind w:firstLine="640"/>
        <w:jc w:val="left"/>
        <w:rPr>
          <w:rFonts w:ascii="宋体" w:hAnsi="宋体" w:cs="宋体"/>
          <w:color w:val="000000"/>
          <w:kern w:val="0"/>
          <w:sz w:val="28"/>
          <w:szCs w:val="28"/>
        </w:rPr>
      </w:pPr>
      <w:bookmarkStart w:id="10" w:name="bookmark102"/>
      <w:r>
        <w:rPr>
          <w:rFonts w:hint="eastAsia" w:ascii="宋体" w:hAnsi="宋体" w:cs="宋体"/>
          <w:color w:val="000000"/>
          <w:kern w:val="0"/>
          <w:sz w:val="28"/>
          <w:szCs w:val="28"/>
        </w:rPr>
        <w:t>1、管理制度健全性</w:t>
      </w:r>
    </w:p>
    <w:p>
      <w:pPr>
        <w:widowControl/>
        <w:shd w:val="clear" w:color="auto" w:fill="FFFFFF"/>
        <w:spacing w:line="580" w:lineRule="atLeast"/>
        <w:ind w:firstLine="640"/>
        <w:jc w:val="left"/>
        <w:rPr>
          <w:rFonts w:ascii="宋体" w:hAnsi="宋体" w:cs="宋体"/>
          <w:color w:val="000000"/>
          <w:kern w:val="0"/>
          <w:sz w:val="28"/>
          <w:szCs w:val="28"/>
        </w:rPr>
      </w:pPr>
      <w:r>
        <w:rPr>
          <w:rFonts w:hint="eastAsia" w:ascii="宋体" w:hAnsi="宋体" w:cs="宋体"/>
          <w:color w:val="000000"/>
          <w:kern w:val="0"/>
          <w:sz w:val="28"/>
          <w:szCs w:val="28"/>
        </w:rPr>
        <w:t>制定了固定资产管理制度。</w:t>
      </w:r>
    </w:p>
    <w:p>
      <w:pPr>
        <w:widowControl/>
        <w:shd w:val="clear" w:color="auto" w:fill="FFFFFF"/>
        <w:spacing w:line="580" w:lineRule="atLeast"/>
        <w:ind w:firstLine="640"/>
        <w:jc w:val="left"/>
        <w:rPr>
          <w:rFonts w:ascii="宋体" w:hAnsi="宋体" w:cs="宋体"/>
          <w:color w:val="000000"/>
          <w:kern w:val="0"/>
          <w:sz w:val="28"/>
          <w:szCs w:val="28"/>
        </w:rPr>
      </w:pPr>
      <w:r>
        <w:rPr>
          <w:rFonts w:hint="eastAsia" w:ascii="宋体" w:hAnsi="宋体" w:cs="宋体"/>
          <w:color w:val="000000"/>
          <w:kern w:val="0"/>
          <w:sz w:val="28"/>
          <w:szCs w:val="28"/>
        </w:rPr>
        <w:t>2、资产管理安全性</w:t>
      </w:r>
    </w:p>
    <w:p>
      <w:pPr>
        <w:widowControl/>
        <w:shd w:val="clear" w:color="auto" w:fill="FFFFFF"/>
        <w:spacing w:line="580" w:lineRule="atLeast"/>
        <w:ind w:firstLine="640"/>
        <w:jc w:val="left"/>
        <w:rPr>
          <w:rFonts w:ascii="宋体" w:hAnsi="宋体" w:cs="宋体"/>
          <w:color w:val="000000"/>
          <w:kern w:val="0"/>
          <w:sz w:val="28"/>
          <w:szCs w:val="28"/>
        </w:rPr>
      </w:pPr>
      <w:r>
        <w:rPr>
          <w:rFonts w:hint="eastAsia" w:ascii="宋体" w:hAnsi="宋体" w:cs="宋体"/>
          <w:color w:val="000000"/>
          <w:kern w:val="0"/>
          <w:sz w:val="28"/>
          <w:szCs w:val="28"/>
        </w:rPr>
        <w:t>部门资产保存完整，配置合理，处置规范，建立了固定资产台账，定期进行盘点。</w:t>
      </w:r>
    </w:p>
    <w:p>
      <w:pPr>
        <w:widowControl/>
        <w:shd w:val="clear" w:color="auto" w:fill="FFFFFF"/>
        <w:spacing w:line="580" w:lineRule="atLeast"/>
        <w:ind w:firstLine="640"/>
        <w:jc w:val="left"/>
        <w:rPr>
          <w:rFonts w:ascii="宋体" w:hAnsi="宋体" w:cs="宋体"/>
          <w:color w:val="000000"/>
          <w:kern w:val="0"/>
          <w:sz w:val="28"/>
          <w:szCs w:val="28"/>
        </w:rPr>
      </w:pPr>
      <w:r>
        <w:rPr>
          <w:rFonts w:hint="eastAsia" w:ascii="宋体" w:hAnsi="宋体" w:cs="宋体"/>
          <w:color w:val="000000"/>
          <w:kern w:val="0"/>
          <w:sz w:val="28"/>
          <w:szCs w:val="28"/>
        </w:rPr>
        <w:t>3、固定资产利用率</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56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宋体" w:hAnsi="宋体" w:cs="宋体"/>
          <w:color w:val="000000"/>
          <w:kern w:val="0"/>
          <w:sz w:val="28"/>
          <w:szCs w:val="28"/>
        </w:rPr>
        <w:t>未发现有闲置的固定资产。固定资产使用率100％。</w:t>
      </w:r>
    </w:p>
    <w:bookmarkEnd w:id="10"/>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pStyle w:val="7"/>
        <w:tabs>
          <w:tab w:val="left" w:pos="886"/>
        </w:tabs>
        <w:spacing w:line="360" w:lineRule="auto"/>
        <w:ind w:firstLine="420"/>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反映部门履职及履职效益情况。</w:t>
      </w:r>
      <w:bookmarkStart w:id="11" w:name="bookmark103"/>
      <w:r>
        <w:rPr>
          <w:rFonts w:hint="eastAsia" w:ascii="仿宋_GB2312" w:hAnsi="仿宋_GB2312" w:eastAsia="仿宋_GB2312" w:cs="仿宋_GB2312"/>
          <w:color w:val="000000"/>
          <w:spacing w:val="0"/>
          <w:w w:val="100"/>
          <w:position w:val="0"/>
          <w:sz w:val="32"/>
          <w:szCs w:val="32"/>
          <w:lang w:val="en-US" w:eastAsia="zh-CN"/>
        </w:rPr>
        <w:t>22年共查处疑似违法建设161宗、面积26205平方米;共拆除5980平方米。</w:t>
      </w:r>
      <w:r>
        <w:rPr>
          <w:rFonts w:hint="eastAsia"/>
          <w:color w:val="000000"/>
          <w:sz w:val="28"/>
          <w:szCs w:val="28"/>
          <w:shd w:val="clear" w:color="auto" w:fill="FFFFFF"/>
        </w:rPr>
        <w:t>完成了区政府交于控违拆违的工作。</w:t>
      </w:r>
    </w:p>
    <w:bookmarkEnd w:id="11"/>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rPr>
        <w:t>存在的主要问题</w:t>
      </w:r>
    </w:p>
    <w:p>
      <w:pPr>
        <w:pStyle w:val="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eastAsia"/>
          <w:color w:val="000000"/>
          <w:sz w:val="28"/>
          <w:szCs w:val="28"/>
          <w:shd w:val="clear" w:color="auto" w:fill="FFFFFF"/>
        </w:rPr>
      </w:pPr>
      <w:r>
        <w:rPr>
          <w:rFonts w:hint="eastAsia"/>
          <w:color w:val="000000"/>
          <w:sz w:val="28"/>
          <w:szCs w:val="28"/>
          <w:shd w:val="clear" w:color="auto" w:fill="FFFFFF"/>
        </w:rPr>
        <w:t>202</w:t>
      </w:r>
      <w:r>
        <w:rPr>
          <w:rFonts w:hint="eastAsia"/>
          <w:color w:val="000000"/>
          <w:sz w:val="28"/>
          <w:szCs w:val="28"/>
          <w:shd w:val="clear" w:color="auto" w:fill="FFFFFF"/>
          <w:lang w:val="en-US" w:eastAsia="zh-CN"/>
        </w:rPr>
        <w:t>2</w:t>
      </w:r>
      <w:r>
        <w:rPr>
          <w:rFonts w:hint="eastAsia"/>
          <w:color w:val="000000"/>
          <w:sz w:val="28"/>
          <w:szCs w:val="28"/>
          <w:shd w:val="clear" w:color="auto" w:fill="FFFFFF"/>
        </w:rPr>
        <w:t>年部分会计科目不准确</w:t>
      </w:r>
      <w:r>
        <w:rPr>
          <w:rFonts w:hint="eastAsia"/>
          <w:color w:val="000000"/>
          <w:sz w:val="28"/>
          <w:szCs w:val="28"/>
          <w:shd w:val="clear" w:color="auto" w:fill="FFFFFF"/>
          <w:lang w:eastAsia="zh-CN"/>
        </w:rPr>
        <w:t>，部分</w:t>
      </w:r>
      <w:r>
        <w:rPr>
          <w:rFonts w:hint="eastAsia"/>
          <w:color w:val="000000"/>
          <w:sz w:val="28"/>
          <w:szCs w:val="28"/>
          <w:shd w:val="clear" w:color="auto" w:fill="FFFFFF"/>
        </w:rPr>
        <w:t>低值耐用品未及时盘点和清理。</w:t>
      </w:r>
    </w:p>
    <w:p>
      <w:pPr>
        <w:pStyle w:val="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改进措施和有关建议</w:t>
      </w:r>
    </w:p>
    <w:p>
      <w:pPr>
        <w:shd w:val="clear" w:color="auto" w:fill="FFFFFF"/>
        <w:spacing w:line="580" w:lineRule="atLeast"/>
        <w:ind w:firstLine="480"/>
        <w:rPr>
          <w:rFonts w:ascii="宋体" w:hAnsi="宋体"/>
          <w:color w:val="000000"/>
          <w:sz w:val="28"/>
          <w:szCs w:val="28"/>
          <w:shd w:val="clear" w:color="auto" w:fill="FFFFFF"/>
        </w:rPr>
      </w:pPr>
      <w:r>
        <w:rPr>
          <w:rFonts w:hint="eastAsia" w:ascii="宋体" w:hAnsi="宋体"/>
          <w:color w:val="000000"/>
          <w:sz w:val="28"/>
          <w:szCs w:val="28"/>
          <w:shd w:val="clear" w:color="auto" w:fill="FFFFFF"/>
        </w:rPr>
        <w:t>1、提高会计核算基础工作的准确性。对财政拨款收入及二级科目、经费支出及二级科目准确归类，准确核算基本支出、项目支出的收入、支出、结余情况。</w:t>
      </w:r>
    </w:p>
    <w:p>
      <w:pPr>
        <w:widowControl/>
        <w:shd w:val="clear" w:color="auto" w:fill="FFFFFF"/>
        <w:spacing w:line="580" w:lineRule="atLeast"/>
        <w:ind w:firstLine="480"/>
        <w:rPr>
          <w:rFonts w:ascii="宋体" w:hAnsi="宋体" w:cs="宋体"/>
          <w:color w:val="000000"/>
          <w:kern w:val="0"/>
          <w:sz w:val="28"/>
          <w:szCs w:val="28"/>
        </w:rPr>
      </w:pPr>
      <w:r>
        <w:rPr>
          <w:rFonts w:hint="eastAsia" w:ascii="宋体" w:hAnsi="宋体" w:cs="宋体"/>
          <w:color w:val="000000"/>
          <w:kern w:val="0"/>
          <w:sz w:val="28"/>
          <w:szCs w:val="28"/>
        </w:rPr>
        <w:t>2、加强资产管理。设立固定资产台账，定期进行盘点和清查。报废固定资产及时核销。</w:t>
      </w:r>
    </w:p>
    <w:p>
      <w:pPr>
        <w:rPr>
          <w:rFonts w:hint="eastAsia" w:ascii="宋体" w:hAnsi="宋体" w:eastAsia="宋体" w:cs="宋体"/>
          <w:sz w:val="18"/>
          <w:szCs w:val="18"/>
          <w:lang w:eastAsia="zh-CN"/>
        </w:rPr>
      </w:pPr>
      <w:r>
        <w:rPr>
          <w:rFonts w:hint="eastAsia" w:ascii="宋体" w:hAnsi="宋体" w:cs="宋体"/>
          <w:color w:val="000000"/>
          <w:kern w:val="0"/>
          <w:sz w:val="28"/>
          <w:szCs w:val="28"/>
        </w:rPr>
        <w:t>3、严控“三公经费”支出。细化“三公经费”管理，避免超预算开支。</w:t>
      </w:r>
    </w:p>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pPr>
    </w:p>
    <w:p/>
    <w:sectPr>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wtzDYAAAADQEAAA8AAAAAAAAAAQAgAAAAIgAAAGRy&#10;cy9kb3ducmV2LnhtbFBLAQIUABQAAAAIAIdO4kDnejedzAEAAJsDAAAOAAAAAAAAAAEAIAAAACcB&#10;AABkcnMvZTJvRG9jLnhtbFBLBQYAAAAABgAGAFkBAABl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13F1C"/>
    <w:multiLevelType w:val="singleLevel"/>
    <w:tmpl w:val="0E813F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YmEzOTA2YTdjMWY2ZGM3ZGMyZjI2MDAxYWRlNmUifQ=="/>
  </w:docVars>
  <w:rsids>
    <w:rsidRoot w:val="00000000"/>
    <w:rsid w:val="02F4328F"/>
    <w:rsid w:val="049F5A90"/>
    <w:rsid w:val="0C77765A"/>
    <w:rsid w:val="1A0B2E3F"/>
    <w:rsid w:val="1C0B1F5C"/>
    <w:rsid w:val="24650CAD"/>
    <w:rsid w:val="26D527CE"/>
    <w:rsid w:val="29265BB1"/>
    <w:rsid w:val="3C7D2DE3"/>
    <w:rsid w:val="41CB6FE2"/>
    <w:rsid w:val="48160462"/>
    <w:rsid w:val="49892887"/>
    <w:rsid w:val="55755470"/>
    <w:rsid w:val="581D344A"/>
    <w:rsid w:val="5CC353A2"/>
    <w:rsid w:val="5E304AA3"/>
    <w:rsid w:val="72A1096A"/>
    <w:rsid w:val="72E40307"/>
    <w:rsid w:val="78330A34"/>
    <w:rsid w:val="7C31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8">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9">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0">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1">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2">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3">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18"/>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4864</Words>
  <Characters>5150</Characters>
  <Lines>0</Lines>
  <Paragraphs>0</Paragraphs>
  <TotalTime>328</TotalTime>
  <ScaleCrop>false</ScaleCrop>
  <LinksUpToDate>false</LinksUpToDate>
  <CharactersWithSpaces>5220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2023-06-26T02:14:00Z</dcterms:created>
  <dc:creator>Administrator</dc:creator>
  <cp:lastModifiedBy>脸在江山在</cp:lastModifiedBy>
  <dcterms:modified xsi:type="dcterms:W3CDTF">2023-12-01T03:27:45Z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3547FDCA6E534DD19FEDB2BE65F59ED6_13</vt:lpwstr>
  </property>
</Properties>
</file>