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1" w:afterAutospacing="0"/>
        <w:ind w:left="0" w:right="0"/>
        <w:jc w:val="center"/>
      </w:pPr>
      <w:r>
        <w:rPr>
          <w:rFonts w:ascii="宋体" w:hAnsi="宋体" w:eastAsia="宋体" w:cs="宋体"/>
          <w:kern w:val="0"/>
          <w:sz w:val="44"/>
          <w:szCs w:val="44"/>
          <w:lang w:val="en-US" w:eastAsia="zh-CN" w:bidi="ar"/>
        </w:rPr>
        <w:t>2022年度珠晖区审计局部门决算</w:t>
      </w:r>
    </w:p>
    <w:p>
      <w:pPr>
        <w:keepNext w:val="0"/>
        <w:keepLines w:val="0"/>
        <w:widowControl/>
        <w:suppressLineNumbers w:val="0"/>
        <w:spacing w:before="0" w:beforeAutospacing="0" w:after="1" w:afterAutospacing="0"/>
        <w:ind w:left="0" w:right="0"/>
        <w:jc w:val="center"/>
        <w:rPr>
          <w:sz w:val="21"/>
          <w:szCs w:val="21"/>
        </w:rPr>
      </w:pPr>
      <w:r>
        <w:rPr>
          <w:rFonts w:asciiTheme="minorHAnsi" w:hAnsiTheme="minorHAnsi" w:eastAsiaTheme="minorEastAsia" w:cstheme="minorBidi"/>
          <w:kern w:val="0"/>
          <w:sz w:val="32"/>
          <w:szCs w:val="32"/>
          <w:lang w:val="en-US" w:eastAsia="zh-CN" w:bidi="ar"/>
        </w:rPr>
        <w:t> </w:t>
      </w:r>
    </w:p>
    <w:p>
      <w:pPr>
        <w:keepNext w:val="0"/>
        <w:keepLines w:val="0"/>
        <w:widowControl/>
        <w:suppressLineNumbers w:val="0"/>
        <w:spacing w:before="0" w:beforeAutospacing="0" w:after="1" w:afterAutospacing="0"/>
        <w:ind w:left="0" w:right="0"/>
        <w:jc w:val="center"/>
        <w:rPr>
          <w:rFonts w:hint="eastAsia" w:ascii="宋体" w:hAnsi="宋体" w:eastAsia="宋体" w:cs="宋体"/>
          <w:sz w:val="21"/>
          <w:szCs w:val="21"/>
        </w:rPr>
      </w:pPr>
      <w:r>
        <w:rPr>
          <w:rFonts w:hint="eastAsia" w:ascii="宋体" w:hAnsi="宋体" w:eastAsia="宋体" w:cs="宋体"/>
          <w:kern w:val="0"/>
          <w:sz w:val="32"/>
          <w:szCs w:val="32"/>
          <w:lang w:val="en-US" w:eastAsia="zh-CN" w:bidi="ar"/>
        </w:rPr>
        <w:t>目 录</w:t>
      </w:r>
    </w:p>
    <w:p>
      <w:pPr>
        <w:keepNext w:val="0"/>
        <w:keepLines w:val="0"/>
        <w:widowControl/>
        <w:suppressLineNumbers w:val="0"/>
        <w:spacing w:before="0" w:beforeAutospacing="0" w:after="1" w:afterAutospacing="0"/>
        <w:ind w:left="0" w:right="0"/>
        <w:jc w:val="center"/>
        <w:rPr>
          <w:sz w:val="21"/>
          <w:szCs w:val="21"/>
        </w:rPr>
      </w:pPr>
    </w:p>
    <w:p>
      <w:pPr>
        <w:pStyle w:val="2"/>
        <w:keepNext w:val="0"/>
        <w:keepLines w:val="0"/>
        <w:widowControl/>
        <w:suppressLineNumbers w:val="0"/>
        <w:spacing w:before="0" w:beforeAutospacing="0" w:after="1" w:afterAutospacing="0"/>
        <w:ind w:left="0" w:right="0" w:firstLine="641"/>
        <w:rPr>
          <w:sz w:val="27"/>
          <w:szCs w:val="27"/>
        </w:rPr>
      </w:pPr>
      <w:r>
        <w:rPr>
          <w:rFonts w:hint="eastAsia" w:ascii="宋体" w:hAnsi="宋体" w:eastAsia="宋体" w:cs="宋体"/>
          <w:b/>
          <w:sz w:val="32"/>
          <w:szCs w:val="32"/>
        </w:rPr>
        <w:t>第一部分 珠晖区审计局概况</w:t>
      </w:r>
    </w:p>
    <w:p>
      <w:pPr>
        <w:pStyle w:val="2"/>
        <w:keepNext w:val="0"/>
        <w:keepLines w:val="0"/>
        <w:widowControl/>
        <w:suppressLineNumbers w:val="0"/>
        <w:spacing w:before="0" w:beforeAutospacing="0" w:after="1" w:afterAutospacing="0"/>
        <w:ind w:left="0" w:right="0" w:firstLine="700"/>
      </w:pPr>
      <w:r>
        <w:rPr>
          <w:rFonts w:hint="eastAsia" w:ascii="宋体" w:hAnsi="宋体" w:eastAsia="宋体" w:cs="宋体"/>
          <w:sz w:val="32"/>
          <w:szCs w:val="32"/>
        </w:rPr>
        <w:t>一、部门职责</w:t>
      </w:r>
    </w:p>
    <w:p>
      <w:pPr>
        <w:pStyle w:val="2"/>
        <w:keepNext w:val="0"/>
        <w:keepLines w:val="0"/>
        <w:widowControl/>
        <w:suppressLineNumbers w:val="0"/>
        <w:spacing w:before="0" w:beforeAutospacing="0" w:after="1" w:afterAutospacing="0"/>
        <w:ind w:left="0" w:right="0" w:firstLine="700"/>
      </w:pPr>
      <w:r>
        <w:rPr>
          <w:rFonts w:hint="eastAsia" w:ascii="宋体" w:hAnsi="宋体" w:eastAsia="宋体" w:cs="宋体"/>
          <w:sz w:val="32"/>
          <w:szCs w:val="32"/>
        </w:rPr>
        <w:t>二、机构设置及决算单位构成</w:t>
      </w:r>
    </w:p>
    <w:p>
      <w:pPr>
        <w:pStyle w:val="2"/>
        <w:keepNext w:val="0"/>
        <w:keepLines w:val="0"/>
        <w:widowControl/>
        <w:suppressLineNumbers w:val="0"/>
        <w:spacing w:before="0" w:beforeAutospacing="0" w:after="1" w:afterAutospacing="0"/>
        <w:ind w:left="0" w:right="0" w:firstLine="641"/>
        <w:rPr>
          <w:sz w:val="27"/>
          <w:szCs w:val="27"/>
        </w:rPr>
      </w:pPr>
      <w:r>
        <w:rPr>
          <w:rFonts w:hint="eastAsia" w:ascii="宋体" w:hAnsi="宋体" w:eastAsia="宋体" w:cs="宋体"/>
          <w:b/>
          <w:sz w:val="32"/>
          <w:szCs w:val="32"/>
        </w:rPr>
        <w:t>第二部分 2022年度部门决算表</w:t>
      </w:r>
    </w:p>
    <w:p>
      <w:pPr>
        <w:pStyle w:val="2"/>
        <w:keepNext w:val="0"/>
        <w:keepLines w:val="0"/>
        <w:widowControl/>
        <w:suppressLineNumbers w:val="0"/>
        <w:spacing w:before="0" w:beforeAutospacing="0" w:after="1" w:afterAutospacing="0"/>
        <w:ind w:left="0" w:right="0" w:firstLine="700"/>
      </w:pPr>
      <w:r>
        <w:rPr>
          <w:rFonts w:hint="eastAsia" w:ascii="宋体" w:hAnsi="宋体" w:eastAsia="宋体" w:cs="宋体"/>
          <w:sz w:val="32"/>
          <w:szCs w:val="32"/>
        </w:rPr>
        <w:t>一、收入支出决算总表</w:t>
      </w:r>
    </w:p>
    <w:p>
      <w:pPr>
        <w:pStyle w:val="2"/>
        <w:keepNext w:val="0"/>
        <w:keepLines w:val="0"/>
        <w:widowControl/>
        <w:suppressLineNumbers w:val="0"/>
        <w:spacing w:before="0" w:beforeAutospacing="0" w:after="1" w:afterAutospacing="0"/>
        <w:ind w:left="0" w:right="0" w:firstLine="700"/>
      </w:pPr>
      <w:r>
        <w:rPr>
          <w:rFonts w:hint="eastAsia" w:ascii="宋体" w:hAnsi="宋体" w:eastAsia="宋体" w:cs="宋体"/>
          <w:sz w:val="32"/>
          <w:szCs w:val="32"/>
        </w:rPr>
        <w:t>二、收入决算表</w:t>
      </w:r>
    </w:p>
    <w:p>
      <w:pPr>
        <w:pStyle w:val="2"/>
        <w:keepNext w:val="0"/>
        <w:keepLines w:val="0"/>
        <w:widowControl/>
        <w:suppressLineNumbers w:val="0"/>
        <w:spacing w:before="0" w:beforeAutospacing="0" w:after="1" w:afterAutospacing="0"/>
        <w:ind w:left="0" w:right="0" w:firstLine="700"/>
      </w:pPr>
      <w:r>
        <w:rPr>
          <w:rFonts w:hint="eastAsia" w:ascii="宋体" w:hAnsi="宋体" w:eastAsia="宋体" w:cs="宋体"/>
          <w:sz w:val="32"/>
          <w:szCs w:val="32"/>
        </w:rPr>
        <w:t>三、支出决算表</w:t>
      </w:r>
    </w:p>
    <w:p>
      <w:pPr>
        <w:pStyle w:val="2"/>
        <w:keepNext w:val="0"/>
        <w:keepLines w:val="0"/>
        <w:widowControl/>
        <w:suppressLineNumbers w:val="0"/>
        <w:spacing w:before="0" w:beforeAutospacing="0" w:after="1" w:afterAutospacing="0"/>
        <w:ind w:left="0" w:right="0" w:firstLine="700"/>
      </w:pPr>
      <w:r>
        <w:rPr>
          <w:rFonts w:hint="eastAsia" w:ascii="宋体" w:hAnsi="宋体" w:eastAsia="宋体" w:cs="宋体"/>
          <w:sz w:val="32"/>
          <w:szCs w:val="32"/>
        </w:rPr>
        <w:t>四、财政拨款收入支出决算总表</w:t>
      </w:r>
    </w:p>
    <w:p>
      <w:pPr>
        <w:pStyle w:val="2"/>
        <w:keepNext w:val="0"/>
        <w:keepLines w:val="0"/>
        <w:widowControl/>
        <w:suppressLineNumbers w:val="0"/>
        <w:spacing w:before="0" w:beforeAutospacing="0" w:after="1" w:afterAutospacing="0"/>
        <w:ind w:left="0" w:right="0" w:firstLine="700"/>
      </w:pPr>
      <w:r>
        <w:rPr>
          <w:rFonts w:hint="eastAsia" w:ascii="宋体" w:hAnsi="宋体" w:eastAsia="宋体" w:cs="宋体"/>
          <w:sz w:val="32"/>
          <w:szCs w:val="32"/>
        </w:rPr>
        <w:t>五、一般公共预算财政拨款支出决算表</w:t>
      </w:r>
    </w:p>
    <w:p>
      <w:pPr>
        <w:pStyle w:val="2"/>
        <w:keepNext w:val="0"/>
        <w:keepLines w:val="0"/>
        <w:widowControl/>
        <w:suppressLineNumbers w:val="0"/>
        <w:spacing w:before="0" w:beforeAutospacing="0" w:after="1" w:afterAutospacing="0"/>
        <w:ind w:left="0" w:right="0" w:firstLine="700"/>
      </w:pPr>
      <w:r>
        <w:rPr>
          <w:rFonts w:hint="eastAsia" w:ascii="宋体" w:hAnsi="宋体" w:eastAsia="宋体" w:cs="宋体"/>
          <w:sz w:val="32"/>
          <w:szCs w:val="32"/>
        </w:rPr>
        <w:t>六、一般公共预算财政拨款基本支出决算明细表</w:t>
      </w:r>
    </w:p>
    <w:p>
      <w:pPr>
        <w:pStyle w:val="2"/>
        <w:keepNext w:val="0"/>
        <w:keepLines w:val="0"/>
        <w:widowControl/>
        <w:suppressLineNumbers w:val="0"/>
        <w:spacing w:before="0" w:beforeAutospacing="0" w:after="1" w:afterAutospacing="0"/>
        <w:ind w:left="0" w:right="0" w:firstLine="700"/>
      </w:pPr>
      <w:r>
        <w:rPr>
          <w:rFonts w:hint="eastAsia" w:ascii="宋体" w:hAnsi="宋体" w:eastAsia="宋体" w:cs="宋体"/>
          <w:sz w:val="32"/>
          <w:szCs w:val="32"/>
        </w:rPr>
        <w:t>七、政府性基金预算财政拨款收入支出决算表</w:t>
      </w:r>
    </w:p>
    <w:p>
      <w:pPr>
        <w:pStyle w:val="2"/>
        <w:keepNext w:val="0"/>
        <w:keepLines w:val="0"/>
        <w:widowControl/>
        <w:suppressLineNumbers w:val="0"/>
        <w:spacing w:before="0" w:beforeAutospacing="0" w:after="1" w:afterAutospacing="0"/>
        <w:ind w:left="0" w:right="0" w:firstLine="700"/>
      </w:pPr>
      <w:r>
        <w:rPr>
          <w:rFonts w:hint="eastAsia" w:ascii="宋体" w:hAnsi="宋体" w:eastAsia="宋体" w:cs="宋体"/>
          <w:sz w:val="32"/>
          <w:szCs w:val="32"/>
        </w:rPr>
        <w:t>八、国有资本经营预算财政拨款支出决算表</w:t>
      </w:r>
    </w:p>
    <w:p>
      <w:pPr>
        <w:pStyle w:val="2"/>
        <w:keepNext w:val="0"/>
        <w:keepLines w:val="0"/>
        <w:widowControl/>
        <w:suppressLineNumbers w:val="0"/>
        <w:spacing w:before="0" w:beforeAutospacing="0" w:after="1" w:afterAutospacing="0"/>
        <w:ind w:left="0" w:right="0" w:firstLine="700"/>
      </w:pPr>
      <w:r>
        <w:rPr>
          <w:rFonts w:hint="eastAsia" w:ascii="宋体" w:hAnsi="宋体" w:eastAsia="宋体" w:cs="宋体"/>
          <w:sz w:val="32"/>
          <w:szCs w:val="32"/>
        </w:rPr>
        <w:t>九、一般公共预算财政拨款“三公”经费支出决算表</w:t>
      </w:r>
    </w:p>
    <w:p>
      <w:pPr>
        <w:pStyle w:val="2"/>
        <w:keepNext w:val="0"/>
        <w:keepLines w:val="0"/>
        <w:widowControl/>
        <w:suppressLineNumbers w:val="0"/>
        <w:spacing w:before="0" w:beforeAutospacing="0" w:after="1" w:afterAutospacing="0"/>
        <w:ind w:left="0" w:right="0" w:firstLine="700"/>
      </w:pPr>
      <w:r>
        <w:rPr>
          <w:rFonts w:hint="eastAsia" w:ascii="宋体" w:hAnsi="宋体" w:eastAsia="宋体" w:cs="宋体"/>
          <w:b/>
          <w:sz w:val="32"/>
          <w:szCs w:val="32"/>
        </w:rPr>
        <w:t>第三部分 2022年度部门决算情况说明</w:t>
      </w:r>
    </w:p>
    <w:p>
      <w:pPr>
        <w:pStyle w:val="2"/>
        <w:keepNext w:val="0"/>
        <w:keepLines w:val="0"/>
        <w:widowControl/>
        <w:suppressLineNumbers w:val="0"/>
        <w:spacing w:before="0" w:beforeAutospacing="0" w:after="1" w:afterAutospacing="0"/>
        <w:ind w:left="0" w:right="0" w:firstLine="700"/>
      </w:pPr>
      <w:r>
        <w:rPr>
          <w:rFonts w:ascii="宋体" w:hAnsi="宋体" w:eastAsia="宋体" w:cs="宋体"/>
          <w:sz w:val="32"/>
          <w:szCs w:val="32"/>
        </w:rPr>
        <w:t>一、收入支出决算总体情况说明</w:t>
      </w:r>
    </w:p>
    <w:p>
      <w:pPr>
        <w:pStyle w:val="2"/>
        <w:keepNext w:val="0"/>
        <w:keepLines w:val="0"/>
        <w:widowControl/>
        <w:suppressLineNumbers w:val="0"/>
        <w:spacing w:before="0" w:beforeAutospacing="0" w:after="1" w:afterAutospacing="0"/>
        <w:ind w:left="0" w:right="0" w:firstLine="700"/>
      </w:pPr>
      <w:r>
        <w:rPr>
          <w:rFonts w:ascii="宋体" w:hAnsi="宋体" w:eastAsia="宋体" w:cs="宋体"/>
          <w:sz w:val="32"/>
          <w:szCs w:val="32"/>
        </w:rPr>
        <w:t>二、收入决算情况说明</w:t>
      </w:r>
    </w:p>
    <w:p>
      <w:pPr>
        <w:pStyle w:val="2"/>
        <w:keepNext w:val="0"/>
        <w:keepLines w:val="0"/>
        <w:widowControl/>
        <w:suppressLineNumbers w:val="0"/>
        <w:spacing w:before="0" w:beforeAutospacing="0" w:after="1" w:afterAutospacing="0"/>
        <w:ind w:left="0" w:right="0" w:firstLine="700"/>
      </w:pPr>
      <w:r>
        <w:rPr>
          <w:rFonts w:ascii="宋体" w:hAnsi="宋体" w:eastAsia="宋体" w:cs="宋体"/>
          <w:sz w:val="32"/>
          <w:szCs w:val="32"/>
        </w:rPr>
        <w:t>三、支出决算情况说明</w:t>
      </w:r>
    </w:p>
    <w:p>
      <w:pPr>
        <w:pStyle w:val="2"/>
        <w:keepNext w:val="0"/>
        <w:keepLines w:val="0"/>
        <w:widowControl/>
        <w:suppressLineNumbers w:val="0"/>
        <w:spacing w:before="0" w:beforeAutospacing="0" w:after="1" w:afterAutospacing="0"/>
        <w:ind w:left="0" w:right="0" w:firstLine="700"/>
      </w:pPr>
      <w:r>
        <w:rPr>
          <w:rFonts w:ascii="宋体" w:hAnsi="宋体" w:eastAsia="宋体" w:cs="宋体"/>
          <w:sz w:val="32"/>
          <w:szCs w:val="32"/>
        </w:rPr>
        <w:t>四、财政拨款收入支出决算总体情况说明</w:t>
      </w:r>
    </w:p>
    <w:p>
      <w:pPr>
        <w:pStyle w:val="2"/>
        <w:keepNext w:val="0"/>
        <w:keepLines w:val="0"/>
        <w:widowControl/>
        <w:suppressLineNumbers w:val="0"/>
        <w:spacing w:before="0" w:beforeAutospacing="0" w:after="1" w:afterAutospacing="0"/>
        <w:ind w:left="0" w:right="0" w:firstLine="700"/>
      </w:pPr>
      <w:r>
        <w:rPr>
          <w:rFonts w:ascii="宋体" w:hAnsi="宋体" w:eastAsia="宋体" w:cs="宋体"/>
          <w:sz w:val="32"/>
          <w:szCs w:val="32"/>
        </w:rPr>
        <w:t>五、一般公共预算财政拨款支出决算情况说明</w:t>
      </w:r>
    </w:p>
    <w:p>
      <w:pPr>
        <w:pStyle w:val="2"/>
        <w:keepNext w:val="0"/>
        <w:keepLines w:val="0"/>
        <w:widowControl/>
        <w:suppressLineNumbers w:val="0"/>
        <w:spacing w:before="0" w:beforeAutospacing="0" w:after="1" w:afterAutospacing="0"/>
        <w:ind w:left="0" w:right="0" w:firstLine="700"/>
      </w:pPr>
      <w:r>
        <w:rPr>
          <w:rFonts w:ascii="宋体" w:hAnsi="宋体" w:eastAsia="宋体" w:cs="宋体"/>
          <w:sz w:val="32"/>
          <w:szCs w:val="32"/>
        </w:rPr>
        <w:t>六、一般公共预算财政拨款基本支出决算情况说明</w:t>
      </w:r>
    </w:p>
    <w:p>
      <w:pPr>
        <w:pStyle w:val="2"/>
        <w:keepNext w:val="0"/>
        <w:keepLines w:val="0"/>
        <w:widowControl/>
        <w:suppressLineNumbers w:val="0"/>
        <w:spacing w:before="0" w:beforeAutospacing="0" w:after="1" w:afterAutospacing="0"/>
        <w:ind w:left="0" w:right="0" w:firstLine="700"/>
      </w:pPr>
      <w:r>
        <w:rPr>
          <w:rFonts w:ascii="宋体" w:hAnsi="宋体" w:eastAsia="宋体" w:cs="宋体"/>
          <w:sz w:val="32"/>
          <w:szCs w:val="32"/>
        </w:rPr>
        <w:t>七、一般公共预算财政拨款三公经费支出决算情况说明</w:t>
      </w:r>
    </w:p>
    <w:p>
      <w:pPr>
        <w:pStyle w:val="2"/>
        <w:keepNext w:val="0"/>
        <w:keepLines w:val="0"/>
        <w:widowControl/>
        <w:suppressLineNumbers w:val="0"/>
        <w:spacing w:before="0" w:beforeAutospacing="0" w:after="1" w:afterAutospacing="0"/>
        <w:ind w:left="0" w:right="0" w:firstLine="700"/>
      </w:pPr>
      <w:r>
        <w:rPr>
          <w:rFonts w:ascii="宋体" w:hAnsi="宋体" w:eastAsia="宋体" w:cs="宋体"/>
          <w:sz w:val="32"/>
          <w:szCs w:val="32"/>
        </w:rPr>
        <w:t>八、政府性基金预算收入支出决算情况</w:t>
      </w:r>
    </w:p>
    <w:p>
      <w:pPr>
        <w:pStyle w:val="2"/>
        <w:keepNext w:val="0"/>
        <w:keepLines w:val="0"/>
        <w:widowControl/>
        <w:suppressLineNumbers w:val="0"/>
        <w:spacing w:before="0" w:beforeAutospacing="0" w:after="1" w:afterAutospacing="0"/>
        <w:ind w:left="0" w:right="0" w:firstLine="700"/>
      </w:pPr>
      <w:r>
        <w:rPr>
          <w:rFonts w:ascii="宋体" w:hAnsi="宋体" w:eastAsia="宋体" w:cs="宋体"/>
          <w:sz w:val="32"/>
          <w:szCs w:val="32"/>
        </w:rPr>
        <w:t>九、国有资本经营预算收入支出决算情况</w:t>
      </w:r>
    </w:p>
    <w:p>
      <w:pPr>
        <w:pStyle w:val="2"/>
        <w:keepNext w:val="0"/>
        <w:keepLines w:val="0"/>
        <w:widowControl/>
        <w:suppressLineNumbers w:val="0"/>
        <w:spacing w:before="0" w:beforeAutospacing="0" w:after="1" w:afterAutospacing="0"/>
        <w:ind w:left="0" w:right="0" w:firstLine="700"/>
      </w:pPr>
      <w:r>
        <w:rPr>
          <w:rFonts w:ascii="宋体" w:hAnsi="宋体" w:eastAsia="宋体" w:cs="宋体"/>
          <w:sz w:val="32"/>
          <w:szCs w:val="32"/>
        </w:rPr>
        <w:t>十、关于机关运行经费支出说明</w:t>
      </w:r>
    </w:p>
    <w:p>
      <w:pPr>
        <w:pStyle w:val="2"/>
        <w:keepNext w:val="0"/>
        <w:keepLines w:val="0"/>
        <w:widowControl/>
        <w:suppressLineNumbers w:val="0"/>
        <w:spacing w:before="0" w:beforeAutospacing="0" w:after="1" w:afterAutospacing="0"/>
        <w:ind w:left="0" w:right="0" w:firstLine="700"/>
      </w:pPr>
      <w:r>
        <w:rPr>
          <w:rFonts w:ascii="宋体" w:hAnsi="宋体" w:eastAsia="宋体" w:cs="宋体"/>
          <w:sz w:val="32"/>
          <w:szCs w:val="32"/>
        </w:rPr>
        <w:t>十一、一般性支出情况</w:t>
      </w:r>
    </w:p>
    <w:p>
      <w:pPr>
        <w:pStyle w:val="2"/>
        <w:keepNext w:val="0"/>
        <w:keepLines w:val="0"/>
        <w:widowControl/>
        <w:suppressLineNumbers w:val="0"/>
        <w:spacing w:before="0" w:beforeAutospacing="0" w:after="1" w:afterAutospacing="0"/>
        <w:ind w:left="0" w:right="0" w:firstLine="700"/>
      </w:pPr>
      <w:r>
        <w:rPr>
          <w:rFonts w:ascii="宋体" w:hAnsi="宋体" w:eastAsia="宋体" w:cs="宋体"/>
          <w:sz w:val="32"/>
          <w:szCs w:val="32"/>
        </w:rPr>
        <w:t>十二、关于政府采购支出说明</w:t>
      </w:r>
    </w:p>
    <w:p>
      <w:pPr>
        <w:pStyle w:val="2"/>
        <w:keepNext w:val="0"/>
        <w:keepLines w:val="0"/>
        <w:widowControl/>
        <w:suppressLineNumbers w:val="0"/>
        <w:spacing w:before="0" w:beforeAutospacing="0" w:after="1" w:afterAutospacing="0"/>
        <w:ind w:left="0" w:right="0" w:firstLine="700"/>
      </w:pPr>
      <w:r>
        <w:rPr>
          <w:rFonts w:ascii="宋体" w:hAnsi="宋体" w:eastAsia="宋体" w:cs="宋体"/>
          <w:sz w:val="32"/>
          <w:szCs w:val="32"/>
        </w:rPr>
        <w:t>十三、关于国有资产占用情况说明</w:t>
      </w:r>
    </w:p>
    <w:p>
      <w:pPr>
        <w:pStyle w:val="2"/>
        <w:keepNext w:val="0"/>
        <w:keepLines w:val="0"/>
        <w:widowControl/>
        <w:suppressLineNumbers w:val="0"/>
        <w:spacing w:before="0" w:beforeAutospacing="0" w:after="1" w:afterAutospacing="0"/>
        <w:ind w:left="0" w:right="0" w:firstLine="700"/>
      </w:pPr>
      <w:r>
        <w:rPr>
          <w:rFonts w:ascii="宋体" w:hAnsi="宋体" w:eastAsia="宋体" w:cs="宋体"/>
          <w:sz w:val="32"/>
          <w:szCs w:val="32"/>
        </w:rPr>
        <w:t>十四、关于2022年度预算绩效情况的说明</w:t>
      </w:r>
    </w:p>
    <w:p>
      <w:pPr>
        <w:pStyle w:val="2"/>
        <w:keepNext w:val="0"/>
        <w:keepLines w:val="0"/>
        <w:widowControl/>
        <w:suppressLineNumbers w:val="0"/>
        <w:spacing w:before="0" w:beforeAutospacing="0" w:after="1" w:afterAutospacing="0"/>
        <w:ind w:left="0" w:right="0" w:firstLine="641"/>
        <w:rPr>
          <w:sz w:val="27"/>
          <w:szCs w:val="27"/>
        </w:rPr>
      </w:pPr>
      <w:r>
        <w:rPr>
          <w:rFonts w:hint="eastAsia" w:ascii="宋体" w:hAnsi="宋体" w:eastAsia="宋体" w:cs="宋体"/>
          <w:b/>
          <w:sz w:val="32"/>
          <w:szCs w:val="32"/>
        </w:rPr>
        <w:t>第四部分 名词解释</w:t>
      </w:r>
    </w:p>
    <w:p>
      <w:pPr>
        <w:pStyle w:val="2"/>
        <w:keepNext w:val="0"/>
        <w:keepLines w:val="0"/>
        <w:widowControl/>
        <w:suppressLineNumbers w:val="0"/>
        <w:spacing w:before="0" w:beforeAutospacing="0" w:after="1" w:afterAutospacing="0"/>
        <w:ind w:left="0" w:right="0" w:firstLine="641"/>
        <w:rPr>
          <w:sz w:val="27"/>
          <w:szCs w:val="27"/>
        </w:rPr>
      </w:pPr>
      <w:r>
        <w:rPr>
          <w:rFonts w:hint="eastAsia" w:ascii="宋体" w:hAnsi="宋体" w:eastAsia="宋体" w:cs="宋体"/>
          <w:b/>
          <w:sz w:val="32"/>
          <w:szCs w:val="32"/>
        </w:rPr>
        <w:t>第五部分 附件</w:t>
      </w:r>
    </w:p>
    <w:p>
      <w:pPr>
        <w:keepNext w:val="0"/>
        <w:keepLines w:val="0"/>
        <w:widowControl/>
        <w:suppressLineNumbers w:val="0"/>
        <w:spacing w:before="60" w:beforeAutospacing="0" w:after="60" w:afterAutospacing="0"/>
        <w:ind w:left="0" w:right="0"/>
        <w:jc w:val="left"/>
        <w:rPr>
          <w:rFonts w:ascii="font-size:10.5pt;text-indent:32.05pt;margin-top:0pt;margin-botto" w:hAnsi="font-size:10.5pt;text-indent:32.05pt;margin-top:0pt;margin-botto" w:eastAsia="font-size:10.5pt;text-indent:32.05pt;margin-top:0pt;margin-botto" w:cs="font-size:10.5pt;text-indent:32.05pt;margin-top:0pt;margin-botto"/>
        </w:rPr>
      </w:pPr>
    </w:p>
    <w:p>
      <w:pPr>
        <w:keepNext w:val="0"/>
        <w:keepLines w:val="0"/>
        <w:widowControl/>
        <w:suppressLineNumbers w:val="0"/>
        <w:spacing w:before="60" w:beforeAutospacing="0" w:after="60" w:afterAutospacing="0"/>
        <w:ind w:left="0" w:right="0"/>
        <w:jc w:val="left"/>
        <w:rPr>
          <w:rFonts w:hint="default" w:ascii="font-size:10.5pt;text-indent:32.05pt;margin-top:0pt;margin-botto" w:hAnsi="font-size:10.5pt;text-indent:32.05pt;margin-top:0pt;margin-botto" w:eastAsia="font-size:10.5pt;text-indent:32.05pt;margin-top:0pt;margin-botto" w:cs="font-size:10.5pt;text-indent:32.05pt;margin-top:0pt;margin-botto"/>
        </w:rPr>
      </w:pPr>
    </w:p>
    <w:p>
      <w:pPr>
        <w:keepNext w:val="0"/>
        <w:keepLines w:val="0"/>
        <w:widowControl/>
        <w:suppressLineNumbers w:val="0"/>
        <w:spacing w:before="60" w:beforeAutospacing="0" w:after="60" w:afterAutospacing="0"/>
        <w:ind w:left="0" w:right="0"/>
        <w:jc w:val="left"/>
        <w:rPr>
          <w:rFonts w:hint="default" w:ascii="font-size:10.5pt;text-indent:32.05pt;margin-top:0pt;margin-botto" w:hAnsi="font-size:10.5pt;text-indent:32.05pt;margin-top:0pt;margin-botto" w:eastAsia="font-size:10.5pt;text-indent:32.05pt;margin-top:0pt;margin-botto" w:cs="font-size:10.5pt;text-indent:32.05pt;margin-top:0pt;margin-botto"/>
        </w:rPr>
      </w:pPr>
    </w:p>
    <w:p>
      <w:pPr>
        <w:keepNext w:val="0"/>
        <w:keepLines w:val="0"/>
        <w:widowControl/>
        <w:suppressLineNumbers w:val="0"/>
        <w:spacing w:before="60" w:beforeAutospacing="0" w:after="60" w:afterAutospacing="0"/>
        <w:ind w:left="0" w:right="0"/>
        <w:jc w:val="left"/>
        <w:rPr>
          <w:rFonts w:hint="default" w:ascii="font-size:10.5pt;text-indent:32.05pt;margin-top:0pt;margin-botto" w:hAnsi="font-size:10.5pt;text-indent:32.05pt;margin-top:0pt;margin-botto" w:eastAsia="font-size:10.5pt;text-indent:32.05pt;margin-top:0pt;margin-botto" w:cs="font-size:10.5pt;text-indent:32.05pt;margin-top:0pt;margin-botto"/>
        </w:rPr>
      </w:pPr>
    </w:p>
    <w:p>
      <w:pPr>
        <w:keepNext w:val="0"/>
        <w:keepLines w:val="0"/>
        <w:widowControl/>
        <w:suppressLineNumbers w:val="0"/>
        <w:spacing w:before="60" w:beforeAutospacing="0" w:after="60" w:afterAutospacing="0"/>
        <w:ind w:left="0" w:right="0"/>
        <w:jc w:val="left"/>
        <w:rPr>
          <w:rFonts w:hint="default" w:ascii="font-size:10.5pt;text-indent:32.05pt;margin-top:0pt;margin-botto" w:hAnsi="font-size:10.5pt;text-indent:32.05pt;margin-top:0pt;margin-botto" w:eastAsia="font-size:10.5pt;text-indent:32.05pt;margin-top:0pt;margin-botto" w:cs="font-size:10.5pt;text-indent:32.05pt;margin-top:0pt;margin-botto"/>
        </w:rPr>
      </w:pPr>
    </w:p>
    <w:p>
      <w:pPr>
        <w:keepNext w:val="0"/>
        <w:keepLines w:val="0"/>
        <w:widowControl/>
        <w:suppressLineNumbers w:val="0"/>
        <w:spacing w:before="0" w:beforeAutospacing="0" w:after="1" w:afterAutospacing="0" w:line="600" w:lineRule="atLeast"/>
        <w:ind w:left="0" w:right="0"/>
        <w:jc w:val="center"/>
        <w:rPr>
          <w:sz w:val="21"/>
          <w:szCs w:val="21"/>
        </w:rPr>
      </w:pPr>
      <w:r>
        <w:rPr>
          <w:rFonts w:hint="eastAsia" w:ascii="宋体" w:hAnsi="宋体" w:eastAsia="宋体" w:cs="宋体"/>
          <w:b/>
          <w:kern w:val="0"/>
          <w:sz w:val="36"/>
          <w:szCs w:val="36"/>
          <w:lang w:val="en-US" w:eastAsia="zh-CN" w:bidi="ar"/>
        </w:rPr>
        <w:t>第一部分 珠晖区审计局概况</w:t>
      </w:r>
    </w:p>
    <w:p>
      <w:pPr>
        <w:pStyle w:val="2"/>
        <w:keepNext w:val="0"/>
        <w:keepLines w:val="0"/>
        <w:widowControl/>
        <w:suppressLineNumbers w:val="0"/>
        <w:spacing w:before="0" w:beforeAutospacing="0" w:after="1" w:afterAutospacing="0"/>
        <w:ind w:left="0" w:right="0"/>
      </w:pPr>
    </w:p>
    <w:p>
      <w:pPr>
        <w:pStyle w:val="2"/>
        <w:keepNext w:val="0"/>
        <w:keepLines w:val="0"/>
        <w:widowControl/>
        <w:suppressLineNumbers w:val="0"/>
        <w:spacing w:before="0" w:beforeAutospacing="0" w:after="1" w:afterAutospacing="0"/>
        <w:ind w:left="0" w:right="0" w:firstLine="0"/>
      </w:pPr>
      <w:r>
        <w:rPr>
          <w:rFonts w:ascii="黑体" w:hAnsi="宋体" w:eastAsia="黑体" w:cs="黑体"/>
          <w:sz w:val="32"/>
          <w:szCs w:val="32"/>
        </w:rPr>
        <w:t> </w:t>
      </w:r>
    </w:p>
    <w:p>
      <w:pPr>
        <w:pStyle w:val="2"/>
        <w:keepNext w:val="0"/>
        <w:keepLines w:val="0"/>
        <w:widowControl/>
        <w:suppressLineNumbers w:val="0"/>
        <w:spacing w:before="0" w:beforeAutospacing="0" w:after="1" w:afterAutospacing="0"/>
        <w:ind w:left="0" w:right="0" w:firstLine="641"/>
        <w:rPr>
          <w:sz w:val="27"/>
          <w:szCs w:val="27"/>
        </w:rPr>
      </w:pPr>
      <w:r>
        <w:rPr>
          <w:rFonts w:hint="eastAsia" w:ascii="宋体" w:hAnsi="宋体" w:eastAsia="宋体" w:cs="宋体"/>
          <w:b/>
          <w:sz w:val="32"/>
          <w:szCs w:val="32"/>
        </w:rPr>
        <w:t>一、部门职责</w:t>
      </w:r>
    </w:p>
    <w:p>
      <w:pPr>
        <w:pStyle w:val="2"/>
        <w:keepNext w:val="0"/>
        <w:keepLines w:val="0"/>
        <w:widowControl/>
        <w:suppressLineNumbers w:val="0"/>
        <w:spacing w:before="0" w:beforeAutospacing="0" w:after="1" w:afterAutospacing="0"/>
        <w:ind w:left="0" w:right="0" w:firstLine="641"/>
        <w:rPr>
          <w:sz w:val="27"/>
          <w:szCs w:val="27"/>
        </w:rPr>
      </w:pPr>
      <w:r>
        <w:rPr>
          <w:rFonts w:ascii="宋体" w:hAnsi="宋体" w:eastAsia="宋体" w:cs="宋体"/>
          <w:sz w:val="32"/>
          <w:szCs w:val="32"/>
        </w:rPr>
        <w:t>（一）主管全区审计工作。负责对全区财政收支和法律法规规定属于审计监督范围的财务收支的真实、合法和效益进行审计监督，对公共资金、国有资产、国有资源和领导干部履行经济责任情况实行审计全覆盖，对领导干部实行自然资源资产离任审计，对中央、省委省政府、市委市政府、区委区政府有关重大政策措施贯彻落实情况进行跟踪审计。对审计、专项审计调查和核查社会审计机构相关审计报告的结果承担责任，并负有督促被审计单位整改的责任。</w:t>
      </w:r>
    </w:p>
    <w:p>
      <w:pPr>
        <w:pStyle w:val="2"/>
        <w:keepNext w:val="0"/>
        <w:keepLines w:val="0"/>
        <w:widowControl/>
        <w:suppressLineNumbers w:val="0"/>
        <w:spacing w:before="0" w:beforeAutospacing="0" w:after="1" w:afterAutospacing="0"/>
        <w:ind w:left="0" w:right="0" w:firstLine="641"/>
        <w:rPr>
          <w:sz w:val="27"/>
          <w:szCs w:val="27"/>
        </w:rPr>
      </w:pPr>
      <w:r>
        <w:rPr>
          <w:rFonts w:ascii="宋体" w:hAnsi="宋体" w:eastAsia="宋体" w:cs="宋体"/>
          <w:sz w:val="32"/>
          <w:szCs w:val="32"/>
        </w:rPr>
        <w:t>（二）贯彻执行中央、省、市关于审计工作的方针、政策和法律法规，拟订全区审计工作政策，参与起草审计、财政经济有关规范性文件，制定审计业务规章制度，并监督执行。制定并组织实施全区审计工作发展规划和专业领域审计工作规划及年度审计计划。对直接审计、调查和核查的事项依法进行审计评价，做出审计决定或提出审计建议。</w:t>
      </w:r>
    </w:p>
    <w:p>
      <w:pPr>
        <w:pStyle w:val="2"/>
        <w:keepNext w:val="0"/>
        <w:keepLines w:val="0"/>
        <w:widowControl/>
        <w:suppressLineNumbers w:val="0"/>
        <w:spacing w:before="0" w:beforeAutospacing="0" w:after="1" w:afterAutospacing="0"/>
        <w:ind w:left="0" w:right="0" w:firstLine="641"/>
        <w:rPr>
          <w:sz w:val="27"/>
          <w:szCs w:val="27"/>
        </w:rPr>
      </w:pPr>
      <w:r>
        <w:rPr>
          <w:rFonts w:ascii="宋体" w:hAnsi="宋体" w:eastAsia="宋体" w:cs="宋体"/>
          <w:sz w:val="32"/>
          <w:szCs w:val="32"/>
        </w:rPr>
        <w:t>（三）向区委审计委员会提出年度区本级预算执行和其他财政收支的审计报告。向区政府提出年度区本级预算执行和其他财政收支情况的审计结果报告。受区府委托向区人大常委会提出区本级预算执行情况和其他财政收支情况的审计工作报告、审计查出问题整改情况报告。向区委、区政府报告对其他事项的审计和专项审计调查情况及结果。向区直有关部门、乡镇（街道）党委和政府通报审计情况和审计结果。</w:t>
      </w:r>
    </w:p>
    <w:p>
      <w:pPr>
        <w:pStyle w:val="2"/>
        <w:keepNext w:val="0"/>
        <w:keepLines w:val="0"/>
        <w:widowControl/>
        <w:suppressLineNumbers w:val="0"/>
        <w:spacing w:before="0" w:beforeAutospacing="0" w:after="1" w:afterAutospacing="0"/>
        <w:ind w:left="0" w:right="0" w:firstLine="641"/>
        <w:rPr>
          <w:sz w:val="27"/>
          <w:szCs w:val="27"/>
        </w:rPr>
      </w:pPr>
      <w:r>
        <w:rPr>
          <w:rFonts w:ascii="宋体" w:hAnsi="宋体" w:eastAsia="宋体" w:cs="宋体"/>
          <w:sz w:val="32"/>
          <w:szCs w:val="32"/>
        </w:rPr>
        <w:t>（四）负责对稳增长、促改革、调结构、惠民生、防风险等政策措施落实情况，以及公共资金、国有资产、国有资源进行审计，实现审计监督全覆盖。向区政府报告和向区直有关部门通报审计情况，提出制定和完善有关政策法规、宏观调控措施以及管理体制、机制的建议。</w:t>
      </w:r>
    </w:p>
    <w:p>
      <w:pPr>
        <w:pStyle w:val="2"/>
        <w:keepNext w:val="0"/>
        <w:keepLines w:val="0"/>
        <w:widowControl/>
        <w:suppressLineNumbers w:val="0"/>
        <w:spacing w:before="0" w:beforeAutospacing="0" w:after="1" w:afterAutospacing="0"/>
        <w:ind w:left="0" w:right="0" w:firstLine="641"/>
        <w:rPr>
          <w:sz w:val="27"/>
          <w:szCs w:val="27"/>
        </w:rPr>
      </w:pPr>
      <w:r>
        <w:rPr>
          <w:rFonts w:ascii="宋体" w:hAnsi="宋体" w:eastAsia="宋体" w:cs="宋体"/>
          <w:sz w:val="32"/>
          <w:szCs w:val="32"/>
        </w:rPr>
        <w:t>（五）直接审计下列事项，出具审计报告，在法定职权范围内做出审计决定或向有关主管机关提出处理处罚的建议：1.区本级财政预算执行情况和其他财政收支。2.乡(镇)政府财政决算和其他财政收支。3.区直各部门、事业单位及其下属单位预算执行情况、决算和其他财政收支。4.区属国有企业和融资平台、区属国有资本占控股或主导地位的企业和金融机构的资产、负债和损益情况。5.区政府部门管理的和其他单位受区政府委托管理的社会保障基金、社会捐赠资金以及其他有关基金、资金的财务收支。6.区政府投资和以区政府投资为主的建设项目的预算执行情况和工程决算情况，区重大公共工程项目的资金管理使用情况和建设运营情况。7.区政府接收的国际组织和外国政府援助、贷款项目以及赠款项目的财务收支。8.法律、法规规定应由区审计局审计的其他事项。</w:t>
      </w:r>
    </w:p>
    <w:p>
      <w:pPr>
        <w:pStyle w:val="2"/>
        <w:keepNext w:val="0"/>
        <w:keepLines w:val="0"/>
        <w:widowControl/>
        <w:suppressLineNumbers w:val="0"/>
        <w:spacing w:before="0" w:beforeAutospacing="0" w:after="1" w:afterAutospacing="0"/>
        <w:ind w:left="0" w:right="0" w:firstLine="641"/>
        <w:rPr>
          <w:sz w:val="27"/>
          <w:szCs w:val="27"/>
        </w:rPr>
      </w:pPr>
      <w:r>
        <w:rPr>
          <w:rFonts w:ascii="宋体" w:hAnsi="宋体" w:eastAsia="宋体" w:cs="宋体"/>
          <w:sz w:val="32"/>
          <w:szCs w:val="32"/>
        </w:rPr>
        <w:t>（六）按规定对区管党政领导干部及依法属于区审计局监督对象的其他单位主要负责人实施经济责任审计和自然资源资产离任审计。</w:t>
      </w:r>
    </w:p>
    <w:p>
      <w:pPr>
        <w:pStyle w:val="2"/>
        <w:keepNext w:val="0"/>
        <w:keepLines w:val="0"/>
        <w:widowControl/>
        <w:suppressLineNumbers w:val="0"/>
        <w:spacing w:before="0" w:beforeAutospacing="0" w:after="1" w:afterAutospacing="0"/>
        <w:ind w:left="0" w:right="0" w:firstLine="641"/>
        <w:rPr>
          <w:sz w:val="27"/>
          <w:szCs w:val="27"/>
        </w:rPr>
      </w:pPr>
      <w:r>
        <w:rPr>
          <w:rFonts w:ascii="宋体" w:hAnsi="宋体" w:eastAsia="宋体" w:cs="宋体"/>
          <w:sz w:val="32"/>
          <w:szCs w:val="32"/>
        </w:rPr>
        <w:t>（七）负责城市建设、管理及公用企、事业单位的财务收支的审计监督，负责重大项目稽查，负责与建设项目有关的勘察、设计、施工、监理等财务收支的审计监督。负责职责范围内的政府投资建设项目工程结算和调整概算审计。组织建设项目专项审计或审计调查。</w:t>
      </w:r>
    </w:p>
    <w:p>
      <w:pPr>
        <w:pStyle w:val="2"/>
        <w:keepNext w:val="0"/>
        <w:keepLines w:val="0"/>
        <w:widowControl/>
        <w:suppressLineNumbers w:val="0"/>
        <w:spacing w:before="0" w:beforeAutospacing="0" w:after="1" w:afterAutospacing="0"/>
        <w:ind w:left="0" w:right="0" w:firstLine="641"/>
        <w:rPr>
          <w:sz w:val="27"/>
          <w:szCs w:val="27"/>
        </w:rPr>
      </w:pPr>
      <w:r>
        <w:rPr>
          <w:rFonts w:ascii="宋体" w:hAnsi="宋体" w:eastAsia="宋体" w:cs="宋体"/>
          <w:sz w:val="32"/>
          <w:szCs w:val="32"/>
        </w:rPr>
        <w:t>（八）组织实施对国家财经法律、法规、规章、政策和宏观调控措施执行情况、财政预算管理或国有资产管理使用等与国家财政收支有关的特定事项进行专项审计调查。</w:t>
      </w:r>
    </w:p>
    <w:p>
      <w:pPr>
        <w:pStyle w:val="2"/>
        <w:keepNext w:val="0"/>
        <w:keepLines w:val="0"/>
        <w:widowControl/>
        <w:suppressLineNumbers w:val="0"/>
        <w:spacing w:before="0" w:beforeAutospacing="0" w:after="1" w:afterAutospacing="0"/>
        <w:ind w:left="0" w:right="0" w:firstLine="641"/>
        <w:rPr>
          <w:sz w:val="27"/>
          <w:szCs w:val="27"/>
        </w:rPr>
      </w:pPr>
      <w:r>
        <w:rPr>
          <w:rFonts w:ascii="宋体" w:hAnsi="宋体" w:eastAsia="宋体" w:cs="宋体"/>
          <w:sz w:val="32"/>
          <w:szCs w:val="32"/>
        </w:rPr>
        <w:t>（九）负责审计署、审计厅、市审计局授权的审计项目和专项审计调查项目以及国家重大政策措施和宏观调控部署落实情况的跟踪审计项目的组织实施。</w:t>
      </w:r>
    </w:p>
    <w:p>
      <w:pPr>
        <w:pStyle w:val="2"/>
        <w:keepNext w:val="0"/>
        <w:keepLines w:val="0"/>
        <w:widowControl/>
        <w:suppressLineNumbers w:val="0"/>
        <w:spacing w:before="0" w:beforeAutospacing="0" w:after="1" w:afterAutospacing="0"/>
        <w:ind w:left="0" w:right="0" w:firstLine="641"/>
        <w:rPr>
          <w:sz w:val="27"/>
          <w:szCs w:val="27"/>
        </w:rPr>
      </w:pPr>
      <w:r>
        <w:rPr>
          <w:rFonts w:ascii="宋体" w:hAnsi="宋体" w:eastAsia="宋体" w:cs="宋体"/>
          <w:sz w:val="32"/>
          <w:szCs w:val="32"/>
        </w:rPr>
        <w:t>（十）依法检查审计决定执行情况，督促整改审计发现的问题，依法办理被审计单位对审计决定提请行政复议、行政诉讼或行政裁决中的有关事项。协助配合有关部门查处相关重大案件。</w:t>
      </w:r>
    </w:p>
    <w:p>
      <w:pPr>
        <w:pStyle w:val="2"/>
        <w:keepNext w:val="0"/>
        <w:keepLines w:val="0"/>
        <w:widowControl/>
        <w:suppressLineNumbers w:val="0"/>
        <w:spacing w:before="0" w:beforeAutospacing="0" w:after="1" w:afterAutospacing="0"/>
        <w:ind w:left="0" w:right="0" w:firstLine="641"/>
        <w:rPr>
          <w:sz w:val="27"/>
          <w:szCs w:val="27"/>
        </w:rPr>
      </w:pPr>
      <w:r>
        <w:rPr>
          <w:rFonts w:ascii="宋体" w:hAnsi="宋体" w:eastAsia="宋体" w:cs="宋体"/>
          <w:sz w:val="32"/>
          <w:szCs w:val="32"/>
        </w:rPr>
        <w:t>（十一）指导和监督内部审计和社会审计机构工作，对依法属于审计监督对象的单位的内部审计业务进行指导和监督，对依法属于审计机关审计监督对象的社会审计机构出具的审计报告进行核查。</w:t>
      </w:r>
    </w:p>
    <w:p>
      <w:pPr>
        <w:pStyle w:val="2"/>
        <w:keepNext w:val="0"/>
        <w:keepLines w:val="0"/>
        <w:widowControl/>
        <w:suppressLineNumbers w:val="0"/>
        <w:spacing w:before="0" w:beforeAutospacing="0" w:after="1" w:afterAutospacing="0"/>
        <w:ind w:left="0" w:right="0" w:firstLine="641"/>
        <w:rPr>
          <w:sz w:val="27"/>
          <w:szCs w:val="27"/>
        </w:rPr>
      </w:pPr>
      <w:r>
        <w:rPr>
          <w:rFonts w:ascii="宋体" w:hAnsi="宋体" w:eastAsia="宋体" w:cs="宋体"/>
          <w:sz w:val="32"/>
          <w:szCs w:val="32"/>
        </w:rPr>
        <w:t>（十二）组织审计我区驻外机构的财务收支，依法通过适当方式组织审计区属企业和金融机构的境外资产、负债和损益。</w:t>
      </w:r>
    </w:p>
    <w:p>
      <w:pPr>
        <w:pStyle w:val="2"/>
        <w:keepNext w:val="0"/>
        <w:keepLines w:val="0"/>
        <w:widowControl/>
        <w:suppressLineNumbers w:val="0"/>
        <w:spacing w:before="0" w:beforeAutospacing="0" w:after="1" w:afterAutospacing="0"/>
        <w:ind w:left="0" w:right="0" w:firstLine="641"/>
        <w:rPr>
          <w:sz w:val="27"/>
          <w:szCs w:val="27"/>
        </w:rPr>
      </w:pPr>
      <w:r>
        <w:rPr>
          <w:rFonts w:ascii="宋体" w:hAnsi="宋体" w:eastAsia="宋体" w:cs="宋体"/>
          <w:sz w:val="32"/>
          <w:szCs w:val="32"/>
        </w:rPr>
        <w:t>（十三）完成区委、区政府交办的其他任务。</w:t>
      </w:r>
    </w:p>
    <w:p>
      <w:pPr>
        <w:pStyle w:val="2"/>
        <w:keepNext w:val="0"/>
        <w:keepLines w:val="0"/>
        <w:widowControl/>
        <w:suppressLineNumbers w:val="0"/>
        <w:spacing w:before="0" w:beforeAutospacing="0" w:after="1" w:afterAutospacing="0"/>
        <w:ind w:left="0" w:right="0" w:firstLine="641"/>
        <w:rPr>
          <w:sz w:val="27"/>
          <w:szCs w:val="27"/>
        </w:rPr>
      </w:pPr>
      <w:r>
        <w:rPr>
          <w:rFonts w:ascii="宋体" w:hAnsi="宋体" w:eastAsia="宋体" w:cs="宋体"/>
          <w:sz w:val="32"/>
          <w:szCs w:val="32"/>
        </w:rPr>
        <w:t>（十四）职能转变。进一步完善审计管理体制，理顺内部职责关系，构建集中统一、全面覆盖、权威高效的审计监督体系。优化审计工作机制，坚持科技强审，完善业务流程，改进工作方式，加强与相关部门的沟通协调，充分调动内部审计和社会审计力量，增强监督合力。</w:t>
      </w:r>
    </w:p>
    <w:p>
      <w:pPr>
        <w:pStyle w:val="2"/>
        <w:keepNext w:val="0"/>
        <w:keepLines w:val="0"/>
        <w:widowControl/>
        <w:suppressLineNumbers w:val="0"/>
        <w:spacing w:before="0" w:beforeAutospacing="0" w:after="1" w:afterAutospacing="0"/>
        <w:ind w:left="0" w:right="0" w:firstLine="641"/>
        <w:rPr>
          <w:sz w:val="27"/>
          <w:szCs w:val="27"/>
        </w:rPr>
      </w:pPr>
      <w:r>
        <w:rPr>
          <w:rFonts w:hint="eastAsia" w:ascii="宋体" w:hAnsi="宋体" w:eastAsia="宋体" w:cs="宋体"/>
          <w:b/>
          <w:sz w:val="32"/>
          <w:szCs w:val="32"/>
        </w:rPr>
        <w:t>二、机构设置及决算单位构成</w:t>
      </w:r>
    </w:p>
    <w:p>
      <w:pPr>
        <w:pStyle w:val="2"/>
        <w:keepNext w:val="0"/>
        <w:keepLines w:val="0"/>
        <w:widowControl/>
        <w:suppressLineNumbers w:val="0"/>
        <w:spacing w:before="0" w:beforeAutospacing="0" w:after="1" w:afterAutospacing="0"/>
        <w:ind w:left="0" w:right="0" w:firstLine="641"/>
        <w:rPr>
          <w:sz w:val="27"/>
          <w:szCs w:val="27"/>
        </w:rPr>
      </w:pPr>
      <w:r>
        <w:rPr>
          <w:rFonts w:hint="eastAsia" w:ascii="宋体" w:hAnsi="宋体" w:eastAsia="宋体" w:cs="宋体"/>
          <w:sz w:val="32"/>
          <w:szCs w:val="32"/>
        </w:rPr>
        <w:t>（一）内设机构设置</w:t>
      </w:r>
    </w:p>
    <w:p>
      <w:pPr>
        <w:pStyle w:val="2"/>
        <w:keepNext w:val="0"/>
        <w:keepLines w:val="0"/>
        <w:widowControl/>
        <w:suppressLineNumbers w:val="0"/>
        <w:spacing w:before="0" w:beforeAutospacing="0" w:after="1" w:afterAutospacing="0"/>
        <w:ind w:left="0" w:right="0" w:firstLine="641"/>
        <w:rPr>
          <w:sz w:val="27"/>
          <w:szCs w:val="27"/>
        </w:rPr>
      </w:pPr>
      <w:r>
        <w:rPr>
          <w:rFonts w:hint="eastAsia" w:ascii="宋体" w:hAnsi="宋体" w:eastAsia="宋体" w:cs="宋体"/>
          <w:sz w:val="32"/>
          <w:szCs w:val="32"/>
          <w:shd w:val="clear" w:fill="FFFFFF"/>
        </w:rPr>
        <w:t>珠晖区审计局</w:t>
      </w:r>
      <w:r>
        <w:rPr>
          <w:rFonts w:hint="eastAsia" w:ascii="宋体" w:hAnsi="宋体" w:eastAsia="宋体" w:cs="宋体"/>
          <w:sz w:val="32"/>
          <w:szCs w:val="32"/>
        </w:rPr>
        <w:t>内设机构包括：本部门共有编制人数据14人，实有人数据18人。内设股室4个。</w:t>
      </w:r>
    </w:p>
    <w:p>
      <w:pPr>
        <w:pStyle w:val="2"/>
        <w:keepNext w:val="0"/>
        <w:keepLines w:val="0"/>
        <w:widowControl/>
        <w:suppressLineNumbers w:val="0"/>
        <w:spacing w:before="0" w:beforeAutospacing="0" w:after="1" w:afterAutospacing="0"/>
        <w:ind w:left="0" w:right="0" w:firstLine="641"/>
        <w:rPr>
          <w:sz w:val="27"/>
          <w:szCs w:val="27"/>
        </w:rPr>
      </w:pPr>
      <w:r>
        <w:rPr>
          <w:rFonts w:hint="eastAsia" w:ascii="宋体" w:hAnsi="宋体" w:eastAsia="宋体" w:cs="宋体"/>
          <w:sz w:val="32"/>
          <w:szCs w:val="32"/>
        </w:rPr>
        <w:t>（二）决算单位构成</w:t>
      </w:r>
    </w:p>
    <w:p>
      <w:pPr>
        <w:pStyle w:val="2"/>
        <w:keepNext w:val="0"/>
        <w:keepLines w:val="0"/>
        <w:widowControl/>
        <w:suppressLineNumbers w:val="0"/>
        <w:spacing w:before="0" w:beforeAutospacing="0" w:after="1" w:afterAutospacing="0"/>
        <w:ind w:left="0" w:right="0" w:firstLine="641"/>
        <w:rPr>
          <w:sz w:val="27"/>
          <w:szCs w:val="27"/>
        </w:rPr>
      </w:pPr>
      <w:r>
        <w:rPr>
          <w:rFonts w:ascii="宋体" w:hAnsi="宋体" w:eastAsia="宋体" w:cs="宋体"/>
          <w:sz w:val="32"/>
          <w:szCs w:val="32"/>
        </w:rPr>
        <w:t>珠晖区审计局2022年部门决算汇总公开单位构成包括：1、珠晖区审计局部门本级；2珠晖区审计服务中心。</w:t>
      </w:r>
    </w:p>
    <w:p>
      <w:pPr>
        <w:keepNext w:val="0"/>
        <w:keepLines w:val="0"/>
        <w:widowControl/>
        <w:suppressLineNumbers w:val="0"/>
        <w:jc w:val="left"/>
      </w:pPr>
    </w:p>
    <w:p>
      <w:pPr>
        <w:keepNext w:val="0"/>
        <w:keepLines w:val="0"/>
        <w:widowControl/>
        <w:suppressLineNumbers w:val="0"/>
        <w:spacing w:before="0" w:beforeAutospacing="0" w:after="1" w:afterAutospacing="0"/>
        <w:ind w:left="0" w:right="0" w:firstLine="721"/>
        <w:jc w:val="center"/>
        <w:rPr>
          <w:sz w:val="21"/>
          <w:szCs w:val="21"/>
        </w:rPr>
      </w:pPr>
    </w:p>
    <w:p>
      <w:pPr>
        <w:keepNext w:val="0"/>
        <w:keepLines w:val="0"/>
        <w:widowControl/>
        <w:suppressLineNumbers w:val="0"/>
        <w:spacing w:before="0" w:beforeAutospacing="0" w:after="1" w:afterAutospacing="0"/>
        <w:ind w:left="0" w:right="0" w:firstLine="721"/>
        <w:jc w:val="center"/>
        <w:rPr>
          <w:sz w:val="21"/>
          <w:szCs w:val="21"/>
        </w:rPr>
      </w:pPr>
      <w:r>
        <w:rPr>
          <w:rFonts w:hint="eastAsia" w:ascii="宋体" w:hAnsi="宋体" w:eastAsia="宋体" w:cs="宋体"/>
          <w:b/>
          <w:kern w:val="0"/>
          <w:sz w:val="36"/>
          <w:szCs w:val="36"/>
          <w:lang w:val="en-US" w:eastAsia="zh-CN" w:bidi="ar"/>
        </w:rPr>
        <w:t>第二部分 2022年度部门决算表</w:t>
      </w:r>
    </w:p>
    <w:p>
      <w:pPr>
        <w:pStyle w:val="2"/>
        <w:keepNext w:val="0"/>
        <w:keepLines w:val="0"/>
        <w:widowControl/>
        <w:suppressLineNumbers w:val="0"/>
        <w:spacing w:before="0" w:beforeAutospacing="0" w:after="1" w:afterAutospacing="0"/>
        <w:ind w:left="0" w:right="0"/>
      </w:pPr>
    </w:p>
    <w:p>
      <w:pPr>
        <w:keepNext w:val="0"/>
        <w:keepLines w:val="0"/>
        <w:widowControl/>
        <w:suppressLineNumbers w:val="0"/>
        <w:spacing w:before="0" w:beforeAutospacing="0" w:after="1" w:afterAutospacing="0"/>
        <w:ind w:left="0" w:right="0"/>
        <w:jc w:val="center"/>
        <w:rPr>
          <w:sz w:val="21"/>
          <w:szCs w:val="21"/>
        </w:rPr>
      </w:pPr>
    </w:p>
    <w:tbl>
      <w:tblPr>
        <w:tblW w:w="12143" w:type="dxa"/>
        <w:jc w:val="center"/>
        <w:tblInd w:w="-1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637"/>
        <w:gridCol w:w="491"/>
        <w:gridCol w:w="1942"/>
        <w:gridCol w:w="3638"/>
        <w:gridCol w:w="479"/>
        <w:gridCol w:w="1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jc w:val="center"/>
        </w:trPr>
        <w:tc>
          <w:tcPr>
            <w:tcW w:w="12143" w:type="dxa"/>
            <w:gridSpan w:val="6"/>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ascii="Tahoma" w:hAnsi="Tahoma" w:eastAsia="Tahoma" w:cs="Tahoma"/>
                <w:sz w:val="40"/>
                <w:szCs w:val="40"/>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637"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491"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942"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3638"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2435" w:type="dxa"/>
            <w:gridSpan w:val="2"/>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jc w:val="center"/>
        </w:trPr>
        <w:tc>
          <w:tcPr>
            <w:tcW w:w="9708" w:type="dxa"/>
            <w:gridSpan w:val="4"/>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部门：珠晖区审计局</w:t>
            </w:r>
          </w:p>
        </w:tc>
        <w:tc>
          <w:tcPr>
            <w:tcW w:w="2435" w:type="dxa"/>
            <w:gridSpan w:val="2"/>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070"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收入</w:t>
            </w:r>
          </w:p>
        </w:tc>
        <w:tc>
          <w:tcPr>
            <w:tcW w:w="6073"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项目</w:t>
            </w: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行次</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金额</w:t>
            </w: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项目</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行次</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栏次</w:t>
            </w: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w:t>
            </w: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栏次</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一、一般公共预算财政拨款收入</w:t>
            </w: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292.51</w:t>
            </w: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一、一般公共服务支出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32</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二、政府性基金预算财政拨款收入</w:t>
            </w: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二、外交支出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33</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三、国有资本经营预算财政拨款收入</w:t>
            </w: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三、国防支出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34</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四、上级补助收入</w:t>
            </w: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四、公共安全支出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35</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五、事业收入</w:t>
            </w: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五、教育支出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36</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六、经营收入</w:t>
            </w: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6</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六、科学技术支出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37</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七、附属单位上缴收入</w:t>
            </w: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7</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七、文化旅游体育与传媒支出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38</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八、其他收入</w:t>
            </w: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8</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八、社会保障和就业支出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39</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9</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九、卫生健康支出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40</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10</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十、节能环保支出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41</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11</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十一、城乡社区支出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42</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12</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十二、农林水支出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43</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13</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十三、交通运输支出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44</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14</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十四、资源勘探工业信息等支出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45</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15</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十五、商业服务业等支出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46</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16</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十六、金融支出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47</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17</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十七、援助其他地区支出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48</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18</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十八、自然资源海洋气象等支出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49</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19</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十九、住房保障支出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50</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20</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二十、粮油物资储备支出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51</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21</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二十一、国有资本经营预算支出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52</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22</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二十二、灾害防治及应急管理支出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53</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23</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二十三、其他支出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54</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0"/>
                <w:szCs w:val="20"/>
              </w:rPr>
              <w:t>24</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二十四、债务还本支出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55</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0"/>
                <w:szCs w:val="20"/>
              </w:rPr>
              <w:t>25</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二十五、债务付息支出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56</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0"/>
                <w:szCs w:val="20"/>
              </w:rPr>
              <w:t>26</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二十六、抗疫特别国债安排的支出</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57</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b/>
                <w:sz w:val="22"/>
                <w:szCs w:val="22"/>
              </w:rPr>
              <w:t>本年收入合计</w:t>
            </w: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27</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292.51</w:t>
            </w: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b/>
                <w:sz w:val="22"/>
                <w:szCs w:val="22"/>
              </w:rPr>
              <w:t>本年支出合计</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58</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292.51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使用非财政拨款结余</w:t>
            </w: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28</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结余分配</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59</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年初结转和结余</w:t>
            </w: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29</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年末结转和结余</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60</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30</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61</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3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b/>
                <w:sz w:val="22"/>
                <w:szCs w:val="22"/>
              </w:rPr>
              <w:t>总计</w:t>
            </w:r>
          </w:p>
        </w:tc>
        <w:tc>
          <w:tcPr>
            <w:tcW w:w="4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31</w:t>
            </w:r>
          </w:p>
        </w:tc>
        <w:tc>
          <w:tcPr>
            <w:tcW w:w="19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292.51</w:t>
            </w:r>
          </w:p>
        </w:tc>
        <w:tc>
          <w:tcPr>
            <w:tcW w:w="363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b/>
                <w:sz w:val="22"/>
                <w:szCs w:val="22"/>
              </w:rPr>
              <w:t>总计</w:t>
            </w:r>
          </w:p>
        </w:tc>
        <w:tc>
          <w:tcPr>
            <w:tcW w:w="47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62</w:t>
            </w:r>
          </w:p>
        </w:tc>
        <w:tc>
          <w:tcPr>
            <w:tcW w:w="195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292.51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143" w:type="dxa"/>
            <w:gridSpan w:val="6"/>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注：1.本表反映部门本年度的总收支和年末结转结余情况。2.本套报表金额单位转换时可能存在尾数误差。</w:t>
            </w:r>
          </w:p>
        </w:tc>
      </w:tr>
    </w:tbl>
    <w:p>
      <w:pPr>
        <w:pStyle w:val="2"/>
        <w:keepNext w:val="0"/>
        <w:keepLines w:val="0"/>
        <w:widowControl/>
        <w:suppressLineNumbers w:val="0"/>
        <w:spacing w:before="60" w:beforeAutospacing="0" w:after="60" w:afterAutospacing="0"/>
        <w:ind w:left="0" w:right="0"/>
      </w:pPr>
    </w:p>
    <w:p>
      <w:pPr>
        <w:keepNext w:val="0"/>
        <w:keepLines w:val="0"/>
        <w:widowControl/>
        <w:suppressLineNumbers w:val="0"/>
        <w:spacing w:before="0" w:beforeAutospacing="0" w:after="1" w:afterAutospacing="0"/>
        <w:ind w:left="0" w:right="0"/>
        <w:jc w:val="center"/>
        <w:rPr>
          <w:sz w:val="21"/>
          <w:szCs w:val="21"/>
        </w:rPr>
      </w:pPr>
    </w:p>
    <w:tbl>
      <w:tblPr>
        <w:tblW w:w="12143" w:type="dxa"/>
        <w:jc w:val="center"/>
        <w:tblInd w:w="-1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84"/>
        <w:gridCol w:w="284"/>
        <w:gridCol w:w="283"/>
        <w:gridCol w:w="2368"/>
        <w:gridCol w:w="1616"/>
        <w:gridCol w:w="1186"/>
        <w:gridCol w:w="1185"/>
        <w:gridCol w:w="1185"/>
        <w:gridCol w:w="1186"/>
        <w:gridCol w:w="1367"/>
        <w:gridCol w:w="1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2143" w:type="dxa"/>
            <w:gridSpan w:val="11"/>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40"/>
                <w:szCs w:val="40"/>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84"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284"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283"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2368"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616"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186"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185"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185"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186"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2566" w:type="dxa"/>
            <w:gridSpan w:val="2"/>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577" w:type="dxa"/>
            <w:gridSpan w:val="9"/>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部门：珠晖区审计局</w:t>
            </w:r>
          </w:p>
        </w:tc>
        <w:tc>
          <w:tcPr>
            <w:tcW w:w="2566" w:type="dxa"/>
            <w:gridSpan w:val="2"/>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1" w:type="dxa"/>
            <w:gridSpan w:val="3"/>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科目编码</w:t>
            </w:r>
          </w:p>
        </w:tc>
        <w:tc>
          <w:tcPr>
            <w:tcW w:w="2368"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科目名称</w:t>
            </w:r>
          </w:p>
        </w:tc>
        <w:tc>
          <w:tcPr>
            <w:tcW w:w="1616"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本年收入合计</w:t>
            </w:r>
          </w:p>
        </w:tc>
        <w:tc>
          <w:tcPr>
            <w:tcW w:w="1186"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财政拨款收入</w:t>
            </w:r>
          </w:p>
        </w:tc>
        <w:tc>
          <w:tcPr>
            <w:tcW w:w="1185"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上级补助收入</w:t>
            </w:r>
          </w:p>
        </w:tc>
        <w:tc>
          <w:tcPr>
            <w:tcW w:w="1185"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事业收入</w:t>
            </w:r>
          </w:p>
        </w:tc>
        <w:tc>
          <w:tcPr>
            <w:tcW w:w="1186"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经营收入</w:t>
            </w:r>
          </w:p>
        </w:tc>
        <w:tc>
          <w:tcPr>
            <w:tcW w:w="1367"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附属单位上缴收入</w:t>
            </w:r>
          </w:p>
        </w:tc>
        <w:tc>
          <w:tcPr>
            <w:tcW w:w="1199"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1" w:type="dxa"/>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368"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616"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186"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185"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185"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186"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67"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199"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1" w:type="dxa"/>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368"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616"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186"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185"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185"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186"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67"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199"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1" w:type="dxa"/>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368"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616"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186"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185"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185"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186"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67"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199"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219" w:type="dxa"/>
            <w:gridSpan w:val="4"/>
            <w:tcBorders>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栏次</w:t>
            </w:r>
          </w:p>
        </w:tc>
        <w:tc>
          <w:tcPr>
            <w:tcW w:w="161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w:t>
            </w:r>
          </w:p>
        </w:tc>
        <w:tc>
          <w:tcPr>
            <w:tcW w:w="136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6</w:t>
            </w:r>
          </w:p>
        </w:tc>
        <w:tc>
          <w:tcPr>
            <w:tcW w:w="11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219" w:type="dxa"/>
            <w:gridSpan w:val="4"/>
            <w:tcBorders>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合计</w:t>
            </w:r>
          </w:p>
        </w:tc>
        <w:tc>
          <w:tcPr>
            <w:tcW w:w="161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292.51</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292.51</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0.00</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0.00</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0.00</w:t>
            </w:r>
          </w:p>
        </w:tc>
        <w:tc>
          <w:tcPr>
            <w:tcW w:w="136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0.00</w:t>
            </w:r>
          </w:p>
        </w:tc>
        <w:tc>
          <w:tcPr>
            <w:tcW w:w="11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1"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201</w:t>
            </w:r>
          </w:p>
        </w:tc>
        <w:tc>
          <w:tcPr>
            <w:tcW w:w="236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一般公共服务支出</w:t>
            </w:r>
          </w:p>
        </w:tc>
        <w:tc>
          <w:tcPr>
            <w:tcW w:w="161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240.52</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240.52</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6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1"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20108</w:t>
            </w:r>
          </w:p>
        </w:tc>
        <w:tc>
          <w:tcPr>
            <w:tcW w:w="236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审计事务</w:t>
            </w:r>
          </w:p>
        </w:tc>
        <w:tc>
          <w:tcPr>
            <w:tcW w:w="161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240.52</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240.52</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6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1"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2010801</w:t>
            </w:r>
          </w:p>
        </w:tc>
        <w:tc>
          <w:tcPr>
            <w:tcW w:w="236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行政运行</w:t>
            </w:r>
          </w:p>
        </w:tc>
        <w:tc>
          <w:tcPr>
            <w:tcW w:w="161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202.49</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202.49</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6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1"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2010802</w:t>
            </w:r>
          </w:p>
        </w:tc>
        <w:tc>
          <w:tcPr>
            <w:tcW w:w="236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一般行政管理事务</w:t>
            </w:r>
          </w:p>
        </w:tc>
        <w:tc>
          <w:tcPr>
            <w:tcW w:w="161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0.48</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0.48</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6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1"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2010804</w:t>
            </w:r>
          </w:p>
        </w:tc>
        <w:tc>
          <w:tcPr>
            <w:tcW w:w="236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审计业务</w:t>
            </w:r>
          </w:p>
        </w:tc>
        <w:tc>
          <w:tcPr>
            <w:tcW w:w="161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18.98</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18.98</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6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1"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2010899</w:t>
            </w:r>
          </w:p>
        </w:tc>
        <w:tc>
          <w:tcPr>
            <w:tcW w:w="236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其他审计事务支出</w:t>
            </w:r>
          </w:p>
        </w:tc>
        <w:tc>
          <w:tcPr>
            <w:tcW w:w="161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18.58</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18.58</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6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1"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208</w:t>
            </w:r>
          </w:p>
        </w:tc>
        <w:tc>
          <w:tcPr>
            <w:tcW w:w="236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社会保障和就业支出</w:t>
            </w:r>
          </w:p>
        </w:tc>
        <w:tc>
          <w:tcPr>
            <w:tcW w:w="161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6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1"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20805</w:t>
            </w:r>
          </w:p>
        </w:tc>
        <w:tc>
          <w:tcPr>
            <w:tcW w:w="236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行政事业单位养老支出</w:t>
            </w:r>
          </w:p>
        </w:tc>
        <w:tc>
          <w:tcPr>
            <w:tcW w:w="161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6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1"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2080505</w:t>
            </w:r>
          </w:p>
        </w:tc>
        <w:tc>
          <w:tcPr>
            <w:tcW w:w="236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机关事业单位基本养老保险缴费支出</w:t>
            </w:r>
          </w:p>
        </w:tc>
        <w:tc>
          <w:tcPr>
            <w:tcW w:w="161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6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1"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210</w:t>
            </w:r>
          </w:p>
        </w:tc>
        <w:tc>
          <w:tcPr>
            <w:tcW w:w="236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卫生健康支出</w:t>
            </w:r>
          </w:p>
        </w:tc>
        <w:tc>
          <w:tcPr>
            <w:tcW w:w="161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6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1"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21011</w:t>
            </w:r>
          </w:p>
        </w:tc>
        <w:tc>
          <w:tcPr>
            <w:tcW w:w="236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行政事业单位医疗</w:t>
            </w:r>
          </w:p>
        </w:tc>
        <w:tc>
          <w:tcPr>
            <w:tcW w:w="161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6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1"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2101101</w:t>
            </w:r>
          </w:p>
        </w:tc>
        <w:tc>
          <w:tcPr>
            <w:tcW w:w="236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行政单位医疗</w:t>
            </w:r>
          </w:p>
        </w:tc>
        <w:tc>
          <w:tcPr>
            <w:tcW w:w="161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6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1"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221</w:t>
            </w:r>
          </w:p>
        </w:tc>
        <w:tc>
          <w:tcPr>
            <w:tcW w:w="236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住房保障支出</w:t>
            </w:r>
          </w:p>
        </w:tc>
        <w:tc>
          <w:tcPr>
            <w:tcW w:w="161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6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1"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22102</w:t>
            </w:r>
          </w:p>
        </w:tc>
        <w:tc>
          <w:tcPr>
            <w:tcW w:w="236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住房改革支出</w:t>
            </w:r>
          </w:p>
        </w:tc>
        <w:tc>
          <w:tcPr>
            <w:tcW w:w="161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6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51"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2210201</w:t>
            </w:r>
          </w:p>
        </w:tc>
        <w:tc>
          <w:tcPr>
            <w:tcW w:w="236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住房公积金</w:t>
            </w:r>
          </w:p>
        </w:tc>
        <w:tc>
          <w:tcPr>
            <w:tcW w:w="161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8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6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2143" w:type="dxa"/>
            <w:gridSpan w:val="11"/>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注：本表反映部门本年度取得的各项收入情况。本表金额转换为万元时，因四舍五入可能存在尾数误差。</w:t>
            </w:r>
          </w:p>
        </w:tc>
      </w:tr>
    </w:tbl>
    <w:p>
      <w:pPr>
        <w:pStyle w:val="2"/>
        <w:keepNext w:val="0"/>
        <w:keepLines w:val="0"/>
        <w:widowControl/>
        <w:suppressLineNumbers w:val="0"/>
        <w:spacing w:before="60" w:beforeAutospacing="0" w:after="60" w:afterAutospacing="0"/>
        <w:ind w:left="0" w:right="0"/>
      </w:pPr>
    </w:p>
    <w:p>
      <w:pPr>
        <w:keepNext w:val="0"/>
        <w:keepLines w:val="0"/>
        <w:widowControl/>
        <w:suppressLineNumbers w:val="0"/>
        <w:spacing w:before="0" w:beforeAutospacing="0" w:after="1" w:afterAutospacing="0"/>
        <w:ind w:left="0" w:right="0"/>
        <w:jc w:val="center"/>
        <w:rPr>
          <w:sz w:val="21"/>
          <w:szCs w:val="21"/>
        </w:rPr>
      </w:pPr>
    </w:p>
    <w:tbl>
      <w:tblPr>
        <w:tblW w:w="12143" w:type="dxa"/>
        <w:jc w:val="center"/>
        <w:tblInd w:w="-1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05"/>
        <w:gridCol w:w="305"/>
        <w:gridCol w:w="305"/>
        <w:gridCol w:w="2685"/>
        <w:gridCol w:w="1831"/>
        <w:gridCol w:w="1342"/>
        <w:gridCol w:w="1342"/>
        <w:gridCol w:w="1342"/>
        <w:gridCol w:w="133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2143" w:type="dxa"/>
            <w:gridSpan w:val="10"/>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40"/>
                <w:szCs w:val="40"/>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05"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305"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305"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2685"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831"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342"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342"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342"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2686" w:type="dxa"/>
            <w:gridSpan w:val="2"/>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457" w:type="dxa"/>
            <w:gridSpan w:val="8"/>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部门：珠晖区审计局</w:t>
            </w:r>
          </w:p>
        </w:tc>
        <w:tc>
          <w:tcPr>
            <w:tcW w:w="2686" w:type="dxa"/>
            <w:gridSpan w:val="2"/>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gridSpan w:val="3"/>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科目编码</w:t>
            </w:r>
          </w:p>
        </w:tc>
        <w:tc>
          <w:tcPr>
            <w:tcW w:w="2685"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科目名称</w:t>
            </w:r>
          </w:p>
        </w:tc>
        <w:tc>
          <w:tcPr>
            <w:tcW w:w="1831"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本年支出合计</w:t>
            </w:r>
          </w:p>
        </w:tc>
        <w:tc>
          <w:tcPr>
            <w:tcW w:w="1342"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基本支出</w:t>
            </w:r>
          </w:p>
        </w:tc>
        <w:tc>
          <w:tcPr>
            <w:tcW w:w="1342"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项目支出</w:t>
            </w:r>
          </w:p>
        </w:tc>
        <w:tc>
          <w:tcPr>
            <w:tcW w:w="1342"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上缴上级支出</w:t>
            </w:r>
          </w:p>
        </w:tc>
        <w:tc>
          <w:tcPr>
            <w:tcW w:w="1331"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经营支出</w:t>
            </w:r>
          </w:p>
        </w:tc>
        <w:tc>
          <w:tcPr>
            <w:tcW w:w="1355"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685"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831"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42"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42"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42"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31"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55"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685"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831"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42"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42"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42"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31"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55"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685"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831"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42"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42"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42"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31"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55"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00" w:type="dxa"/>
            <w:gridSpan w:val="4"/>
            <w:tcBorders>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栏次</w:t>
            </w:r>
          </w:p>
        </w:tc>
        <w:tc>
          <w:tcPr>
            <w:tcW w:w="18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w:t>
            </w:r>
          </w:p>
        </w:tc>
        <w:tc>
          <w:tcPr>
            <w:tcW w:w="13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w:t>
            </w:r>
          </w:p>
        </w:tc>
        <w:tc>
          <w:tcPr>
            <w:tcW w:w="135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00" w:type="dxa"/>
            <w:gridSpan w:val="4"/>
            <w:tcBorders>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合计</w:t>
            </w:r>
          </w:p>
        </w:tc>
        <w:tc>
          <w:tcPr>
            <w:tcW w:w="18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292.51</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278.07</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14.44</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0.00</w:t>
            </w:r>
          </w:p>
        </w:tc>
        <w:tc>
          <w:tcPr>
            <w:tcW w:w="13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0.00</w:t>
            </w:r>
          </w:p>
        </w:tc>
        <w:tc>
          <w:tcPr>
            <w:tcW w:w="135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201</w:t>
            </w:r>
          </w:p>
        </w:tc>
        <w:tc>
          <w:tcPr>
            <w:tcW w:w="26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一般公共服务支出</w:t>
            </w:r>
          </w:p>
        </w:tc>
        <w:tc>
          <w:tcPr>
            <w:tcW w:w="18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240.52</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226.08</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14.44</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5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20108</w:t>
            </w:r>
          </w:p>
        </w:tc>
        <w:tc>
          <w:tcPr>
            <w:tcW w:w="26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审计事务</w:t>
            </w:r>
          </w:p>
        </w:tc>
        <w:tc>
          <w:tcPr>
            <w:tcW w:w="18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240.52</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226.08</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14.44</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5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2010801</w:t>
            </w:r>
          </w:p>
        </w:tc>
        <w:tc>
          <w:tcPr>
            <w:tcW w:w="26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行政运行</w:t>
            </w:r>
          </w:p>
        </w:tc>
        <w:tc>
          <w:tcPr>
            <w:tcW w:w="18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202.49</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202.25</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0.23</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5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2010802</w:t>
            </w:r>
          </w:p>
        </w:tc>
        <w:tc>
          <w:tcPr>
            <w:tcW w:w="26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一般行政管理事务</w:t>
            </w:r>
          </w:p>
        </w:tc>
        <w:tc>
          <w:tcPr>
            <w:tcW w:w="18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0.48</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0.48</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5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2010804</w:t>
            </w:r>
          </w:p>
        </w:tc>
        <w:tc>
          <w:tcPr>
            <w:tcW w:w="26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审计业务</w:t>
            </w:r>
          </w:p>
        </w:tc>
        <w:tc>
          <w:tcPr>
            <w:tcW w:w="18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18.98</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10.68</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8.30</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5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2010899</w:t>
            </w:r>
          </w:p>
        </w:tc>
        <w:tc>
          <w:tcPr>
            <w:tcW w:w="26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其他审计事务支出</w:t>
            </w:r>
          </w:p>
        </w:tc>
        <w:tc>
          <w:tcPr>
            <w:tcW w:w="18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18.58</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12.67</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5.90</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5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208</w:t>
            </w:r>
          </w:p>
        </w:tc>
        <w:tc>
          <w:tcPr>
            <w:tcW w:w="26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社会保障和就业支出</w:t>
            </w:r>
          </w:p>
        </w:tc>
        <w:tc>
          <w:tcPr>
            <w:tcW w:w="18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5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20805</w:t>
            </w:r>
          </w:p>
        </w:tc>
        <w:tc>
          <w:tcPr>
            <w:tcW w:w="26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行政事业单位养老支出</w:t>
            </w:r>
          </w:p>
        </w:tc>
        <w:tc>
          <w:tcPr>
            <w:tcW w:w="18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5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2080505</w:t>
            </w:r>
          </w:p>
        </w:tc>
        <w:tc>
          <w:tcPr>
            <w:tcW w:w="26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机关事业单位基本养老保险缴费支出</w:t>
            </w:r>
          </w:p>
        </w:tc>
        <w:tc>
          <w:tcPr>
            <w:tcW w:w="18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5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210</w:t>
            </w:r>
          </w:p>
        </w:tc>
        <w:tc>
          <w:tcPr>
            <w:tcW w:w="26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卫生健康支出</w:t>
            </w:r>
          </w:p>
        </w:tc>
        <w:tc>
          <w:tcPr>
            <w:tcW w:w="18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5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21011</w:t>
            </w:r>
          </w:p>
        </w:tc>
        <w:tc>
          <w:tcPr>
            <w:tcW w:w="26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行政事业单位医疗</w:t>
            </w:r>
          </w:p>
        </w:tc>
        <w:tc>
          <w:tcPr>
            <w:tcW w:w="18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5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2101101</w:t>
            </w:r>
          </w:p>
        </w:tc>
        <w:tc>
          <w:tcPr>
            <w:tcW w:w="26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行政单位医疗</w:t>
            </w:r>
          </w:p>
        </w:tc>
        <w:tc>
          <w:tcPr>
            <w:tcW w:w="18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5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221</w:t>
            </w:r>
          </w:p>
        </w:tc>
        <w:tc>
          <w:tcPr>
            <w:tcW w:w="26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住房保障支出</w:t>
            </w:r>
          </w:p>
        </w:tc>
        <w:tc>
          <w:tcPr>
            <w:tcW w:w="18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5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22102</w:t>
            </w:r>
          </w:p>
        </w:tc>
        <w:tc>
          <w:tcPr>
            <w:tcW w:w="26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住房改革支出</w:t>
            </w:r>
          </w:p>
        </w:tc>
        <w:tc>
          <w:tcPr>
            <w:tcW w:w="18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5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5"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2210201</w:t>
            </w:r>
          </w:p>
        </w:tc>
        <w:tc>
          <w:tcPr>
            <w:tcW w:w="268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住房公积金</w:t>
            </w:r>
          </w:p>
        </w:tc>
        <w:tc>
          <w:tcPr>
            <w:tcW w:w="18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4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3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35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143" w:type="dxa"/>
            <w:gridSpan w:val="10"/>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注：本表反映部门本年度各项支出情况。本表金额转换为万元时，因四舍五入可能存在尾数误差。</w:t>
            </w:r>
          </w:p>
        </w:tc>
      </w:tr>
    </w:tbl>
    <w:p>
      <w:pPr>
        <w:pStyle w:val="2"/>
        <w:keepNext w:val="0"/>
        <w:keepLines w:val="0"/>
        <w:widowControl/>
        <w:suppressLineNumbers w:val="0"/>
        <w:spacing w:before="60" w:beforeAutospacing="0" w:after="60" w:afterAutospacing="0"/>
        <w:ind w:left="0" w:right="0"/>
      </w:pPr>
    </w:p>
    <w:p>
      <w:pPr>
        <w:keepNext w:val="0"/>
        <w:keepLines w:val="0"/>
        <w:widowControl/>
        <w:suppressLineNumbers w:val="0"/>
        <w:spacing w:before="0" w:beforeAutospacing="0" w:after="1" w:afterAutospacing="0"/>
        <w:ind w:left="0" w:right="0"/>
        <w:jc w:val="center"/>
        <w:rPr>
          <w:sz w:val="21"/>
          <w:szCs w:val="21"/>
        </w:rPr>
      </w:pPr>
    </w:p>
    <w:tbl>
      <w:tblPr>
        <w:tblW w:w="12143" w:type="dxa"/>
        <w:jc w:val="center"/>
        <w:tblInd w:w="-1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426"/>
        <w:gridCol w:w="401"/>
        <w:gridCol w:w="1181"/>
        <w:gridCol w:w="2795"/>
        <w:gridCol w:w="401"/>
        <w:gridCol w:w="1614"/>
        <w:gridCol w:w="1108"/>
        <w:gridCol w:w="1096"/>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2143" w:type="dxa"/>
            <w:gridSpan w:val="9"/>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40"/>
                <w:szCs w:val="40"/>
              </w:rPr>
              <w:t>财政拨款收入支出决算总表</w:t>
            </w:r>
          </w:p>
        </w:tc>
      </w:tr>
      <w:tr>
        <w:tblPrEx>
          <w:shd w:val="clear"/>
          <w:tblLayout w:type="fixed"/>
          <w:tblCellMar>
            <w:top w:w="0" w:type="dxa"/>
            <w:left w:w="0" w:type="dxa"/>
            <w:bottom w:w="0" w:type="dxa"/>
            <w:right w:w="0" w:type="dxa"/>
          </w:tblCellMar>
        </w:tblPrEx>
        <w:trPr>
          <w:jc w:val="center"/>
        </w:trPr>
        <w:tc>
          <w:tcPr>
            <w:tcW w:w="2426"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401"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181"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2795"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401"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614"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108"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2217" w:type="dxa"/>
            <w:gridSpan w:val="2"/>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926" w:type="dxa"/>
            <w:gridSpan w:val="7"/>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部门：珠晖区审计局</w:t>
            </w:r>
          </w:p>
        </w:tc>
        <w:tc>
          <w:tcPr>
            <w:tcW w:w="2217" w:type="dxa"/>
            <w:gridSpan w:val="2"/>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008"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收 入</w:t>
            </w:r>
          </w:p>
        </w:tc>
        <w:tc>
          <w:tcPr>
            <w:tcW w:w="8135" w:type="dxa"/>
            <w:gridSpan w:val="6"/>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项目</w:t>
            </w:r>
          </w:p>
        </w:tc>
        <w:tc>
          <w:tcPr>
            <w:tcW w:w="401"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行次</w:t>
            </w:r>
          </w:p>
        </w:tc>
        <w:tc>
          <w:tcPr>
            <w:tcW w:w="1181"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金额</w:t>
            </w:r>
          </w:p>
        </w:tc>
        <w:tc>
          <w:tcPr>
            <w:tcW w:w="2795"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项目</w:t>
            </w:r>
          </w:p>
        </w:tc>
        <w:tc>
          <w:tcPr>
            <w:tcW w:w="401"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行次</w:t>
            </w:r>
          </w:p>
        </w:tc>
        <w:tc>
          <w:tcPr>
            <w:tcW w:w="1614"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合计</w:t>
            </w:r>
          </w:p>
        </w:tc>
        <w:tc>
          <w:tcPr>
            <w:tcW w:w="1108"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一般公共预算财政拨款</w:t>
            </w:r>
          </w:p>
        </w:tc>
        <w:tc>
          <w:tcPr>
            <w:tcW w:w="1096"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政府性基金预算财政拨款</w:t>
            </w:r>
          </w:p>
        </w:tc>
        <w:tc>
          <w:tcPr>
            <w:tcW w:w="1121"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426"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401"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181"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795"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401"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614"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108"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096"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121"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栏次</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w:t>
            </w: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栏次</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w:t>
            </w: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w:t>
            </w: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一、一般公共预算财政拨款</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292.51</w:t>
            </w: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一、一般公共服务支出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33</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240.52</w:t>
            </w: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240.52</w:t>
            </w: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二、政府性基金预算财政拨款</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二、外交支出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34</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三、国有资本经营财政拨款</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三、国防支出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35</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四、公共安全支出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36</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五、教育支出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37</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6</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六、科学技术支出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38</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7</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七、文化旅游体育与传媒支出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39</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8</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八、社会保障和就业支出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40</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9</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九、卫生健康支出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41</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10</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十、节能环保支出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42</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11</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十一、城乡社区支出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43</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12</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十二、农林水支出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44</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13</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十三、交通运输支出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45</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14</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十四、资源勘探工业信息等支出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46</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15</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十五、商业服务业等支出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47</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16</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十六、金融支出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48</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17</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十七、援助其他地区支出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49</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18</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十八、自然资源海洋气象等支出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50</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19</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十九、住房保障支出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51</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20</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二十、粮油物资储备支出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52</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21</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二十一、国有资本经营预算支出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53</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22</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二十二、灾害防治及应急管理支出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54</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23</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二十三、其他支出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55</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24</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二十四、债务还本支出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56</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25</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二十五、债务付息支出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57</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26</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二十六、抗疫特别国债安排的支出</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58</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b/>
                <w:sz w:val="22"/>
                <w:szCs w:val="22"/>
              </w:rPr>
              <w:t>本年收入合计</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27</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292.51</w:t>
            </w: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b/>
                <w:sz w:val="22"/>
                <w:szCs w:val="22"/>
              </w:rPr>
              <w:t>本年支出合计</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59</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292.51</w:t>
            </w: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292.51</w:t>
            </w: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年初财政拨款结转和结余</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28</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年末财政拨款结转和结余</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60</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一般公共预算财政拨款</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29</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61</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政府性基金预算财政拨款</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30</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62</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国有资本经营预算财政拨款</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31</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63</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42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b/>
                <w:sz w:val="22"/>
                <w:szCs w:val="22"/>
              </w:rPr>
              <w:t>总计</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32</w:t>
            </w:r>
          </w:p>
        </w:tc>
        <w:tc>
          <w:tcPr>
            <w:tcW w:w="118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292.51</w:t>
            </w:r>
          </w:p>
        </w:tc>
        <w:tc>
          <w:tcPr>
            <w:tcW w:w="27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b/>
                <w:sz w:val="22"/>
                <w:szCs w:val="22"/>
              </w:rPr>
              <w:t>总计</w:t>
            </w:r>
          </w:p>
        </w:tc>
        <w:tc>
          <w:tcPr>
            <w:tcW w:w="40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64</w:t>
            </w:r>
          </w:p>
        </w:tc>
        <w:tc>
          <w:tcPr>
            <w:tcW w:w="161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292.51</w:t>
            </w:r>
          </w:p>
        </w:tc>
        <w:tc>
          <w:tcPr>
            <w:tcW w:w="1108"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292.51</w:t>
            </w:r>
          </w:p>
        </w:tc>
        <w:tc>
          <w:tcPr>
            <w:tcW w:w="109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0.00</w:t>
            </w:r>
          </w:p>
        </w:tc>
        <w:tc>
          <w:tcPr>
            <w:tcW w:w="11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2143" w:type="dxa"/>
            <w:gridSpan w:val="9"/>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注：本表反映部门本年度一般公共预算财政拨款、政府性基金预算财政拨款和国有资本经营预算财政拨款的总收支和年末结转结余情况。本表金额转换为万元时，因四舍五入可能存在尾数误差。</w:t>
            </w:r>
          </w:p>
        </w:tc>
      </w:tr>
    </w:tbl>
    <w:p>
      <w:pPr>
        <w:pStyle w:val="2"/>
        <w:keepNext w:val="0"/>
        <w:keepLines w:val="0"/>
        <w:widowControl/>
        <w:suppressLineNumbers w:val="0"/>
        <w:spacing w:before="60" w:beforeAutospacing="0" w:after="60" w:afterAutospacing="0"/>
        <w:ind w:left="0" w:right="0"/>
      </w:pPr>
    </w:p>
    <w:p>
      <w:pPr>
        <w:keepNext w:val="0"/>
        <w:keepLines w:val="0"/>
        <w:widowControl/>
        <w:suppressLineNumbers w:val="0"/>
        <w:spacing w:before="0" w:beforeAutospacing="0" w:after="1" w:afterAutospacing="0"/>
        <w:ind w:left="0" w:right="0"/>
        <w:jc w:val="center"/>
        <w:rPr>
          <w:sz w:val="21"/>
          <w:szCs w:val="21"/>
        </w:rPr>
      </w:pPr>
    </w:p>
    <w:tbl>
      <w:tblPr>
        <w:tblW w:w="12143" w:type="dxa"/>
        <w:jc w:val="center"/>
        <w:tblInd w:w="-1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43"/>
        <w:gridCol w:w="343"/>
        <w:gridCol w:w="343"/>
        <w:gridCol w:w="4089"/>
        <w:gridCol w:w="2341"/>
        <w:gridCol w:w="2330"/>
        <w:gridCol w:w="2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2143" w:type="dxa"/>
            <w:gridSpan w:val="7"/>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40"/>
                <w:szCs w:val="40"/>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43"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343"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343"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4089"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2341"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4684" w:type="dxa"/>
            <w:gridSpan w:val="2"/>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7459" w:type="dxa"/>
            <w:gridSpan w:val="5"/>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部门：珠晖区审计局</w:t>
            </w:r>
          </w:p>
        </w:tc>
        <w:tc>
          <w:tcPr>
            <w:tcW w:w="4684" w:type="dxa"/>
            <w:gridSpan w:val="2"/>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29" w:type="dxa"/>
            <w:gridSpan w:val="3"/>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科目编码</w:t>
            </w:r>
          </w:p>
        </w:tc>
        <w:tc>
          <w:tcPr>
            <w:tcW w:w="4089"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科目名称</w:t>
            </w:r>
          </w:p>
        </w:tc>
        <w:tc>
          <w:tcPr>
            <w:tcW w:w="7025"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29" w:type="dxa"/>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4089"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341"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合计</w:t>
            </w:r>
          </w:p>
        </w:tc>
        <w:tc>
          <w:tcPr>
            <w:tcW w:w="2330"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基本支出</w:t>
            </w:r>
          </w:p>
        </w:tc>
        <w:tc>
          <w:tcPr>
            <w:tcW w:w="2354"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29" w:type="dxa"/>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4089"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341"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330"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354"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29" w:type="dxa"/>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4089"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341"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330"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354"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5118" w:type="dxa"/>
            <w:gridSpan w:val="4"/>
            <w:tcBorders>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栏次</w:t>
            </w:r>
          </w:p>
        </w:tc>
        <w:tc>
          <w:tcPr>
            <w:tcW w:w="234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7</w:t>
            </w:r>
          </w:p>
        </w:tc>
        <w:tc>
          <w:tcPr>
            <w:tcW w:w="233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8</w:t>
            </w:r>
          </w:p>
        </w:tc>
        <w:tc>
          <w:tcPr>
            <w:tcW w:w="235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5118" w:type="dxa"/>
            <w:gridSpan w:val="4"/>
            <w:tcBorders>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合计</w:t>
            </w:r>
          </w:p>
        </w:tc>
        <w:tc>
          <w:tcPr>
            <w:tcW w:w="234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292.51</w:t>
            </w:r>
          </w:p>
        </w:tc>
        <w:tc>
          <w:tcPr>
            <w:tcW w:w="233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278.07</w:t>
            </w:r>
          </w:p>
        </w:tc>
        <w:tc>
          <w:tcPr>
            <w:tcW w:w="235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14.44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29"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201</w:t>
            </w:r>
          </w:p>
        </w:tc>
        <w:tc>
          <w:tcPr>
            <w:tcW w:w="408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一般公共服务支出</w:t>
            </w:r>
          </w:p>
        </w:tc>
        <w:tc>
          <w:tcPr>
            <w:tcW w:w="234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240.52</w:t>
            </w:r>
          </w:p>
        </w:tc>
        <w:tc>
          <w:tcPr>
            <w:tcW w:w="233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226.08</w:t>
            </w:r>
          </w:p>
        </w:tc>
        <w:tc>
          <w:tcPr>
            <w:tcW w:w="235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29"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20108</w:t>
            </w:r>
          </w:p>
        </w:tc>
        <w:tc>
          <w:tcPr>
            <w:tcW w:w="408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审计事务</w:t>
            </w:r>
          </w:p>
        </w:tc>
        <w:tc>
          <w:tcPr>
            <w:tcW w:w="234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240.52</w:t>
            </w:r>
          </w:p>
        </w:tc>
        <w:tc>
          <w:tcPr>
            <w:tcW w:w="233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226.08</w:t>
            </w:r>
          </w:p>
        </w:tc>
        <w:tc>
          <w:tcPr>
            <w:tcW w:w="235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29"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2010801</w:t>
            </w:r>
          </w:p>
        </w:tc>
        <w:tc>
          <w:tcPr>
            <w:tcW w:w="408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行政运行</w:t>
            </w:r>
          </w:p>
        </w:tc>
        <w:tc>
          <w:tcPr>
            <w:tcW w:w="234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202.49</w:t>
            </w:r>
          </w:p>
        </w:tc>
        <w:tc>
          <w:tcPr>
            <w:tcW w:w="233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202.25</w:t>
            </w:r>
          </w:p>
        </w:tc>
        <w:tc>
          <w:tcPr>
            <w:tcW w:w="235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29"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2010802</w:t>
            </w:r>
          </w:p>
        </w:tc>
        <w:tc>
          <w:tcPr>
            <w:tcW w:w="408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一般行政管理事务</w:t>
            </w:r>
          </w:p>
        </w:tc>
        <w:tc>
          <w:tcPr>
            <w:tcW w:w="234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0.48</w:t>
            </w:r>
          </w:p>
        </w:tc>
        <w:tc>
          <w:tcPr>
            <w:tcW w:w="233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0.48</w:t>
            </w:r>
          </w:p>
        </w:tc>
        <w:tc>
          <w:tcPr>
            <w:tcW w:w="235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29"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2010804</w:t>
            </w:r>
          </w:p>
        </w:tc>
        <w:tc>
          <w:tcPr>
            <w:tcW w:w="408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审计业务</w:t>
            </w:r>
          </w:p>
        </w:tc>
        <w:tc>
          <w:tcPr>
            <w:tcW w:w="234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18.98</w:t>
            </w:r>
          </w:p>
        </w:tc>
        <w:tc>
          <w:tcPr>
            <w:tcW w:w="233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10.68</w:t>
            </w:r>
          </w:p>
        </w:tc>
        <w:tc>
          <w:tcPr>
            <w:tcW w:w="235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29"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2010899</w:t>
            </w:r>
          </w:p>
        </w:tc>
        <w:tc>
          <w:tcPr>
            <w:tcW w:w="408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其他审计事务支出</w:t>
            </w:r>
          </w:p>
        </w:tc>
        <w:tc>
          <w:tcPr>
            <w:tcW w:w="234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18.58</w:t>
            </w:r>
          </w:p>
        </w:tc>
        <w:tc>
          <w:tcPr>
            <w:tcW w:w="233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12.67</w:t>
            </w:r>
          </w:p>
        </w:tc>
        <w:tc>
          <w:tcPr>
            <w:tcW w:w="235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29"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208</w:t>
            </w:r>
          </w:p>
        </w:tc>
        <w:tc>
          <w:tcPr>
            <w:tcW w:w="408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社会保障和就业支出</w:t>
            </w:r>
          </w:p>
        </w:tc>
        <w:tc>
          <w:tcPr>
            <w:tcW w:w="234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233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235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29"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20805</w:t>
            </w:r>
          </w:p>
        </w:tc>
        <w:tc>
          <w:tcPr>
            <w:tcW w:w="408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行政事业单位养老支出</w:t>
            </w:r>
          </w:p>
        </w:tc>
        <w:tc>
          <w:tcPr>
            <w:tcW w:w="234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233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235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29"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2080505</w:t>
            </w:r>
          </w:p>
        </w:tc>
        <w:tc>
          <w:tcPr>
            <w:tcW w:w="408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机关事业单位基本养老保险缴费支出</w:t>
            </w:r>
          </w:p>
        </w:tc>
        <w:tc>
          <w:tcPr>
            <w:tcW w:w="234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233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235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29"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210</w:t>
            </w:r>
          </w:p>
        </w:tc>
        <w:tc>
          <w:tcPr>
            <w:tcW w:w="408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卫生健康支出</w:t>
            </w:r>
          </w:p>
        </w:tc>
        <w:tc>
          <w:tcPr>
            <w:tcW w:w="234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c>
          <w:tcPr>
            <w:tcW w:w="233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c>
          <w:tcPr>
            <w:tcW w:w="235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29"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21011</w:t>
            </w:r>
          </w:p>
        </w:tc>
        <w:tc>
          <w:tcPr>
            <w:tcW w:w="408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行政事业单位医疗</w:t>
            </w:r>
          </w:p>
        </w:tc>
        <w:tc>
          <w:tcPr>
            <w:tcW w:w="234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c>
          <w:tcPr>
            <w:tcW w:w="233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c>
          <w:tcPr>
            <w:tcW w:w="235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29"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2101101</w:t>
            </w:r>
          </w:p>
        </w:tc>
        <w:tc>
          <w:tcPr>
            <w:tcW w:w="408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行政单位医疗</w:t>
            </w:r>
          </w:p>
        </w:tc>
        <w:tc>
          <w:tcPr>
            <w:tcW w:w="234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c>
          <w:tcPr>
            <w:tcW w:w="233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12.71</w:t>
            </w:r>
          </w:p>
        </w:tc>
        <w:tc>
          <w:tcPr>
            <w:tcW w:w="235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29"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221</w:t>
            </w:r>
          </w:p>
        </w:tc>
        <w:tc>
          <w:tcPr>
            <w:tcW w:w="408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住房保障支出</w:t>
            </w:r>
          </w:p>
        </w:tc>
        <w:tc>
          <w:tcPr>
            <w:tcW w:w="234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233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235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29"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22102</w:t>
            </w:r>
          </w:p>
        </w:tc>
        <w:tc>
          <w:tcPr>
            <w:tcW w:w="408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住房改革支出</w:t>
            </w:r>
          </w:p>
        </w:tc>
        <w:tc>
          <w:tcPr>
            <w:tcW w:w="234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233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235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29"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2210201</w:t>
            </w:r>
          </w:p>
        </w:tc>
        <w:tc>
          <w:tcPr>
            <w:tcW w:w="408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住房公积金</w:t>
            </w:r>
          </w:p>
        </w:tc>
        <w:tc>
          <w:tcPr>
            <w:tcW w:w="234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233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2354"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2143" w:type="dxa"/>
            <w:gridSpan w:val="7"/>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注：本表反映部门本年度一般公共预算财政拨款支出情况。本表金额转换为万元时，因四舍五入可能存在尾数误差。</w:t>
            </w:r>
          </w:p>
        </w:tc>
      </w:tr>
    </w:tbl>
    <w:p>
      <w:pPr>
        <w:pStyle w:val="2"/>
        <w:keepNext w:val="0"/>
        <w:keepLines w:val="0"/>
        <w:widowControl/>
        <w:suppressLineNumbers w:val="0"/>
        <w:spacing w:before="60" w:beforeAutospacing="0" w:after="60" w:afterAutospacing="0"/>
        <w:ind w:left="0" w:right="0"/>
      </w:pPr>
    </w:p>
    <w:p>
      <w:pPr>
        <w:keepNext w:val="0"/>
        <w:keepLines w:val="0"/>
        <w:widowControl/>
        <w:suppressLineNumbers w:val="0"/>
        <w:spacing w:before="0" w:beforeAutospacing="0" w:after="1" w:afterAutospacing="0"/>
        <w:ind w:left="0" w:right="0"/>
        <w:jc w:val="center"/>
        <w:rPr>
          <w:sz w:val="21"/>
          <w:szCs w:val="21"/>
        </w:rPr>
      </w:pPr>
    </w:p>
    <w:tbl>
      <w:tblPr>
        <w:tblW w:w="12143" w:type="dxa"/>
        <w:jc w:val="center"/>
        <w:tblInd w:w="-1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11"/>
        <w:gridCol w:w="2505"/>
        <w:gridCol w:w="1291"/>
        <w:gridCol w:w="611"/>
        <w:gridCol w:w="1976"/>
        <w:gridCol w:w="1287"/>
        <w:gridCol w:w="611"/>
        <w:gridCol w:w="1952"/>
        <w:gridCol w:w="1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2143" w:type="dxa"/>
            <w:gridSpan w:val="9"/>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40"/>
                <w:szCs w:val="40"/>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2505"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291"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611"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976"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287"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611"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3251" w:type="dxa"/>
            <w:gridSpan w:val="2"/>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18"/>
                <w:szCs w:val="18"/>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892" w:type="dxa"/>
            <w:gridSpan w:val="7"/>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部门：珠晖区审计局</w:t>
            </w:r>
          </w:p>
        </w:tc>
        <w:tc>
          <w:tcPr>
            <w:tcW w:w="3251" w:type="dxa"/>
            <w:gridSpan w:val="2"/>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407"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人员经费</w:t>
            </w:r>
          </w:p>
        </w:tc>
        <w:tc>
          <w:tcPr>
            <w:tcW w:w="7736" w:type="dxa"/>
            <w:gridSpan w:val="6"/>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11"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科目编码</w:t>
            </w:r>
          </w:p>
        </w:tc>
        <w:tc>
          <w:tcPr>
            <w:tcW w:w="2505"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科目名称</w:t>
            </w:r>
          </w:p>
        </w:tc>
        <w:tc>
          <w:tcPr>
            <w:tcW w:w="1291"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决算数</w:t>
            </w:r>
          </w:p>
        </w:tc>
        <w:tc>
          <w:tcPr>
            <w:tcW w:w="611"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科目编码</w:t>
            </w:r>
          </w:p>
        </w:tc>
        <w:tc>
          <w:tcPr>
            <w:tcW w:w="1976"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科目名称</w:t>
            </w:r>
          </w:p>
        </w:tc>
        <w:tc>
          <w:tcPr>
            <w:tcW w:w="1287"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决算数</w:t>
            </w:r>
          </w:p>
        </w:tc>
        <w:tc>
          <w:tcPr>
            <w:tcW w:w="611"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科目编码</w:t>
            </w:r>
          </w:p>
        </w:tc>
        <w:tc>
          <w:tcPr>
            <w:tcW w:w="1952"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科目名称</w:t>
            </w:r>
          </w:p>
        </w:tc>
        <w:tc>
          <w:tcPr>
            <w:tcW w:w="1299"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505"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291"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611"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976"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287"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611"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952"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299"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b/>
                <w:sz w:val="22"/>
                <w:szCs w:val="22"/>
              </w:rPr>
              <w:t>301</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b/>
                <w:sz w:val="22"/>
                <w:szCs w:val="22"/>
              </w:rPr>
              <w:t>工资福利支出</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229.74</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b/>
                <w:sz w:val="22"/>
                <w:szCs w:val="22"/>
              </w:rPr>
              <w:t>302</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b/>
                <w:sz w:val="22"/>
                <w:szCs w:val="22"/>
              </w:rPr>
              <w:t>商品和服务支出</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40.68</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b/>
                <w:sz w:val="22"/>
                <w:szCs w:val="22"/>
              </w:rPr>
              <w:t>307</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b/>
                <w:sz w:val="22"/>
                <w:szCs w:val="22"/>
              </w:rPr>
              <w:t>债务利息及费用支出</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30101</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基本工资</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97.52</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30201</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办公费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1.43</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30701</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国内债务付息</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30102</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津贴补贴</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9.78</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30202</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印刷费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1.56</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30702</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国外债务付息</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30103</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奖金</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16.29</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30203</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咨询费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b/>
                <w:sz w:val="22"/>
                <w:szCs w:val="22"/>
              </w:rPr>
              <w:t>310</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b/>
                <w:sz w:val="22"/>
                <w:szCs w:val="22"/>
              </w:rPr>
              <w:t>资本性支出</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30106</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伙食补助费</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30204</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手续费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31001</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房屋建筑物购建</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30107</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绩效工资</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51.53</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30205</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水费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0.41</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31002</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办公设备购置</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30108</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机关事业单位基本养老保险缴费</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24.16</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30206</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电费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1.09</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31003</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专用设备购置</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30109</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职业年金缴费</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0.03</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30207</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邮电费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31005</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基础设施建设</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30110</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职工基本医疗保险缴费</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13.49</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30208</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取暖费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31006</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大型修缮</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30111</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公务员医疗补助缴费</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30209</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物业管理费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31007</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信息网络及软件购置更新</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30112</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其他社会保障缴费</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0.47</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30211</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差旅费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31008</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物资储备</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30113</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住房公积金</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15.12</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30212</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因公出国（境）费用</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31009</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土地补偿</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30114</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医疗费</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30213</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维修（护）费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31010</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安置补助</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30199</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其他工资福利支出</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1.34</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30214</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租赁费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31011</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地上附着物和青苗补偿</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b/>
                <w:sz w:val="22"/>
                <w:szCs w:val="22"/>
              </w:rPr>
              <w:t>303</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b/>
                <w:sz w:val="22"/>
                <w:szCs w:val="22"/>
              </w:rPr>
              <w:t>对个人和家庭的补助</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7.65</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30215</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会议费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31012</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拆迁补偿</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30301</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离休费</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30216</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培训费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1.16</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31013</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公务用车购置</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30302</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退休费</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4.66</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30217</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公务接待费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31019</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其他交通工具购置</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30303</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退职（役）费</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30218</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专用材料费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31021</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文物和陈列品购置</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30304</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抚恤金</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30224</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被装购置费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31022</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无形资产购置</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30305</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生活补助</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2.99</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30225</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专用燃料费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31099</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其他资本性支出</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30306</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救济费</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30226</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劳务费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2.54</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b/>
                <w:sz w:val="22"/>
                <w:szCs w:val="22"/>
              </w:rPr>
              <w:t>399</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b/>
                <w:sz w:val="22"/>
                <w:szCs w:val="22"/>
              </w:rPr>
              <w:t>其他支出</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30307</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医疗费补助</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30227</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委托业务费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39906</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赠与</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30308</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助学金</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30228</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工会经费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6.41</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39907</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国家赔偿费用支出</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30309</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奖励金</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30229</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福利费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39908</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对民间非营利组织和群众性自治组织补贴</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30310</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个人农业生产补贴</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30231</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公务用车运行维护费</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39999</w:t>
            </w: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其他支出</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30311</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代缴社会保险费</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30239</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其他交通费用</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10.96</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30399</w:t>
            </w: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其他对个人和家庭的补助</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30240</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税金及附加费用</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250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30299</w:t>
            </w:r>
          </w:p>
        </w:tc>
        <w:tc>
          <w:tcPr>
            <w:tcW w:w="1976"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其他商品和服务支出</w:t>
            </w:r>
          </w:p>
        </w:tc>
        <w:tc>
          <w:tcPr>
            <w:tcW w:w="128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14.12</w:t>
            </w:r>
          </w:p>
        </w:tc>
        <w:tc>
          <w:tcPr>
            <w:tcW w:w="6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195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16" w:type="dxa"/>
            <w:gridSpan w:val="2"/>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b/>
                <w:sz w:val="22"/>
                <w:szCs w:val="22"/>
              </w:rPr>
              <w:t>人员经费合计</w:t>
            </w:r>
          </w:p>
        </w:tc>
        <w:tc>
          <w:tcPr>
            <w:tcW w:w="129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237.39</w:t>
            </w:r>
          </w:p>
        </w:tc>
        <w:tc>
          <w:tcPr>
            <w:tcW w:w="6437" w:type="dxa"/>
            <w:gridSpan w:val="5"/>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b/>
                <w:sz w:val="22"/>
                <w:szCs w:val="22"/>
              </w:rPr>
              <w:t>公用经费合计</w:t>
            </w:r>
          </w:p>
        </w:tc>
        <w:tc>
          <w:tcPr>
            <w:tcW w:w="1299"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40.68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143" w:type="dxa"/>
            <w:gridSpan w:val="9"/>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注：本表反映部门本年度一般公共预算财政拨款基本支出明细情况。本表金额转换为万元时，因四舍五入可能存在尾数误差。</w:t>
            </w:r>
          </w:p>
        </w:tc>
      </w:tr>
    </w:tbl>
    <w:p>
      <w:pPr>
        <w:pStyle w:val="2"/>
        <w:keepNext w:val="0"/>
        <w:keepLines w:val="0"/>
        <w:widowControl/>
        <w:suppressLineNumbers w:val="0"/>
        <w:spacing w:before="60" w:beforeAutospacing="0" w:after="60" w:afterAutospacing="0"/>
        <w:ind w:left="0" w:right="0"/>
      </w:pPr>
    </w:p>
    <w:p>
      <w:pPr>
        <w:keepNext w:val="0"/>
        <w:keepLines w:val="0"/>
        <w:widowControl/>
        <w:suppressLineNumbers w:val="0"/>
        <w:spacing w:before="0" w:beforeAutospacing="0" w:after="1" w:afterAutospacing="0"/>
        <w:ind w:left="0" w:right="0"/>
        <w:jc w:val="center"/>
        <w:rPr>
          <w:sz w:val="21"/>
          <w:szCs w:val="21"/>
        </w:rPr>
      </w:pPr>
    </w:p>
    <w:tbl>
      <w:tblPr>
        <w:tblW w:w="12143" w:type="dxa"/>
        <w:jc w:val="center"/>
        <w:tblInd w:w="-1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63"/>
        <w:gridCol w:w="263"/>
        <w:gridCol w:w="263"/>
        <w:gridCol w:w="2725"/>
        <w:gridCol w:w="1410"/>
        <w:gridCol w:w="1554"/>
        <w:gridCol w:w="1374"/>
        <w:gridCol w:w="1338"/>
        <w:gridCol w:w="1374"/>
        <w:gridCol w:w="1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143" w:type="dxa"/>
            <w:gridSpan w:val="10"/>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40"/>
                <w:szCs w:val="40"/>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3" w:type="dxa"/>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263" w:type="dxa"/>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263" w:type="dxa"/>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2725" w:type="dxa"/>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1410" w:type="dxa"/>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1554" w:type="dxa"/>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1374" w:type="dxa"/>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1338" w:type="dxa"/>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1374" w:type="dxa"/>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1579" w:type="dxa"/>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190" w:type="dxa"/>
            <w:gridSpan w:val="8"/>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0"/>
                <w:szCs w:val="20"/>
              </w:rPr>
              <w:t>部门：珠晖区审计局</w:t>
            </w:r>
          </w:p>
        </w:tc>
        <w:tc>
          <w:tcPr>
            <w:tcW w:w="1374" w:type="dxa"/>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1579" w:type="dxa"/>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14" w:type="dxa"/>
            <w:gridSpan w:val="4"/>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项目</w:t>
            </w:r>
          </w:p>
        </w:tc>
        <w:tc>
          <w:tcPr>
            <w:tcW w:w="1410" w:type="dxa"/>
            <w:vMerge w:val="restart"/>
            <w:tcBorders>
              <w:top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年初结转和结余</w:t>
            </w:r>
          </w:p>
        </w:tc>
        <w:tc>
          <w:tcPr>
            <w:tcW w:w="1554" w:type="dxa"/>
            <w:vMerge w:val="restart"/>
            <w:tcBorders>
              <w:top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本年收入</w:t>
            </w:r>
          </w:p>
        </w:tc>
        <w:tc>
          <w:tcPr>
            <w:tcW w:w="4086" w:type="dxa"/>
            <w:gridSpan w:val="3"/>
            <w:tcBorders>
              <w:top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本年支出</w:t>
            </w:r>
          </w:p>
        </w:tc>
        <w:tc>
          <w:tcPr>
            <w:tcW w:w="1579" w:type="dxa"/>
            <w:vMerge w:val="restart"/>
            <w:tcBorders>
              <w:top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89" w:type="dxa"/>
            <w:gridSpan w:val="3"/>
            <w:vMerge w:val="restart"/>
            <w:tcBorders>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科目代码</w:t>
            </w:r>
          </w:p>
        </w:tc>
        <w:tc>
          <w:tcPr>
            <w:tcW w:w="2725" w:type="dxa"/>
            <w:vMerge w:val="restart"/>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科目名称</w:t>
            </w:r>
          </w:p>
        </w:tc>
        <w:tc>
          <w:tcPr>
            <w:tcW w:w="1410" w:type="dxa"/>
            <w:vMerge w:val="continue"/>
            <w:tcBorders>
              <w:top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554" w:type="dxa"/>
            <w:vMerge w:val="continue"/>
            <w:tcBorders>
              <w:top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74" w:type="dxa"/>
            <w:vMerge w:val="restart"/>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小计</w:t>
            </w:r>
          </w:p>
        </w:tc>
        <w:tc>
          <w:tcPr>
            <w:tcW w:w="1338" w:type="dxa"/>
            <w:vMerge w:val="restart"/>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基本支出</w:t>
            </w:r>
          </w:p>
        </w:tc>
        <w:tc>
          <w:tcPr>
            <w:tcW w:w="1374" w:type="dxa"/>
            <w:vMerge w:val="restart"/>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项目支出</w:t>
            </w:r>
          </w:p>
        </w:tc>
        <w:tc>
          <w:tcPr>
            <w:tcW w:w="1579" w:type="dxa"/>
            <w:vMerge w:val="continue"/>
            <w:tcBorders>
              <w:top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89" w:type="dxa"/>
            <w:gridSpan w:val="3"/>
            <w:vMerge w:val="continue"/>
            <w:tcBorders>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725" w:type="dxa"/>
            <w:vMerge w:val="continue"/>
            <w:tcBorders>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410" w:type="dxa"/>
            <w:vMerge w:val="continue"/>
            <w:tcBorders>
              <w:top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554" w:type="dxa"/>
            <w:vMerge w:val="continue"/>
            <w:tcBorders>
              <w:top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74" w:type="dxa"/>
            <w:vMerge w:val="continue"/>
            <w:tcBorders>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38" w:type="dxa"/>
            <w:vMerge w:val="continue"/>
            <w:tcBorders>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74" w:type="dxa"/>
            <w:vMerge w:val="continue"/>
            <w:tcBorders>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579" w:type="dxa"/>
            <w:vMerge w:val="continue"/>
            <w:tcBorders>
              <w:top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789" w:type="dxa"/>
            <w:gridSpan w:val="3"/>
            <w:vMerge w:val="continue"/>
            <w:tcBorders>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725" w:type="dxa"/>
            <w:vMerge w:val="continue"/>
            <w:tcBorders>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410" w:type="dxa"/>
            <w:vMerge w:val="continue"/>
            <w:tcBorders>
              <w:top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554" w:type="dxa"/>
            <w:vMerge w:val="continue"/>
            <w:tcBorders>
              <w:top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74" w:type="dxa"/>
            <w:vMerge w:val="continue"/>
            <w:tcBorders>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38" w:type="dxa"/>
            <w:vMerge w:val="continue"/>
            <w:tcBorders>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374" w:type="dxa"/>
            <w:vMerge w:val="continue"/>
            <w:tcBorders>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579" w:type="dxa"/>
            <w:vMerge w:val="continue"/>
            <w:tcBorders>
              <w:top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514" w:type="dxa"/>
            <w:gridSpan w:val="4"/>
            <w:tcBorders>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栏次</w:t>
            </w:r>
          </w:p>
        </w:tc>
        <w:tc>
          <w:tcPr>
            <w:tcW w:w="1410"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w:t>
            </w:r>
          </w:p>
        </w:tc>
        <w:tc>
          <w:tcPr>
            <w:tcW w:w="155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w:t>
            </w:r>
          </w:p>
        </w:tc>
        <w:tc>
          <w:tcPr>
            <w:tcW w:w="137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w:t>
            </w:r>
          </w:p>
        </w:tc>
        <w:tc>
          <w:tcPr>
            <w:tcW w:w="1338"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w:t>
            </w:r>
          </w:p>
        </w:tc>
        <w:tc>
          <w:tcPr>
            <w:tcW w:w="137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w:t>
            </w:r>
          </w:p>
        </w:tc>
        <w:tc>
          <w:tcPr>
            <w:tcW w:w="1579"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14" w:type="dxa"/>
            <w:gridSpan w:val="4"/>
            <w:tcBorders>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合计</w:t>
            </w:r>
          </w:p>
        </w:tc>
        <w:tc>
          <w:tcPr>
            <w:tcW w:w="1410"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w:t>
            </w:r>
          </w:p>
        </w:tc>
        <w:tc>
          <w:tcPr>
            <w:tcW w:w="155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w:t>
            </w:r>
          </w:p>
        </w:tc>
        <w:tc>
          <w:tcPr>
            <w:tcW w:w="137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w:t>
            </w:r>
          </w:p>
        </w:tc>
        <w:tc>
          <w:tcPr>
            <w:tcW w:w="1338"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w:t>
            </w:r>
          </w:p>
        </w:tc>
        <w:tc>
          <w:tcPr>
            <w:tcW w:w="137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w:t>
            </w:r>
          </w:p>
        </w:tc>
        <w:tc>
          <w:tcPr>
            <w:tcW w:w="1579"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89" w:type="dxa"/>
            <w:gridSpan w:val="3"/>
            <w:tcBorders>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2725"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1410"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55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37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338"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37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579"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89" w:type="dxa"/>
            <w:gridSpan w:val="3"/>
            <w:tcBorders>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2725"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1410"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55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37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338"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37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579"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89" w:type="dxa"/>
            <w:gridSpan w:val="3"/>
            <w:tcBorders>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2725"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1410"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55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37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338"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37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579"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89" w:type="dxa"/>
            <w:gridSpan w:val="3"/>
            <w:tcBorders>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2725"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1410"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55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37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338"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37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579"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89" w:type="dxa"/>
            <w:gridSpan w:val="3"/>
            <w:tcBorders>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2725"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1410"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55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37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338"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37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579"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89" w:type="dxa"/>
            <w:gridSpan w:val="3"/>
            <w:tcBorders>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2725"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1410"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55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37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338"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374"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1579" w:type="dxa"/>
            <w:tcBorders>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2143" w:type="dxa"/>
            <w:gridSpan w:val="10"/>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注：我单位没有政府性基金收入，也没有使用政府性基金安排的支出，故本表无数据。本表金额转换为万元时，因四舍五入可能存在尾数误差。</w:t>
            </w:r>
          </w:p>
        </w:tc>
      </w:tr>
    </w:tbl>
    <w:p>
      <w:pPr>
        <w:pStyle w:val="2"/>
        <w:keepNext w:val="0"/>
        <w:keepLines w:val="0"/>
        <w:widowControl/>
        <w:suppressLineNumbers w:val="0"/>
        <w:spacing w:before="60" w:beforeAutospacing="0" w:after="60" w:afterAutospacing="0"/>
        <w:ind w:left="0" w:right="0"/>
      </w:pPr>
    </w:p>
    <w:p>
      <w:pPr>
        <w:keepNext w:val="0"/>
        <w:keepLines w:val="0"/>
        <w:widowControl/>
        <w:suppressLineNumbers w:val="0"/>
        <w:spacing w:before="0" w:beforeAutospacing="0" w:after="1" w:afterAutospacing="0"/>
        <w:ind w:left="0" w:right="0"/>
        <w:jc w:val="center"/>
        <w:rPr>
          <w:sz w:val="21"/>
          <w:szCs w:val="21"/>
        </w:rPr>
      </w:pPr>
    </w:p>
    <w:tbl>
      <w:tblPr>
        <w:tblW w:w="12143" w:type="dxa"/>
        <w:jc w:val="center"/>
        <w:tblInd w:w="-1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50"/>
        <w:gridCol w:w="350"/>
        <w:gridCol w:w="350"/>
        <w:gridCol w:w="4170"/>
        <w:gridCol w:w="2307"/>
        <w:gridCol w:w="2295"/>
        <w:gridCol w:w="2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2143" w:type="dxa"/>
            <w:gridSpan w:val="7"/>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40"/>
                <w:szCs w:val="40"/>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0" w:type="dxa"/>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350" w:type="dxa"/>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350" w:type="dxa"/>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170" w:type="dxa"/>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2307" w:type="dxa"/>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4616" w:type="dxa"/>
            <w:gridSpan w:val="2"/>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5220" w:type="dxa"/>
            <w:gridSpan w:val="4"/>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0"/>
                <w:szCs w:val="20"/>
              </w:rPr>
              <w:t>部门：珠晖区审计局</w:t>
            </w:r>
          </w:p>
        </w:tc>
        <w:tc>
          <w:tcPr>
            <w:tcW w:w="2307" w:type="dxa"/>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4616" w:type="dxa"/>
            <w:gridSpan w:val="2"/>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50" w:type="dxa"/>
            <w:gridSpan w:val="3"/>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科目编码</w:t>
            </w:r>
          </w:p>
        </w:tc>
        <w:tc>
          <w:tcPr>
            <w:tcW w:w="4170"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科目名称</w:t>
            </w:r>
          </w:p>
        </w:tc>
        <w:tc>
          <w:tcPr>
            <w:tcW w:w="6923"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50" w:type="dxa"/>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4170"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307"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合计</w:t>
            </w:r>
          </w:p>
        </w:tc>
        <w:tc>
          <w:tcPr>
            <w:tcW w:w="2295"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基本支出</w:t>
            </w:r>
          </w:p>
        </w:tc>
        <w:tc>
          <w:tcPr>
            <w:tcW w:w="2321"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50" w:type="dxa"/>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4170"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307"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295"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321"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50" w:type="dxa"/>
            <w:gridSpan w:val="3"/>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4170"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307"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295"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2321"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220" w:type="dxa"/>
            <w:gridSpan w:val="4"/>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栏次</w:t>
            </w:r>
          </w:p>
        </w:tc>
        <w:tc>
          <w:tcPr>
            <w:tcW w:w="230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w:t>
            </w:r>
          </w:p>
        </w:tc>
        <w:tc>
          <w:tcPr>
            <w:tcW w:w="22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w:t>
            </w:r>
          </w:p>
        </w:tc>
        <w:tc>
          <w:tcPr>
            <w:tcW w:w="23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5220" w:type="dxa"/>
            <w:gridSpan w:val="4"/>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合计</w:t>
            </w:r>
          </w:p>
        </w:tc>
        <w:tc>
          <w:tcPr>
            <w:tcW w:w="230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w:t>
            </w:r>
          </w:p>
        </w:tc>
        <w:tc>
          <w:tcPr>
            <w:tcW w:w="22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w:t>
            </w:r>
          </w:p>
        </w:tc>
        <w:tc>
          <w:tcPr>
            <w:tcW w:w="23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b/>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50"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17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230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2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3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50"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17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230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2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3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50"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17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230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2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3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50"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17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230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2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3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50"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17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230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2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3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50"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417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left"/>
            </w:pPr>
          </w:p>
        </w:tc>
        <w:tc>
          <w:tcPr>
            <w:tcW w:w="2307"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29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c>
          <w:tcPr>
            <w:tcW w:w="232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2143" w:type="dxa"/>
            <w:gridSpan w:val="7"/>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注：我单位没有国有资本经营收入，也没有使用国有资本经营安排的支出，故本表无数据。本表金额转换为万元时，因四舍五入可能存在尾数误差。</w:t>
            </w:r>
          </w:p>
        </w:tc>
      </w:tr>
    </w:tbl>
    <w:p>
      <w:pPr>
        <w:pStyle w:val="2"/>
        <w:keepNext w:val="0"/>
        <w:keepLines w:val="0"/>
        <w:widowControl/>
        <w:suppressLineNumbers w:val="0"/>
        <w:spacing w:before="60" w:beforeAutospacing="0" w:after="60" w:afterAutospacing="0"/>
        <w:ind w:left="0" w:right="0"/>
      </w:pPr>
    </w:p>
    <w:p>
      <w:pPr>
        <w:keepNext w:val="0"/>
        <w:keepLines w:val="0"/>
        <w:widowControl/>
        <w:suppressLineNumbers w:val="0"/>
        <w:spacing w:before="0" w:beforeAutospacing="0" w:after="1" w:afterAutospacing="0"/>
        <w:ind w:left="0" w:right="0"/>
        <w:jc w:val="center"/>
        <w:rPr>
          <w:sz w:val="21"/>
          <w:szCs w:val="21"/>
        </w:rPr>
      </w:pPr>
    </w:p>
    <w:tbl>
      <w:tblPr>
        <w:tblW w:w="12143" w:type="dxa"/>
        <w:jc w:val="center"/>
        <w:tblInd w:w="-1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11"/>
        <w:gridCol w:w="1011"/>
        <w:gridCol w:w="1012"/>
        <w:gridCol w:w="1012"/>
        <w:gridCol w:w="1012"/>
        <w:gridCol w:w="1012"/>
        <w:gridCol w:w="1012"/>
        <w:gridCol w:w="1012"/>
        <w:gridCol w:w="1012"/>
        <w:gridCol w:w="1012"/>
        <w:gridCol w:w="1000"/>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143" w:type="dxa"/>
            <w:gridSpan w:val="12"/>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40"/>
                <w:szCs w:val="40"/>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1"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011"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012"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012"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012"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012"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012"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012"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012"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1012" w:type="dxa"/>
            <w:shd w:val="clear"/>
            <w:vAlign w:val="center"/>
          </w:tcPr>
          <w:p>
            <w:pPr>
              <w:pStyle w:val="2"/>
              <w:keepNext w:val="0"/>
              <w:keepLines w:val="0"/>
              <w:widowControl/>
              <w:suppressLineNumbers w:val="0"/>
              <w:spacing w:before="60" w:beforeAutospacing="0" w:after="60" w:afterAutospacing="0" w:line="18" w:lineRule="atLeast"/>
              <w:ind w:left="0" w:right="0"/>
            </w:pPr>
          </w:p>
        </w:tc>
        <w:tc>
          <w:tcPr>
            <w:tcW w:w="2025" w:type="dxa"/>
            <w:gridSpan w:val="2"/>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18" w:type="dxa"/>
            <w:gridSpan w:val="10"/>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部门：珠晖区审计局</w:t>
            </w:r>
          </w:p>
        </w:tc>
        <w:tc>
          <w:tcPr>
            <w:tcW w:w="2025" w:type="dxa"/>
            <w:gridSpan w:val="2"/>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070" w:type="dxa"/>
            <w:gridSpan w:val="6"/>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预算数</w:t>
            </w:r>
          </w:p>
        </w:tc>
        <w:tc>
          <w:tcPr>
            <w:tcW w:w="6073" w:type="dxa"/>
            <w:gridSpan w:val="6"/>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11"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合计</w:t>
            </w:r>
          </w:p>
        </w:tc>
        <w:tc>
          <w:tcPr>
            <w:tcW w:w="1011"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因公出国（境）费</w:t>
            </w:r>
          </w:p>
        </w:tc>
        <w:tc>
          <w:tcPr>
            <w:tcW w:w="3036"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公务用车购置及运行费</w:t>
            </w:r>
          </w:p>
        </w:tc>
        <w:tc>
          <w:tcPr>
            <w:tcW w:w="1012"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公务接待费</w:t>
            </w:r>
          </w:p>
        </w:tc>
        <w:tc>
          <w:tcPr>
            <w:tcW w:w="1012"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合计</w:t>
            </w:r>
          </w:p>
        </w:tc>
        <w:tc>
          <w:tcPr>
            <w:tcW w:w="1012"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因公出国（境）费</w:t>
            </w:r>
          </w:p>
        </w:tc>
        <w:tc>
          <w:tcPr>
            <w:tcW w:w="3024" w:type="dxa"/>
            <w:gridSpan w:val="3"/>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公务用车购置及运行费</w:t>
            </w:r>
          </w:p>
        </w:tc>
        <w:tc>
          <w:tcPr>
            <w:tcW w:w="1025" w:type="dxa"/>
            <w:vMerge w:val="restart"/>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11"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011"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小计</w:t>
            </w: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公务用车购置费</w:t>
            </w: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公务用车运行费</w:t>
            </w:r>
          </w:p>
        </w:tc>
        <w:tc>
          <w:tcPr>
            <w:tcW w:w="1012"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012"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012"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小计</w:t>
            </w: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公务用车购置费</w:t>
            </w:r>
          </w:p>
        </w:tc>
        <w:tc>
          <w:tcPr>
            <w:tcW w:w="100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公务用车运行费</w:t>
            </w:r>
          </w:p>
        </w:tc>
        <w:tc>
          <w:tcPr>
            <w:tcW w:w="1025" w:type="dxa"/>
            <w:vMerge w:val="continue"/>
            <w:tcBorders>
              <w:top w:val="single" w:color="666666" w:sz="4" w:space="0"/>
              <w:left w:val="single" w:color="666666" w:sz="4" w:space="0"/>
              <w:bottom w:val="single" w:color="666666" w:sz="4" w:space="0"/>
              <w:right w:val="single" w:color="666666" w:sz="4" w:space="0"/>
            </w:tcBorders>
            <w:shd w:val="clear"/>
            <w:vAlign w:val="center"/>
          </w:tcPr>
          <w:p>
            <w:pPr>
              <w:rPr>
                <w:rFonts w:hint="default" w:ascii="Tahoma" w:hAnsi="Tahoma" w:eastAsia="Tahoma" w:cs="Tahom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w:t>
            </w:r>
          </w:p>
        </w:tc>
        <w:tc>
          <w:tcPr>
            <w:tcW w:w="10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2</w:t>
            </w: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3</w:t>
            </w: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4</w:t>
            </w: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5</w:t>
            </w: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6</w:t>
            </w: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7</w:t>
            </w: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8</w:t>
            </w: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9</w:t>
            </w: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10</w:t>
            </w:r>
          </w:p>
        </w:tc>
        <w:tc>
          <w:tcPr>
            <w:tcW w:w="100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11</w:t>
            </w:r>
          </w:p>
        </w:tc>
        <w:tc>
          <w:tcPr>
            <w:tcW w:w="102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0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w:t>
            </w:r>
          </w:p>
        </w:tc>
        <w:tc>
          <w:tcPr>
            <w:tcW w:w="1011"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012"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000"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c>
          <w:tcPr>
            <w:tcW w:w="1025" w:type="dxa"/>
            <w:tcBorders>
              <w:top w:val="single" w:color="666666" w:sz="4" w:space="0"/>
              <w:left w:val="single" w:color="666666" w:sz="4" w:space="0"/>
              <w:bottom w:val="single" w:color="666666" w:sz="4" w:space="0"/>
              <w:right w:val="single" w:color="666666" w:sz="4" w:space="0"/>
            </w:tcBorders>
            <w:shd w:val="clear"/>
            <w:vAlign w:val="center"/>
          </w:tcPr>
          <w:p>
            <w:pPr>
              <w:pStyle w:val="2"/>
              <w:keepNext w:val="0"/>
              <w:keepLines w:val="0"/>
              <w:widowControl/>
              <w:suppressLineNumbers w:val="0"/>
              <w:spacing w:before="60" w:beforeAutospacing="0" w:after="60" w:afterAutospacing="0" w:line="18" w:lineRule="atLeast"/>
              <w:ind w:left="0" w:right="0"/>
              <w:jc w:val="right"/>
            </w:pPr>
            <w:r>
              <w:rPr>
                <w:rFonts w:hint="default" w:ascii="Tahoma" w:hAnsi="Tahoma" w:eastAsia="Tahoma" w:cs="Tahoma"/>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2143" w:type="dxa"/>
            <w:gridSpan w:val="12"/>
            <w:shd w:val="clear"/>
            <w:vAlign w:val="center"/>
          </w:tcPr>
          <w:p>
            <w:pPr>
              <w:pStyle w:val="2"/>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sz w:val="22"/>
                <w:szCs w:val="22"/>
              </w:rPr>
              <w:t>注：我单位没有使用该支出，故本表无数据。本表金额转换为万元时，因四舍五入可能存在尾数误差。</w:t>
            </w:r>
          </w:p>
        </w:tc>
      </w:tr>
    </w:tbl>
    <w:p>
      <w:pPr>
        <w:pStyle w:val="2"/>
        <w:keepNext w:val="0"/>
        <w:keepLines w:val="0"/>
        <w:widowControl/>
        <w:suppressLineNumbers w:val="0"/>
        <w:spacing w:before="60" w:beforeAutospacing="0" w:after="60" w:afterAutospacing="0"/>
        <w:ind w:left="0" w:right="0"/>
      </w:pPr>
    </w:p>
    <w:p>
      <w:pPr>
        <w:keepNext w:val="0"/>
        <w:keepLines w:val="0"/>
        <w:widowControl/>
        <w:suppressLineNumbers w:val="0"/>
        <w:jc w:val="left"/>
      </w:pPr>
    </w:p>
    <w:p>
      <w:pPr>
        <w:keepNext w:val="0"/>
        <w:keepLines w:val="0"/>
        <w:widowControl/>
        <w:suppressLineNumbers w:val="0"/>
        <w:spacing w:before="0" w:beforeAutospacing="0" w:after="1" w:afterAutospacing="0"/>
        <w:ind w:left="0" w:right="0" w:firstLine="0"/>
        <w:jc w:val="center"/>
        <w:rPr>
          <w:rFonts w:hint="default" w:ascii="Tahoma" w:hAnsi="Tahoma" w:eastAsia="Tahoma" w:cs="Tahoma"/>
          <w:i w:val="0"/>
          <w:caps w:val="0"/>
          <w:color w:val="000000"/>
          <w:spacing w:val="0"/>
          <w:sz w:val="21"/>
          <w:szCs w:val="21"/>
        </w:rPr>
      </w:pPr>
      <w:r>
        <w:rPr>
          <w:rFonts w:hint="eastAsia" w:ascii="宋体" w:hAnsi="宋体" w:eastAsia="宋体" w:cs="宋体"/>
          <w:b/>
          <w:i w:val="0"/>
          <w:caps w:val="0"/>
          <w:color w:val="000000"/>
          <w:spacing w:val="0"/>
          <w:kern w:val="0"/>
          <w:sz w:val="36"/>
          <w:szCs w:val="36"/>
          <w:lang w:val="en-US" w:eastAsia="zh-CN" w:bidi="ar"/>
        </w:rPr>
        <w:t>第三部分 2022年度部门决算情况说明</w:t>
      </w:r>
    </w:p>
    <w:p>
      <w:pPr>
        <w:keepNext w:val="0"/>
        <w:keepLines w:val="0"/>
        <w:widowControl/>
        <w:suppressLineNumbers w:val="0"/>
        <w:spacing w:before="60" w:beforeAutospacing="0" w:after="60" w:afterAutospacing="0"/>
        <w:ind w:left="0" w:right="0" w:firstLine="0"/>
        <w:jc w:val="left"/>
        <w:rPr>
          <w:rFonts w:ascii="font-size:10.5pt;margin-top:0pt;margin-bottom:0.1;" w:hAnsi="font-size:10.5pt;margin-top:0pt;margin-bottom:0.1;" w:eastAsia="font-size:10.5pt;margin-top:0pt;margin-bottom:0.1;" w:cs="font-size:10.5pt;margin-top:0pt;margin-bottom:0.1;"/>
          <w:i w:val="0"/>
          <w:caps w:val="0"/>
          <w:color w:val="000000"/>
          <w:spacing w:val="0"/>
          <w:sz w:val="14"/>
          <w:szCs w:val="14"/>
        </w:rPr>
      </w:pP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b/>
          <w:i w:val="0"/>
          <w:caps w:val="0"/>
          <w:color w:val="000000"/>
          <w:spacing w:val="0"/>
          <w:sz w:val="32"/>
          <w:szCs w:val="32"/>
        </w:rPr>
        <w:t>一、收入支出决算总体情况说明</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2022年度收、支总计292.51万元。与上一年度相比，收、支总计各减少89.17万元，下降23.36%。主要原因是压缩开支。</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b/>
          <w:i w:val="0"/>
          <w:caps w:val="0"/>
          <w:color w:val="000000"/>
          <w:spacing w:val="0"/>
          <w:sz w:val="32"/>
          <w:szCs w:val="32"/>
        </w:rPr>
        <w:t>二、收入决算情况说明</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2022年度收入合计292.51万元，其中：财政拨款收入292.51万元，占100%；上级补助收入0万元，占0%；事业收入0万元，占0%；经营收入0万元，占0%；附属单位上缴收入0万元，占0%；其他收入0万元，占0%。</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b/>
          <w:i w:val="0"/>
          <w:caps w:val="0"/>
          <w:color w:val="000000"/>
          <w:spacing w:val="0"/>
          <w:sz w:val="32"/>
          <w:szCs w:val="32"/>
        </w:rPr>
        <w:t>三、支出决算情况说明</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2022年度支出合计292.51万元，其中：基本支出278.07万元，占95.06%；项目支出14.44万元，占4.94%；上缴上级支出0万元，占0%；经营支出0万元，占0%；对附属单位补助支出0万元，占0%。</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b/>
          <w:i w:val="0"/>
          <w:caps w:val="0"/>
          <w:color w:val="000000"/>
          <w:spacing w:val="0"/>
          <w:sz w:val="32"/>
          <w:szCs w:val="32"/>
        </w:rPr>
        <w:t>四、财政拨款收入支出决算总体情况说明</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2022年度财政拨款收、支总计292.51万元。与上一年度相比，财政拨款收、支总计各减少27.42万元，下降8.57%。主要原因是压缩开支。</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b/>
          <w:i w:val="0"/>
          <w:caps w:val="0"/>
          <w:color w:val="000000"/>
          <w:spacing w:val="0"/>
          <w:sz w:val="32"/>
          <w:szCs w:val="32"/>
        </w:rPr>
        <w:t>五、一般公共预算财政拨款支出决算情况说明</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b/>
          <w:i w:val="0"/>
          <w:caps w:val="0"/>
          <w:color w:val="000000"/>
          <w:spacing w:val="0"/>
          <w:sz w:val="32"/>
          <w:szCs w:val="32"/>
        </w:rPr>
        <w:t>（一）财政拨款支出决算总体情况</w:t>
      </w:r>
    </w:p>
    <w:p>
      <w:pPr>
        <w:pStyle w:val="2"/>
        <w:keepNext w:val="0"/>
        <w:keepLines w:val="0"/>
        <w:widowControl/>
        <w:suppressLineNumbers w:val="0"/>
        <w:spacing w:before="0" w:beforeAutospacing="0" w:after="1" w:afterAutospacing="0"/>
        <w:ind w:left="0" w:right="0" w:firstLine="855"/>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2022年度财政拨款支出292.51万元，占本年支出合计的100%。与上一年度相比，财政拨款支出减少27.42万元，下降8.57%。主要是因为压缩开支。</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b/>
          <w:i w:val="0"/>
          <w:caps w:val="0"/>
          <w:color w:val="000000"/>
          <w:spacing w:val="0"/>
          <w:sz w:val="32"/>
          <w:szCs w:val="32"/>
        </w:rPr>
        <w:t>（二）财政拨款支出决算结构情况</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2022年度财政拨款支出292.51万元，主要用于以下方面：一般公共服务支出240.52万元，占82.22%；社会保障和就业支出24.16万元，占8.26%；卫生健康支出12.71万元，占4.35%；住房保障支出15.12万元，占5.17%。</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b/>
          <w:i w:val="0"/>
          <w:caps w:val="0"/>
          <w:color w:val="000000"/>
          <w:spacing w:val="0"/>
          <w:sz w:val="32"/>
          <w:szCs w:val="32"/>
        </w:rPr>
        <w:t>（三）财政拨款支出决算具体情况</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2022年度财政拨款支出年初预算数为212.49万元，支出决算数为292.51万元，完成年初预算的137.66%，其中：</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Style w:val="4"/>
          <w:rFonts w:hint="eastAsia" w:ascii="宋体" w:hAnsi="宋体" w:eastAsia="宋体" w:cs="宋体"/>
          <w:i w:val="0"/>
          <w:caps w:val="0"/>
          <w:color w:val="000000"/>
          <w:spacing w:val="0"/>
          <w:sz w:val="32"/>
          <w:szCs w:val="32"/>
        </w:rPr>
        <w:t>1、一般公共服务支出（类）审计事务（款）行政运行（项）</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年初预算为117.08万元，支出决算为202.49万元，完成年初预算的172.95%。决算数大于年初预算数的主要原因是：人员增加及工资调整，项目增加。。</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Style w:val="4"/>
          <w:rFonts w:hint="eastAsia" w:ascii="宋体" w:hAnsi="宋体" w:eastAsia="宋体" w:cs="宋体"/>
          <w:i w:val="0"/>
          <w:caps w:val="0"/>
          <w:color w:val="000000"/>
          <w:spacing w:val="0"/>
          <w:sz w:val="32"/>
          <w:szCs w:val="32"/>
        </w:rPr>
        <w:t>2、一般公共服务支出（类）审计事务（款）一般行政管理事务（项）</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年初预算为2.00万元，支出决算为0.48万元，完成年初预算的24%。决算数小于年初预算数的主要原因是：压缩开支。</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Style w:val="4"/>
          <w:rFonts w:hint="eastAsia" w:ascii="宋体" w:hAnsi="宋体" w:eastAsia="宋体" w:cs="宋体"/>
          <w:i w:val="0"/>
          <w:caps w:val="0"/>
          <w:color w:val="000000"/>
          <w:spacing w:val="0"/>
          <w:sz w:val="32"/>
          <w:szCs w:val="32"/>
        </w:rPr>
        <w:t>3、一般公共服务支出（类）审计事务（款）审计业务（项）</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年初预算为20.00万元，支出决算为18.98万元，完成年初预算的94.9%。决算数小于年初预算数的主要原因是：压缩开支。</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Style w:val="4"/>
          <w:rFonts w:hint="eastAsia" w:ascii="宋体" w:hAnsi="宋体" w:eastAsia="宋体" w:cs="宋体"/>
          <w:i w:val="0"/>
          <w:caps w:val="0"/>
          <w:color w:val="000000"/>
          <w:spacing w:val="0"/>
          <w:sz w:val="32"/>
          <w:szCs w:val="32"/>
        </w:rPr>
        <w:t>4、一般公共服务支出（类）审计事务（款）其他审计事务支出（项）</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年初预算为31.00万元，支出决算为18.58万元，完成年初预算的59.94%。决算数小于年初预算数的主要原因是：压缩开支。</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Style w:val="4"/>
          <w:rFonts w:hint="eastAsia" w:ascii="宋体" w:hAnsi="宋体" w:eastAsia="宋体" w:cs="宋体"/>
          <w:i w:val="0"/>
          <w:caps w:val="0"/>
          <w:color w:val="000000"/>
          <w:spacing w:val="0"/>
          <w:sz w:val="32"/>
          <w:szCs w:val="32"/>
        </w:rPr>
        <w:t>5、社会保障和就业支出（类）行政事业单位养老支出（款）机关事业单位基本养老保险缴费支出（项）</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年初预算为15.68万元，支出决算为24.16万元，完成年初预算的154.08%。决算数大于年初预算数的主要原因是：人员增加，工资调整。。</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Style w:val="4"/>
          <w:rFonts w:hint="eastAsia" w:ascii="宋体" w:hAnsi="宋体" w:eastAsia="宋体" w:cs="宋体"/>
          <w:i w:val="0"/>
          <w:caps w:val="0"/>
          <w:color w:val="000000"/>
          <w:spacing w:val="0"/>
          <w:sz w:val="32"/>
          <w:szCs w:val="32"/>
        </w:rPr>
        <w:t>6、卫生健康支出（类）行政事业单位医疗（款）行政单位医疗（项）</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年初预算为11.60万元，支出决算为12.71万元，完成年初预算的109.57%。决算数大于年初预算数的主要原因是：人员增加，工资调整。</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Style w:val="4"/>
          <w:rFonts w:hint="eastAsia" w:ascii="宋体" w:hAnsi="宋体" w:eastAsia="宋体" w:cs="宋体"/>
          <w:i w:val="0"/>
          <w:caps w:val="0"/>
          <w:color w:val="000000"/>
          <w:spacing w:val="0"/>
          <w:sz w:val="32"/>
          <w:szCs w:val="32"/>
        </w:rPr>
        <w:t>7、住房保障支出（类）住房改革支出（款）住房公积金（项）</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年初预算为15.12万元，支出决算为15.12万元，完成年初预算的100%。决算数与年初预算数一致，我单位严格按预算执行决算。</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b/>
          <w:i w:val="0"/>
          <w:caps w:val="0"/>
          <w:color w:val="000000"/>
          <w:spacing w:val="0"/>
          <w:sz w:val="32"/>
          <w:szCs w:val="32"/>
        </w:rPr>
        <w:t>六、一般公共预算财政拨款基本支出决算情况说明</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2022年度财政拨款基本支出278.07万元，其中：</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人员经费237.39万元，占基本支出的85.37%，主要包括：基本工资、津贴补贴、奖金、绩效工资、机关事业单位基本养老保险缴费、职业年金缴费、职工基本医疗保险缴费、其他社会保障缴费、住房公积金、其他工资福利支出、退休费、生活补助。</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公用经费40.68万元，占基本支出的14.63%，主要包括：办公费、印刷费、水费、电费、会议费、培训费、劳务费、工会经费、其他交通费用、其他商品和服务支出。</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b/>
          <w:i w:val="0"/>
          <w:caps w:val="0"/>
          <w:color w:val="000000"/>
          <w:spacing w:val="0"/>
          <w:sz w:val="32"/>
          <w:szCs w:val="32"/>
        </w:rPr>
        <w:t>七、一般公共预算财政拨款三公经费支出决算情况说明</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b/>
          <w:i w:val="0"/>
          <w:caps w:val="0"/>
          <w:color w:val="000000"/>
          <w:spacing w:val="0"/>
          <w:sz w:val="32"/>
          <w:szCs w:val="32"/>
        </w:rPr>
        <w:t>（一）“三公”经费财政拨款支出决算总体情况说明</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2022年度“三公”经费财政拨款支出预算为0万元，支出决算为0万元，由于预算为0，无法计算百分比。其中：</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因公出国（境）费支出预算为0万元，支出决算为0万元，决算数与预算数一致，我单位严格按预算执行决算，因公出国（境）费支出与上年持平。</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公务接待费支出预算为0万元，支出决算为0万元，决算数与预算数一致，我单位严格按预算执行决算，公务接待费支出与上年持平。</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公务用车购置费支出预算为0万元，支出决算为0万元，决算数与预算数一致，我单位严格按预算执行决算，公务用车购置费支出与上年持平。</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公务用车运行维护费支出预算为0万元，支出决算为0万元，决算数与预算数一致，我单位严格按预算执行决算，公务用车运行维护费支出与上年持平。</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b/>
          <w:i w:val="0"/>
          <w:caps w:val="0"/>
          <w:color w:val="000000"/>
          <w:spacing w:val="0"/>
          <w:sz w:val="32"/>
          <w:szCs w:val="32"/>
        </w:rPr>
        <w:t>（二）“三公”经费财政拨款支出决算具体情况说明</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2022年度“三公”经费财政拨款支出决算中，公务接待费支出决算0万元，占0%，因公出国（境）费支出决算0万元，占0%，公务用车购置费及运行维护费支出决算0万元，占0%。其中：</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1、因公出国（境）费支出决算为0万元，全年安排因公出国（境）团组0个，累计0人次，我单位2022年度无因公出国（境）费支出。</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2、公务接待费支出决算为0万元，全年共接待来访团组0个、来宾0人次，我单位2022年度无公务接待费支出。</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3、公务用车购置费及运行维护费支出决算为0万元，其中：公务用车购置费0万元，购置公务用车0辆。公务用车运行维护费0万元，截至2022年12月31日，我单位开支财政拨款的公务用车保有量为0辆。我单位2022年度无公务用车购置费及运行维护费支出。</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b/>
          <w:i w:val="0"/>
          <w:caps w:val="0"/>
          <w:color w:val="000000"/>
          <w:spacing w:val="0"/>
          <w:sz w:val="32"/>
          <w:szCs w:val="32"/>
        </w:rPr>
        <w:t>八、政府性基金预算收入支出决算情况</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珠晖区审计局2022年度没有政府性基金收入，也没有使用政府性基金安排的支出，并已公开空表。</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ascii="宋体" w:hAnsi="宋体" w:eastAsia="宋体" w:cs="宋体"/>
          <w:b/>
          <w:i w:val="0"/>
          <w:caps w:val="0"/>
          <w:color w:val="000000"/>
          <w:spacing w:val="0"/>
          <w:sz w:val="32"/>
          <w:szCs w:val="32"/>
        </w:rPr>
        <w:t>九、国有资本经营预算收入支出决算情况</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珠晖区审计局2022年度没有国有资本经营预算财政拨款收入，也没有使用国有资本经营预算财政拨款的支出，并已公开空表。</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b/>
          <w:i w:val="0"/>
          <w:caps w:val="0"/>
          <w:color w:val="000000"/>
          <w:spacing w:val="0"/>
          <w:sz w:val="32"/>
          <w:szCs w:val="32"/>
        </w:rPr>
        <w:t>十、关于机关运行经费支出说明</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珠晖区审计局2022年度机关运行经费支出40.68万元，比上年度决算数减少39.12万元，下降49.02%。主要原因是：压缩开支。</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b/>
          <w:i w:val="0"/>
          <w:caps w:val="0"/>
          <w:color w:val="000000"/>
          <w:spacing w:val="0"/>
          <w:sz w:val="32"/>
          <w:szCs w:val="32"/>
        </w:rPr>
        <w:t>十一、一般性支出情况</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2022年度本单位支出会议费1万元，事业单位培训及其他培训开支持102人次。；开支培训费1.16万元，事业单位培训及相关培训102人次。；事业单位培训及其他相关培训开支102人次。。</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b/>
          <w:i w:val="0"/>
          <w:caps w:val="0"/>
          <w:color w:val="000000"/>
          <w:spacing w:val="0"/>
          <w:sz w:val="32"/>
          <w:szCs w:val="32"/>
        </w:rPr>
        <w:t>十二、关于政府采购支出说明</w:t>
      </w:r>
    </w:p>
    <w:p>
      <w:pPr>
        <w:pStyle w:val="2"/>
        <w:keepNext w:val="0"/>
        <w:keepLines w:val="0"/>
        <w:widowControl/>
        <w:suppressLineNumbers w:val="0"/>
        <w:spacing w:before="0" w:beforeAutospacing="0" w:after="1" w:afterAutospacing="0"/>
        <w:ind w:left="0" w:right="0" w:firstLine="640"/>
        <w:jc w:val="both"/>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shd w:val="clear" w:fill="FFFFFF"/>
        </w:rPr>
        <w:t>珠晖区审计局2022年度政府采购支出总额0万元，其中：政府采购货物支出0万元、政府采购工程支出0万元、政府采购服务支出0万元。授予中小企业合同金额0万元，由于政府采购支出总额为0万元，无法计算占政府采购支出总额的百分比。其中：授予小微企业合同金额0万元,由于政府采购支出总额为0万元，无法计算占政府采购支出总额的百分比。由于货物支出总额为0万元，无法计算货物采购授予中小企业合同金额占货物支出金额的百分比，由于工程支出总额为0万元，无法计算工程采购授予中小企业合同金额占工程支出金额的百分比，由于服务支出总额为0万元，无法计算服务采购授予中小企业合同金额占服务支出金额的百分比</w:t>
      </w:r>
      <w:r>
        <w:rPr>
          <w:rFonts w:ascii="宋体" w:hAnsi="宋体" w:eastAsia="宋体" w:cs="宋体"/>
          <w:i w:val="0"/>
          <w:caps w:val="0"/>
          <w:color w:val="000000"/>
          <w:spacing w:val="0"/>
          <w:sz w:val="32"/>
          <w:szCs w:val="32"/>
          <w:shd w:val="clear" w:fill="FFFFFF"/>
        </w:rPr>
        <w:t>。</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b/>
          <w:i w:val="0"/>
          <w:caps w:val="0"/>
          <w:color w:val="000000"/>
          <w:spacing w:val="0"/>
          <w:sz w:val="32"/>
          <w:szCs w:val="32"/>
        </w:rPr>
        <w:t>十三、关于国有资产占用情况说明</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caps w:val="0"/>
          <w:color w:val="000000"/>
          <w:spacing w:val="0"/>
          <w:sz w:val="27"/>
          <w:szCs w:val="27"/>
        </w:rPr>
      </w:pPr>
      <w:r>
        <w:rPr>
          <w:rFonts w:hint="eastAsia" w:ascii="宋体" w:hAnsi="宋体" w:eastAsia="宋体" w:cs="宋体"/>
          <w:i w:val="0"/>
          <w:caps w:val="0"/>
          <w:color w:val="000000"/>
          <w:spacing w:val="0"/>
          <w:sz w:val="32"/>
          <w:szCs w:val="32"/>
        </w:rPr>
        <w:t>截至2022年12月31日，</w:t>
      </w:r>
      <w:r>
        <w:rPr>
          <w:rFonts w:hint="eastAsia" w:ascii="宋体" w:hAnsi="宋体" w:eastAsia="宋体" w:cs="宋体"/>
          <w:i w:val="0"/>
          <w:caps w:val="0"/>
          <w:color w:val="000000"/>
          <w:spacing w:val="0"/>
          <w:sz w:val="32"/>
          <w:szCs w:val="32"/>
          <w:shd w:val="clear" w:fill="FFFFFF"/>
        </w:rPr>
        <w:t>珠晖区审计局</w:t>
      </w:r>
      <w:r>
        <w:rPr>
          <w:rFonts w:hint="eastAsia" w:ascii="宋体" w:hAnsi="宋体" w:eastAsia="宋体" w:cs="宋体"/>
          <w:i w:val="0"/>
          <w:caps w:val="0"/>
          <w:color w:val="000000"/>
          <w:spacing w:val="0"/>
          <w:sz w:val="32"/>
          <w:szCs w:val="32"/>
        </w:rPr>
        <w:t>共有车辆0辆（台），其中：副部（省）级及以上领导用车0辆、主要领导干部用车0辆、机要通信用车0辆、应急保障用车0辆、执法执勤用车0辆、特种专业技术用车0辆、其他用车0辆；单价100万元（含）以上专用设备0台（套）。</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hint="eastAsia" w:ascii="宋体" w:hAnsi="宋体" w:eastAsia="宋体" w:cs="宋体"/>
          <w:b/>
          <w:i w:val="0"/>
          <w:caps w:val="0"/>
          <w:color w:val="000000"/>
          <w:spacing w:val="0"/>
          <w:sz w:val="32"/>
          <w:szCs w:val="32"/>
        </w:rPr>
        <w:t>十四、关于2022年度预算绩效情况说明</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Style w:val="4"/>
          <w:rFonts w:ascii="宋体" w:hAnsi="宋体" w:eastAsia="宋体" w:cs="宋体"/>
          <w:b/>
          <w:i w:val="0"/>
          <w:caps w:val="0"/>
          <w:color w:val="000000"/>
          <w:spacing w:val="0"/>
          <w:sz w:val="32"/>
          <w:szCs w:val="32"/>
        </w:rPr>
        <w:t>（一）部门整体支出绩效情况</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ascii="宋体" w:hAnsi="宋体" w:eastAsia="宋体" w:cs="宋体"/>
          <w:i w:val="0"/>
          <w:caps w:val="0"/>
          <w:color w:val="000000"/>
          <w:spacing w:val="0"/>
          <w:sz w:val="32"/>
          <w:szCs w:val="32"/>
        </w:rPr>
        <w:t>2022年度收入合计292.51万元，其中：财政拨款收入292.51万元，占100%；上级补助收入0万元，占0%；事业收入0万元，占0%；经营收入0万元，占0%；附属单位上缴收入0万元，占0%；其他收入0万元，占0%。2022年度支出合计292.51万元，其中：基本支出278.07万元，占95.06%；项目支出14.44万元，占4.94%；上缴上级支出0万元，占0%；经营支出0万元，占0%；对附属单位补助支出0万元，占0%。</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Style w:val="4"/>
          <w:rFonts w:ascii="宋体" w:hAnsi="宋体" w:eastAsia="宋体" w:cs="宋体"/>
          <w:b/>
          <w:i w:val="0"/>
          <w:caps w:val="0"/>
          <w:color w:val="000000"/>
          <w:spacing w:val="0"/>
          <w:sz w:val="32"/>
          <w:szCs w:val="32"/>
        </w:rPr>
        <w:t>（二）存在的问题及原因分析</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r>
        <w:rPr>
          <w:rFonts w:ascii="宋体" w:hAnsi="宋体" w:eastAsia="宋体" w:cs="宋体"/>
          <w:i w:val="0"/>
          <w:caps w:val="0"/>
          <w:color w:val="000000"/>
          <w:spacing w:val="0"/>
          <w:sz w:val="32"/>
          <w:szCs w:val="32"/>
        </w:rPr>
        <w:t>应压缩不必要性开支。</w:t>
      </w:r>
    </w:p>
    <w:p>
      <w:pPr>
        <w:pStyle w:val="2"/>
        <w:keepNext w:val="0"/>
        <w:keepLines w:val="0"/>
        <w:widowControl/>
        <w:suppressLineNumbers w:val="0"/>
        <w:spacing w:before="0" w:beforeAutospacing="0" w:after="1" w:afterAutospacing="0"/>
        <w:ind w:left="0" w:right="0" w:firstLine="0"/>
        <w:rPr>
          <w:rFonts w:hint="default" w:ascii="Tahoma" w:hAnsi="Tahoma" w:eastAsia="Tahoma" w:cs="Tahoma"/>
          <w:i w:val="0"/>
          <w:caps w:val="0"/>
          <w:color w:val="000000"/>
          <w:spacing w:val="0"/>
          <w:sz w:val="14"/>
          <w:szCs w:val="14"/>
        </w:rPr>
      </w:pP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caps w:val="0"/>
          <w:color w:val="000000"/>
          <w:spacing w:val="0"/>
          <w:sz w:val="27"/>
          <w:szCs w:val="27"/>
        </w:rPr>
      </w:pPr>
    </w:p>
    <w:p>
      <w:pPr>
        <w:keepNext w:val="0"/>
        <w:keepLines w:val="0"/>
        <w:widowControl/>
        <w:suppressLineNumbers w:val="0"/>
        <w:spacing w:before="60" w:beforeAutospacing="0" w:after="60" w:afterAutospacing="0"/>
        <w:ind w:left="0" w:right="0" w:firstLine="0"/>
        <w:jc w:val="both"/>
        <w:rPr>
          <w:rFonts w:ascii="font-size:10.5pt;text-indent:32pt;margin-top:0pt;margin-bottom:0" w:hAnsi="font-size:10.5pt;text-indent:32pt;margin-top:0pt;margin-bottom:0" w:eastAsia="font-size:10.5pt;text-indent:32pt;margin-top:0pt;margin-bottom:0" w:cs="font-size:10.5pt;text-indent:32pt;margin-top:0pt;margin-bottom:0"/>
          <w:i w:val="0"/>
          <w:caps w:val="0"/>
          <w:color w:val="000000"/>
          <w:spacing w:val="0"/>
          <w:sz w:val="14"/>
          <w:szCs w:val="14"/>
        </w:rPr>
      </w:pPr>
    </w:p>
    <w:p>
      <w:pPr>
        <w:keepNext w:val="0"/>
        <w:keepLines w:val="0"/>
        <w:widowControl/>
        <w:suppressLineNumbers w:val="0"/>
        <w:spacing w:before="0" w:beforeAutospacing="0" w:after="1" w:afterAutospacing="0"/>
        <w:ind w:left="0" w:right="0" w:firstLine="0"/>
        <w:jc w:val="center"/>
        <w:rPr>
          <w:rFonts w:hint="default" w:ascii="Tahoma" w:hAnsi="Tahoma" w:eastAsia="Tahoma" w:cs="Tahoma"/>
          <w:i w:val="0"/>
          <w:caps w:val="0"/>
          <w:color w:val="000000"/>
          <w:spacing w:val="0"/>
          <w:sz w:val="21"/>
          <w:szCs w:val="21"/>
        </w:rPr>
      </w:pPr>
      <w:r>
        <w:rPr>
          <w:rFonts w:ascii="宋体" w:hAnsi="宋体" w:eastAsia="宋体" w:cs="宋体"/>
          <w:b/>
          <w:i w:val="0"/>
          <w:caps w:val="0"/>
          <w:color w:val="000000"/>
          <w:spacing w:val="0"/>
          <w:kern w:val="0"/>
          <w:sz w:val="36"/>
          <w:szCs w:val="36"/>
          <w:lang w:val="en-US" w:eastAsia="zh-CN" w:bidi="ar"/>
        </w:rPr>
        <w:t>第四部分</w:t>
      </w:r>
      <w:r>
        <w:rPr>
          <w:rFonts w:hint="eastAsia" w:ascii="宋体" w:hAnsi="宋体" w:eastAsia="宋体" w:cs="宋体"/>
          <w:b/>
          <w:i w:val="0"/>
          <w:caps w:val="0"/>
          <w:color w:val="000000"/>
          <w:spacing w:val="0"/>
          <w:kern w:val="0"/>
          <w:sz w:val="36"/>
          <w:szCs w:val="36"/>
          <w:lang w:val="en-US" w:eastAsia="zh-CN" w:bidi="ar"/>
        </w:rPr>
        <w:t> </w:t>
      </w:r>
      <w:r>
        <w:rPr>
          <w:rFonts w:ascii="宋体" w:hAnsi="宋体" w:eastAsia="宋体" w:cs="宋体"/>
          <w:b/>
          <w:i w:val="0"/>
          <w:caps w:val="0"/>
          <w:color w:val="000000"/>
          <w:spacing w:val="0"/>
          <w:kern w:val="0"/>
          <w:sz w:val="36"/>
          <w:szCs w:val="36"/>
          <w:lang w:val="en-US" w:eastAsia="zh-CN" w:bidi="ar"/>
        </w:rPr>
        <w:t>名词解释</w:t>
      </w:r>
    </w:p>
    <w:p>
      <w:pPr>
        <w:keepNext w:val="0"/>
        <w:keepLines w:val="0"/>
        <w:widowControl/>
        <w:suppressLineNumbers w:val="0"/>
        <w:spacing w:before="0" w:beforeAutospacing="0" w:after="1" w:afterAutospacing="0" w:line="336" w:lineRule="atLeast"/>
        <w:ind w:left="0" w:right="0" w:firstLine="643"/>
        <w:jc w:val="left"/>
        <w:rPr>
          <w:rFonts w:ascii="Calibri" w:hAnsi="Calibri" w:cs="Calibri"/>
          <w:i w:val="0"/>
          <w:caps w:val="0"/>
          <w:color w:val="000000"/>
          <w:spacing w:val="0"/>
          <w:sz w:val="21"/>
          <w:szCs w:val="21"/>
        </w:rPr>
      </w:pPr>
      <w:r>
        <w:rPr>
          <w:rFonts w:ascii="宋体" w:hAnsi="宋体" w:eastAsia="宋体" w:cs="宋体"/>
          <w:b/>
          <w:i w:val="0"/>
          <w:caps w:val="0"/>
          <w:color w:val="000000"/>
          <w:spacing w:val="0"/>
          <w:kern w:val="0"/>
          <w:sz w:val="32"/>
          <w:szCs w:val="32"/>
          <w:lang w:val="en-US" w:eastAsia="zh-CN" w:bidi="ar"/>
        </w:rPr>
        <w:t>财政拨款收入</w:t>
      </w:r>
      <w:r>
        <w:rPr>
          <w:rFonts w:ascii="宋体" w:hAnsi="宋体" w:eastAsia="宋体" w:cs="宋体"/>
          <w:i w:val="0"/>
          <w:caps w:val="0"/>
          <w:color w:val="000000"/>
          <w:spacing w:val="0"/>
          <w:kern w:val="0"/>
          <w:sz w:val="32"/>
          <w:szCs w:val="32"/>
          <w:lang w:val="en-US" w:eastAsia="zh-CN" w:bidi="ar"/>
        </w:rPr>
        <w:t>：指财政当年拨付的资金。包括一般公共预算财政拨款和政府性基金财政拨款。</w:t>
      </w:r>
    </w:p>
    <w:p>
      <w:pPr>
        <w:keepNext w:val="0"/>
        <w:keepLines w:val="0"/>
        <w:widowControl/>
        <w:suppressLineNumbers w:val="0"/>
        <w:spacing w:before="0" w:beforeAutospacing="0" w:after="1" w:afterAutospacing="0" w:line="336" w:lineRule="atLeast"/>
        <w:ind w:left="0" w:right="0" w:firstLine="643"/>
        <w:jc w:val="left"/>
        <w:rPr>
          <w:rFonts w:hint="default" w:ascii="Calibri" w:hAnsi="Calibri" w:cs="Calibri"/>
          <w:i w:val="0"/>
          <w:caps w:val="0"/>
          <w:color w:val="000000"/>
          <w:spacing w:val="0"/>
          <w:sz w:val="21"/>
          <w:szCs w:val="21"/>
        </w:rPr>
      </w:pPr>
      <w:r>
        <w:rPr>
          <w:rFonts w:ascii="宋体" w:hAnsi="宋体" w:eastAsia="宋体" w:cs="宋体"/>
          <w:b/>
          <w:i w:val="0"/>
          <w:caps w:val="0"/>
          <w:color w:val="000000"/>
          <w:spacing w:val="0"/>
          <w:kern w:val="0"/>
          <w:sz w:val="32"/>
          <w:szCs w:val="32"/>
          <w:lang w:val="en-US" w:eastAsia="zh-CN" w:bidi="ar"/>
        </w:rPr>
        <w:t>上级补助收入</w:t>
      </w:r>
      <w:r>
        <w:rPr>
          <w:rFonts w:ascii="宋体" w:hAnsi="宋体" w:eastAsia="宋体" w:cs="宋体"/>
          <w:i w:val="0"/>
          <w:caps w:val="0"/>
          <w:color w:val="000000"/>
          <w:spacing w:val="0"/>
          <w:kern w:val="0"/>
          <w:sz w:val="32"/>
          <w:szCs w:val="32"/>
          <w:lang w:val="en-US" w:eastAsia="zh-CN" w:bidi="ar"/>
        </w:rPr>
        <w:t>：指事业单位从主管部门和上级单位取得的非财政补助收入。</w:t>
      </w:r>
    </w:p>
    <w:p>
      <w:pPr>
        <w:keepNext w:val="0"/>
        <w:keepLines w:val="0"/>
        <w:widowControl/>
        <w:suppressLineNumbers w:val="0"/>
        <w:spacing w:before="0" w:beforeAutospacing="0" w:after="1" w:afterAutospacing="0" w:line="336" w:lineRule="atLeast"/>
        <w:ind w:left="0" w:right="0" w:firstLine="643"/>
        <w:jc w:val="left"/>
        <w:rPr>
          <w:rFonts w:hint="default" w:ascii="Calibri" w:hAnsi="Calibri" w:cs="Calibri"/>
          <w:i w:val="0"/>
          <w:caps w:val="0"/>
          <w:color w:val="000000"/>
          <w:spacing w:val="0"/>
          <w:sz w:val="21"/>
          <w:szCs w:val="21"/>
        </w:rPr>
      </w:pPr>
      <w:r>
        <w:rPr>
          <w:rFonts w:ascii="宋体" w:hAnsi="宋体" w:eastAsia="宋体" w:cs="宋体"/>
          <w:b/>
          <w:i w:val="0"/>
          <w:caps w:val="0"/>
          <w:color w:val="000000"/>
          <w:spacing w:val="0"/>
          <w:kern w:val="0"/>
          <w:sz w:val="32"/>
          <w:szCs w:val="32"/>
          <w:lang w:val="en-US" w:eastAsia="zh-CN" w:bidi="ar"/>
        </w:rPr>
        <w:t>事业收入：</w:t>
      </w:r>
      <w:r>
        <w:rPr>
          <w:rFonts w:ascii="宋体" w:hAnsi="宋体" w:eastAsia="宋体" w:cs="宋体"/>
          <w:i w:val="0"/>
          <w:caps w:val="0"/>
          <w:color w:val="000000"/>
          <w:spacing w:val="0"/>
          <w:kern w:val="0"/>
          <w:sz w:val="32"/>
          <w:szCs w:val="32"/>
          <w:lang w:val="en-US" w:eastAsia="zh-CN" w:bidi="ar"/>
        </w:rPr>
        <w:t>指事业单位开展专业业务活动及辅助活动所取得的收入。</w:t>
      </w:r>
    </w:p>
    <w:p>
      <w:pPr>
        <w:keepNext w:val="0"/>
        <w:keepLines w:val="0"/>
        <w:widowControl/>
        <w:suppressLineNumbers w:val="0"/>
        <w:spacing w:before="0" w:beforeAutospacing="0" w:after="1" w:afterAutospacing="0" w:line="336" w:lineRule="atLeast"/>
        <w:ind w:left="0" w:right="0" w:firstLine="643"/>
        <w:jc w:val="left"/>
        <w:rPr>
          <w:rFonts w:hint="default" w:ascii="Calibri" w:hAnsi="Calibri" w:cs="Calibri"/>
          <w:i w:val="0"/>
          <w:caps w:val="0"/>
          <w:color w:val="000000"/>
          <w:spacing w:val="0"/>
          <w:sz w:val="21"/>
          <w:szCs w:val="21"/>
        </w:rPr>
      </w:pPr>
      <w:r>
        <w:rPr>
          <w:rFonts w:ascii="宋体" w:hAnsi="宋体" w:eastAsia="宋体" w:cs="宋体"/>
          <w:b/>
          <w:i w:val="0"/>
          <w:caps w:val="0"/>
          <w:color w:val="000000"/>
          <w:spacing w:val="0"/>
          <w:kern w:val="0"/>
          <w:sz w:val="32"/>
          <w:szCs w:val="32"/>
          <w:lang w:val="en-US" w:eastAsia="zh-CN" w:bidi="ar"/>
        </w:rPr>
        <w:t>经营收入：</w:t>
      </w:r>
      <w:r>
        <w:rPr>
          <w:rFonts w:ascii="宋体" w:hAnsi="宋体" w:eastAsia="宋体" w:cs="宋体"/>
          <w:i w:val="0"/>
          <w:caps w:val="0"/>
          <w:color w:val="000000"/>
          <w:spacing w:val="0"/>
          <w:kern w:val="0"/>
          <w:sz w:val="32"/>
          <w:szCs w:val="32"/>
          <w:lang w:val="en-US" w:eastAsia="zh-CN" w:bidi="ar"/>
        </w:rPr>
        <w:t>指事业单位在专业业务活动及其辅助活动之外开展非独立核算经营活动取得的收入。</w:t>
      </w:r>
    </w:p>
    <w:p>
      <w:pPr>
        <w:keepNext w:val="0"/>
        <w:keepLines w:val="0"/>
        <w:widowControl/>
        <w:suppressLineNumbers w:val="0"/>
        <w:spacing w:before="0" w:beforeAutospacing="0" w:after="1" w:afterAutospacing="0" w:line="336" w:lineRule="atLeast"/>
        <w:ind w:left="0" w:right="0" w:firstLine="643"/>
        <w:jc w:val="left"/>
        <w:rPr>
          <w:rFonts w:hint="default" w:ascii="Calibri" w:hAnsi="Calibri" w:cs="Calibri"/>
          <w:i w:val="0"/>
          <w:caps w:val="0"/>
          <w:color w:val="000000"/>
          <w:spacing w:val="0"/>
          <w:sz w:val="21"/>
          <w:szCs w:val="21"/>
        </w:rPr>
      </w:pPr>
      <w:r>
        <w:rPr>
          <w:rFonts w:ascii="宋体" w:hAnsi="宋体" w:eastAsia="宋体" w:cs="宋体"/>
          <w:b/>
          <w:i w:val="0"/>
          <w:caps w:val="0"/>
          <w:color w:val="000000"/>
          <w:spacing w:val="0"/>
          <w:kern w:val="0"/>
          <w:sz w:val="32"/>
          <w:szCs w:val="32"/>
          <w:lang w:val="en-US" w:eastAsia="zh-CN" w:bidi="ar"/>
        </w:rPr>
        <w:t>附属单位上缴收入</w:t>
      </w:r>
      <w:r>
        <w:rPr>
          <w:rFonts w:ascii="宋体" w:hAnsi="宋体" w:eastAsia="宋体" w:cs="宋体"/>
          <w:i w:val="0"/>
          <w:caps w:val="0"/>
          <w:color w:val="000000"/>
          <w:spacing w:val="0"/>
          <w:kern w:val="0"/>
          <w:sz w:val="32"/>
          <w:szCs w:val="32"/>
          <w:lang w:val="en-US" w:eastAsia="zh-CN" w:bidi="ar"/>
        </w:rPr>
        <w:t>：指事业单位附属独立核算单位按照有关规定上缴的收入。</w:t>
      </w:r>
    </w:p>
    <w:p>
      <w:pPr>
        <w:keepNext w:val="0"/>
        <w:keepLines w:val="0"/>
        <w:widowControl/>
        <w:suppressLineNumbers w:val="0"/>
        <w:spacing w:before="0" w:beforeAutospacing="0" w:after="1" w:afterAutospacing="0" w:line="336" w:lineRule="atLeast"/>
        <w:ind w:left="0" w:right="0" w:firstLine="643"/>
        <w:jc w:val="left"/>
        <w:rPr>
          <w:rFonts w:hint="default" w:ascii="Calibri" w:hAnsi="Calibri" w:cs="Calibri"/>
          <w:i w:val="0"/>
          <w:caps w:val="0"/>
          <w:color w:val="000000"/>
          <w:spacing w:val="0"/>
          <w:sz w:val="21"/>
          <w:szCs w:val="21"/>
        </w:rPr>
      </w:pPr>
      <w:r>
        <w:rPr>
          <w:rFonts w:ascii="宋体" w:hAnsi="宋体" w:eastAsia="宋体" w:cs="宋体"/>
          <w:b/>
          <w:i w:val="0"/>
          <w:caps w:val="0"/>
          <w:color w:val="000000"/>
          <w:spacing w:val="0"/>
          <w:kern w:val="0"/>
          <w:sz w:val="32"/>
          <w:szCs w:val="32"/>
          <w:lang w:val="en-US" w:eastAsia="zh-CN" w:bidi="ar"/>
        </w:rPr>
        <w:t>其他收入</w:t>
      </w:r>
      <w:r>
        <w:rPr>
          <w:rFonts w:ascii="宋体" w:hAnsi="宋体" w:eastAsia="宋体" w:cs="宋体"/>
          <w:i w:val="0"/>
          <w:caps w:val="0"/>
          <w:color w:val="000000"/>
          <w:spacing w:val="0"/>
          <w:kern w:val="0"/>
          <w:sz w:val="32"/>
          <w:szCs w:val="32"/>
          <w:lang w:val="en-US" w:eastAsia="zh-CN" w:bidi="ar"/>
        </w:rPr>
        <w:t>：指除上述“财政拨款收入”、“事业收入”、“经营收入”等以外的收入。</w:t>
      </w:r>
    </w:p>
    <w:p>
      <w:pPr>
        <w:keepNext w:val="0"/>
        <w:keepLines w:val="0"/>
        <w:widowControl/>
        <w:suppressLineNumbers w:val="0"/>
        <w:spacing w:before="0" w:beforeAutospacing="0" w:after="1" w:afterAutospacing="0" w:line="336" w:lineRule="atLeast"/>
        <w:ind w:left="0" w:right="0" w:firstLine="643"/>
        <w:jc w:val="left"/>
        <w:rPr>
          <w:rFonts w:hint="default" w:ascii="Calibri" w:hAnsi="Calibri" w:cs="Calibri"/>
          <w:i w:val="0"/>
          <w:caps w:val="0"/>
          <w:color w:val="000000"/>
          <w:spacing w:val="0"/>
          <w:sz w:val="21"/>
          <w:szCs w:val="21"/>
        </w:rPr>
      </w:pPr>
      <w:r>
        <w:rPr>
          <w:rFonts w:ascii="宋体" w:hAnsi="宋体" w:eastAsia="宋体" w:cs="宋体"/>
          <w:b/>
          <w:i w:val="0"/>
          <w:caps w:val="0"/>
          <w:color w:val="000000"/>
          <w:spacing w:val="0"/>
          <w:kern w:val="0"/>
          <w:sz w:val="32"/>
          <w:szCs w:val="32"/>
          <w:lang w:val="en-US" w:eastAsia="zh-CN" w:bidi="ar"/>
        </w:rPr>
        <w:t>用事业基金弥补收支差额</w:t>
      </w:r>
      <w:r>
        <w:rPr>
          <w:rFonts w:ascii="宋体" w:hAnsi="宋体" w:eastAsia="宋体" w:cs="宋体"/>
          <w:i w:val="0"/>
          <w:caps w:val="0"/>
          <w:color w:val="000000"/>
          <w:spacing w:val="0"/>
          <w:kern w:val="0"/>
          <w:sz w:val="32"/>
          <w:szCs w:val="32"/>
          <w:lang w:val="en-US" w:eastAsia="zh-CN" w:bidi="ar"/>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spacing w:before="0" w:beforeAutospacing="0" w:after="1" w:afterAutospacing="0" w:line="336" w:lineRule="atLeast"/>
        <w:ind w:left="0" w:right="0" w:firstLine="643"/>
        <w:jc w:val="left"/>
        <w:rPr>
          <w:rFonts w:hint="default" w:ascii="Calibri" w:hAnsi="Calibri" w:cs="Calibri"/>
          <w:i w:val="0"/>
          <w:caps w:val="0"/>
          <w:color w:val="000000"/>
          <w:spacing w:val="0"/>
          <w:sz w:val="21"/>
          <w:szCs w:val="21"/>
        </w:rPr>
      </w:pPr>
      <w:r>
        <w:rPr>
          <w:rFonts w:ascii="宋体" w:hAnsi="宋体" w:eastAsia="宋体" w:cs="宋体"/>
          <w:b/>
          <w:i w:val="0"/>
          <w:caps w:val="0"/>
          <w:color w:val="000000"/>
          <w:spacing w:val="0"/>
          <w:kern w:val="0"/>
          <w:sz w:val="32"/>
          <w:szCs w:val="32"/>
          <w:lang w:val="en-US" w:eastAsia="zh-CN" w:bidi="ar"/>
        </w:rPr>
        <w:t>年初结转和结余</w:t>
      </w:r>
      <w:r>
        <w:rPr>
          <w:rFonts w:ascii="宋体" w:hAnsi="宋体" w:eastAsia="宋体" w:cs="宋体"/>
          <w:i w:val="0"/>
          <w:caps w:val="0"/>
          <w:color w:val="000000"/>
          <w:spacing w:val="0"/>
          <w:kern w:val="0"/>
          <w:sz w:val="32"/>
          <w:szCs w:val="32"/>
          <w:lang w:val="en-US" w:eastAsia="zh-CN" w:bidi="ar"/>
        </w:rPr>
        <w:t>：指以前年度尚未完成、结转到本年按有关规定继续使用的资金。</w:t>
      </w:r>
    </w:p>
    <w:p>
      <w:pPr>
        <w:keepNext w:val="0"/>
        <w:keepLines w:val="0"/>
        <w:widowControl/>
        <w:suppressLineNumbers w:val="0"/>
        <w:spacing w:before="0" w:beforeAutospacing="0" w:after="1" w:afterAutospacing="0" w:line="336" w:lineRule="atLeast"/>
        <w:ind w:left="0" w:right="0" w:firstLine="643"/>
        <w:jc w:val="left"/>
        <w:rPr>
          <w:rFonts w:hint="default" w:ascii="Calibri" w:hAnsi="Calibri" w:cs="Calibri"/>
          <w:i w:val="0"/>
          <w:caps w:val="0"/>
          <w:color w:val="000000"/>
          <w:spacing w:val="0"/>
          <w:sz w:val="21"/>
          <w:szCs w:val="21"/>
        </w:rPr>
      </w:pPr>
      <w:r>
        <w:rPr>
          <w:rFonts w:ascii="宋体" w:hAnsi="宋体" w:eastAsia="宋体" w:cs="宋体"/>
          <w:b/>
          <w:i w:val="0"/>
          <w:caps w:val="0"/>
          <w:color w:val="000000"/>
          <w:spacing w:val="0"/>
          <w:kern w:val="0"/>
          <w:sz w:val="32"/>
          <w:szCs w:val="32"/>
          <w:lang w:val="en-US" w:eastAsia="zh-CN" w:bidi="ar"/>
        </w:rPr>
        <w:t>结余分配</w:t>
      </w:r>
      <w:r>
        <w:rPr>
          <w:rFonts w:ascii="宋体" w:hAnsi="宋体" w:eastAsia="宋体" w:cs="宋体"/>
          <w:i w:val="0"/>
          <w:caps w:val="0"/>
          <w:color w:val="000000"/>
          <w:spacing w:val="0"/>
          <w:kern w:val="0"/>
          <w:sz w:val="32"/>
          <w:szCs w:val="32"/>
          <w:lang w:val="en-US" w:eastAsia="zh-CN" w:bidi="ar"/>
        </w:rPr>
        <w:t>：指事业单位按规定从非财政补助结余中分配的事业基金和职工福利基金等。</w:t>
      </w:r>
    </w:p>
    <w:p>
      <w:pPr>
        <w:keepNext w:val="0"/>
        <w:keepLines w:val="0"/>
        <w:widowControl/>
        <w:suppressLineNumbers w:val="0"/>
        <w:spacing w:before="0" w:beforeAutospacing="0" w:after="1" w:afterAutospacing="0" w:line="336" w:lineRule="atLeast"/>
        <w:ind w:left="0" w:right="0" w:firstLine="643"/>
        <w:jc w:val="left"/>
        <w:rPr>
          <w:rFonts w:hint="default" w:ascii="Calibri" w:hAnsi="Calibri" w:cs="Calibri"/>
          <w:i w:val="0"/>
          <w:caps w:val="0"/>
          <w:color w:val="000000"/>
          <w:spacing w:val="0"/>
          <w:sz w:val="21"/>
          <w:szCs w:val="21"/>
        </w:rPr>
      </w:pPr>
      <w:r>
        <w:rPr>
          <w:rFonts w:ascii="宋体" w:hAnsi="宋体" w:eastAsia="宋体" w:cs="宋体"/>
          <w:b/>
          <w:i w:val="0"/>
          <w:caps w:val="0"/>
          <w:color w:val="000000"/>
          <w:spacing w:val="0"/>
          <w:kern w:val="0"/>
          <w:sz w:val="32"/>
          <w:szCs w:val="32"/>
          <w:lang w:val="en-US" w:eastAsia="zh-CN" w:bidi="ar"/>
        </w:rPr>
        <w:t>年末结转和结余</w:t>
      </w:r>
      <w:r>
        <w:rPr>
          <w:rFonts w:ascii="宋体" w:hAnsi="宋体" w:eastAsia="宋体" w:cs="宋体"/>
          <w:i w:val="0"/>
          <w:caps w:val="0"/>
          <w:color w:val="000000"/>
          <w:spacing w:val="0"/>
          <w:kern w:val="0"/>
          <w:sz w:val="32"/>
          <w:szCs w:val="32"/>
          <w:lang w:val="en-US" w:eastAsia="zh-CN" w:bidi="ar"/>
        </w:rPr>
        <w:t>：指本年度或以前年度预算安排、因客观条件发生变化无法按原计划实施，需要延迟到以后年度按有关规定继续使用的资金。</w:t>
      </w:r>
    </w:p>
    <w:p>
      <w:pPr>
        <w:keepNext w:val="0"/>
        <w:keepLines w:val="0"/>
        <w:widowControl/>
        <w:suppressLineNumbers w:val="0"/>
        <w:spacing w:before="0" w:beforeAutospacing="0" w:after="1" w:afterAutospacing="0" w:line="336" w:lineRule="atLeast"/>
        <w:ind w:left="0" w:right="0" w:firstLine="643"/>
        <w:jc w:val="left"/>
        <w:rPr>
          <w:rFonts w:hint="default" w:ascii="Calibri" w:hAnsi="Calibri" w:cs="Calibri"/>
          <w:i w:val="0"/>
          <w:caps w:val="0"/>
          <w:color w:val="000000"/>
          <w:spacing w:val="0"/>
          <w:sz w:val="21"/>
          <w:szCs w:val="21"/>
        </w:rPr>
      </w:pPr>
      <w:r>
        <w:rPr>
          <w:rFonts w:ascii="宋体" w:hAnsi="宋体" w:eastAsia="宋体" w:cs="宋体"/>
          <w:b/>
          <w:i w:val="0"/>
          <w:caps w:val="0"/>
          <w:color w:val="000000"/>
          <w:spacing w:val="0"/>
          <w:kern w:val="0"/>
          <w:sz w:val="32"/>
          <w:szCs w:val="32"/>
          <w:lang w:val="en-US" w:eastAsia="zh-CN" w:bidi="ar"/>
        </w:rPr>
        <w:t>基本支出</w:t>
      </w:r>
      <w:r>
        <w:rPr>
          <w:rFonts w:ascii="宋体" w:hAnsi="宋体" w:eastAsia="宋体" w:cs="宋体"/>
          <w:i w:val="0"/>
          <w:caps w:val="0"/>
          <w:color w:val="000000"/>
          <w:spacing w:val="0"/>
          <w:kern w:val="0"/>
          <w:sz w:val="32"/>
          <w:szCs w:val="32"/>
          <w:lang w:val="en-US" w:eastAsia="zh-CN" w:bidi="ar"/>
        </w:rPr>
        <w:t>：指为保障机构正常运转、完成日常工作任务而发生的人员支出和公用支出。</w:t>
      </w:r>
    </w:p>
    <w:p>
      <w:pPr>
        <w:keepNext w:val="0"/>
        <w:keepLines w:val="0"/>
        <w:widowControl/>
        <w:suppressLineNumbers w:val="0"/>
        <w:spacing w:before="0" w:beforeAutospacing="0" w:after="1" w:afterAutospacing="0" w:line="336" w:lineRule="atLeast"/>
        <w:ind w:left="0" w:right="0" w:firstLine="643"/>
        <w:jc w:val="left"/>
        <w:rPr>
          <w:rFonts w:hint="default" w:ascii="Calibri" w:hAnsi="Calibri" w:cs="Calibri"/>
          <w:i w:val="0"/>
          <w:caps w:val="0"/>
          <w:color w:val="000000"/>
          <w:spacing w:val="0"/>
          <w:sz w:val="21"/>
          <w:szCs w:val="21"/>
        </w:rPr>
      </w:pPr>
      <w:r>
        <w:rPr>
          <w:rFonts w:ascii="宋体" w:hAnsi="宋体" w:eastAsia="宋体" w:cs="宋体"/>
          <w:b/>
          <w:i w:val="0"/>
          <w:caps w:val="0"/>
          <w:color w:val="000000"/>
          <w:spacing w:val="0"/>
          <w:kern w:val="0"/>
          <w:sz w:val="32"/>
          <w:szCs w:val="32"/>
          <w:lang w:val="en-US" w:eastAsia="zh-CN" w:bidi="ar"/>
        </w:rPr>
        <w:t>项目支出</w:t>
      </w:r>
      <w:r>
        <w:rPr>
          <w:rFonts w:ascii="宋体" w:hAnsi="宋体" w:eastAsia="宋体" w:cs="宋体"/>
          <w:i w:val="0"/>
          <w:caps w:val="0"/>
          <w:color w:val="000000"/>
          <w:spacing w:val="0"/>
          <w:kern w:val="0"/>
          <w:sz w:val="32"/>
          <w:szCs w:val="32"/>
          <w:lang w:val="en-US" w:eastAsia="zh-CN" w:bidi="ar"/>
        </w:rPr>
        <w:t>：指在基本支出之外为完成特定行政任务和事业发展目标所发生的支出。</w:t>
      </w:r>
    </w:p>
    <w:p>
      <w:pPr>
        <w:keepNext w:val="0"/>
        <w:keepLines w:val="0"/>
        <w:widowControl/>
        <w:suppressLineNumbers w:val="0"/>
        <w:spacing w:before="0" w:beforeAutospacing="0" w:after="1" w:afterAutospacing="0" w:line="336" w:lineRule="atLeast"/>
        <w:ind w:left="0" w:right="0" w:firstLine="643"/>
        <w:jc w:val="left"/>
        <w:rPr>
          <w:rFonts w:hint="default" w:ascii="Calibri" w:hAnsi="Calibri" w:cs="Calibri"/>
          <w:i w:val="0"/>
          <w:caps w:val="0"/>
          <w:color w:val="000000"/>
          <w:spacing w:val="0"/>
          <w:sz w:val="21"/>
          <w:szCs w:val="21"/>
        </w:rPr>
      </w:pPr>
      <w:r>
        <w:rPr>
          <w:rFonts w:ascii="宋体" w:hAnsi="宋体" w:eastAsia="宋体" w:cs="宋体"/>
          <w:b/>
          <w:i w:val="0"/>
          <w:caps w:val="0"/>
          <w:color w:val="000000"/>
          <w:spacing w:val="0"/>
          <w:kern w:val="0"/>
          <w:sz w:val="32"/>
          <w:szCs w:val="32"/>
          <w:lang w:val="en-US" w:eastAsia="zh-CN" w:bidi="ar"/>
        </w:rPr>
        <w:t>经营支出</w:t>
      </w:r>
      <w:r>
        <w:rPr>
          <w:rFonts w:ascii="宋体" w:hAnsi="宋体" w:eastAsia="宋体" w:cs="宋体"/>
          <w:i w:val="0"/>
          <w:caps w:val="0"/>
          <w:color w:val="000000"/>
          <w:spacing w:val="0"/>
          <w:kern w:val="0"/>
          <w:sz w:val="32"/>
          <w:szCs w:val="32"/>
          <w:lang w:val="en-US" w:eastAsia="zh-CN" w:bidi="ar"/>
        </w:rPr>
        <w:t>：指事业单位在专业业务活动及其辅助活动之外开展非独立核算经营活动所发生的支出。</w:t>
      </w:r>
    </w:p>
    <w:p>
      <w:pPr>
        <w:keepNext w:val="0"/>
        <w:keepLines w:val="0"/>
        <w:widowControl/>
        <w:suppressLineNumbers w:val="0"/>
        <w:spacing w:before="0" w:beforeAutospacing="0" w:after="1" w:afterAutospacing="0" w:line="336" w:lineRule="atLeast"/>
        <w:ind w:left="0" w:right="0" w:firstLine="643"/>
        <w:jc w:val="left"/>
        <w:rPr>
          <w:rFonts w:hint="default" w:ascii="Calibri" w:hAnsi="Calibri" w:cs="Calibri"/>
          <w:i w:val="0"/>
          <w:caps w:val="0"/>
          <w:color w:val="000000"/>
          <w:spacing w:val="0"/>
          <w:sz w:val="21"/>
          <w:szCs w:val="21"/>
        </w:rPr>
      </w:pPr>
      <w:r>
        <w:rPr>
          <w:rFonts w:ascii="宋体" w:hAnsi="宋体" w:eastAsia="宋体" w:cs="宋体"/>
          <w:b/>
          <w:i w:val="0"/>
          <w:caps w:val="0"/>
          <w:color w:val="000000"/>
          <w:spacing w:val="0"/>
          <w:kern w:val="0"/>
          <w:sz w:val="32"/>
          <w:szCs w:val="32"/>
          <w:lang w:val="en-US" w:eastAsia="zh-CN" w:bidi="ar"/>
        </w:rPr>
        <w:t>“三公”经费</w:t>
      </w:r>
      <w:r>
        <w:rPr>
          <w:rFonts w:ascii="宋体" w:hAnsi="宋体" w:eastAsia="宋体" w:cs="宋体"/>
          <w:i w:val="0"/>
          <w:caps w:val="0"/>
          <w:color w:val="000000"/>
          <w:spacing w:val="0"/>
          <w:kern w:val="0"/>
          <w:sz w:val="32"/>
          <w:szCs w:val="32"/>
          <w:lang w:val="en-US" w:eastAsia="zh-CN" w:bidi="ar"/>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keepNext w:val="0"/>
        <w:keepLines w:val="0"/>
        <w:widowControl/>
        <w:suppressLineNumbers w:val="0"/>
        <w:spacing w:before="0" w:beforeAutospacing="0" w:after="1" w:afterAutospacing="0" w:line="336" w:lineRule="atLeast"/>
        <w:ind w:left="0" w:right="0" w:firstLine="643"/>
        <w:jc w:val="left"/>
        <w:rPr>
          <w:rFonts w:hint="default" w:ascii="Calibri" w:hAnsi="Calibri" w:cs="Calibri"/>
          <w:i w:val="0"/>
          <w:caps w:val="0"/>
          <w:color w:val="000000"/>
          <w:spacing w:val="0"/>
          <w:sz w:val="21"/>
          <w:szCs w:val="21"/>
        </w:rPr>
      </w:pPr>
      <w:r>
        <w:rPr>
          <w:rFonts w:ascii="宋体" w:hAnsi="宋体" w:eastAsia="宋体" w:cs="宋体"/>
          <w:b/>
          <w:i w:val="0"/>
          <w:caps w:val="0"/>
          <w:color w:val="000000"/>
          <w:spacing w:val="0"/>
          <w:kern w:val="0"/>
          <w:sz w:val="32"/>
          <w:szCs w:val="32"/>
          <w:lang w:val="en-US" w:eastAsia="zh-CN" w:bidi="ar"/>
        </w:rPr>
        <w:t>机关运行经费</w:t>
      </w:r>
      <w:r>
        <w:rPr>
          <w:rFonts w:ascii="宋体" w:hAnsi="宋体" w:eastAsia="宋体" w:cs="宋体"/>
          <w:i w:val="0"/>
          <w:caps w:val="0"/>
          <w:color w:val="000000"/>
          <w:spacing w:val="0"/>
          <w:kern w:val="0"/>
          <w:sz w:val="32"/>
          <w:szCs w:val="32"/>
          <w:lang w:val="en-US" w:eastAsia="zh-CN" w:bidi="ar"/>
        </w:rPr>
        <w:t>：指为保障行政单位（含参照公务员法管理的事业单位）运行用于购买货物和服务的各项资金，包括办公及印刷费、邮电费、差旅费、会</w:t>
      </w:r>
      <w:bookmarkStart w:id="0" w:name="_GoBack"/>
      <w:bookmarkEnd w:id="0"/>
      <w:r>
        <w:rPr>
          <w:rFonts w:ascii="宋体" w:hAnsi="宋体" w:eastAsia="宋体" w:cs="宋体"/>
          <w:i w:val="0"/>
          <w:caps w:val="0"/>
          <w:color w:val="000000"/>
          <w:spacing w:val="0"/>
          <w:kern w:val="0"/>
          <w:sz w:val="32"/>
          <w:szCs w:val="32"/>
          <w:lang w:val="en-US" w:eastAsia="zh-CN" w:bidi="ar"/>
        </w:rPr>
        <w:t>议费、福利费、日常维修费、专项材料及一般设备购置费、办公用房水电费、取暖费、物业管理费、公务用车运行维护费以及其他费用。</w:t>
      </w:r>
    </w:p>
    <w:p>
      <w:pPr>
        <w:keepNext w:val="0"/>
        <w:keepLines w:val="0"/>
        <w:widowControl/>
        <w:suppressLineNumbers w:val="0"/>
        <w:ind w:left="0" w:firstLine="0"/>
        <w:jc w:val="left"/>
        <w:rPr>
          <w:rFonts w:hint="default" w:ascii="Tahoma" w:hAnsi="Tahoma" w:eastAsia="Tahoma" w:cs="Tahoma"/>
          <w:i w:val="0"/>
          <w:caps w:val="0"/>
          <w:color w:val="000000"/>
          <w:spacing w:val="0"/>
          <w:sz w:val="14"/>
          <w:szCs w:val="14"/>
        </w:rPr>
      </w:pPr>
    </w:p>
    <w:p>
      <w:pPr>
        <w:keepNext w:val="0"/>
        <w:keepLines w:val="0"/>
        <w:widowControl/>
        <w:suppressLineNumbers w:val="0"/>
        <w:jc w:val="left"/>
      </w:pPr>
    </w:p>
    <w:p>
      <w:pPr>
        <w:pStyle w:val="2"/>
        <w:keepNext w:val="0"/>
        <w:keepLines w:val="0"/>
        <w:widowControl/>
        <w:suppressLineNumbers w:val="0"/>
        <w:spacing w:before="0" w:beforeAutospacing="0" w:after="1" w:afterAutospacing="0"/>
        <w:ind w:left="0" w:right="0" w:firstLine="0"/>
        <w:rPr>
          <w:rFonts w:hint="default" w:ascii="Tahoma" w:hAnsi="Tahoma" w:eastAsia="Tahoma" w:cs="Tahoma"/>
          <w:i w:val="0"/>
          <w:caps w:val="0"/>
          <w:color w:val="000000"/>
          <w:spacing w:val="0"/>
          <w:sz w:val="14"/>
          <w:szCs w:val="14"/>
        </w:rPr>
      </w:pPr>
    </w:p>
    <w:p>
      <w:pPr>
        <w:keepNext w:val="0"/>
        <w:keepLines w:val="0"/>
        <w:widowControl/>
        <w:suppressLineNumbers w:val="0"/>
        <w:spacing w:before="0" w:beforeAutospacing="0" w:after="1" w:afterAutospacing="0"/>
        <w:ind w:left="0" w:right="0" w:firstLine="0"/>
        <w:jc w:val="center"/>
        <w:rPr>
          <w:rFonts w:hint="default" w:ascii="Tahoma" w:hAnsi="Tahoma" w:eastAsia="Tahoma" w:cs="Tahoma"/>
          <w:i w:val="0"/>
          <w:caps w:val="0"/>
          <w:color w:val="000000"/>
          <w:spacing w:val="0"/>
          <w:sz w:val="21"/>
          <w:szCs w:val="21"/>
        </w:rPr>
      </w:pPr>
      <w:r>
        <w:rPr>
          <w:rFonts w:ascii="宋体" w:hAnsi="宋体" w:eastAsia="宋体" w:cs="宋体"/>
          <w:b/>
          <w:i w:val="0"/>
          <w:caps w:val="0"/>
          <w:color w:val="000000"/>
          <w:spacing w:val="0"/>
          <w:kern w:val="0"/>
          <w:sz w:val="36"/>
          <w:szCs w:val="36"/>
          <w:lang w:val="en-US" w:eastAsia="zh-CN" w:bidi="ar"/>
        </w:rPr>
        <w:t>第五部分</w:t>
      </w:r>
      <w:r>
        <w:rPr>
          <w:rFonts w:hint="eastAsia" w:ascii="宋体" w:hAnsi="宋体" w:eastAsia="宋体" w:cs="宋体"/>
          <w:b/>
          <w:i w:val="0"/>
          <w:caps w:val="0"/>
          <w:color w:val="000000"/>
          <w:spacing w:val="0"/>
          <w:kern w:val="0"/>
          <w:sz w:val="36"/>
          <w:szCs w:val="36"/>
          <w:lang w:val="en-US" w:eastAsia="zh-CN" w:bidi="ar"/>
        </w:rPr>
        <w:t> </w:t>
      </w:r>
      <w:r>
        <w:rPr>
          <w:rFonts w:ascii="宋体" w:hAnsi="宋体" w:eastAsia="宋体" w:cs="宋体"/>
          <w:b/>
          <w:i w:val="0"/>
          <w:caps w:val="0"/>
          <w:color w:val="000000"/>
          <w:spacing w:val="0"/>
          <w:kern w:val="0"/>
          <w:sz w:val="36"/>
          <w:szCs w:val="36"/>
          <w:lang w:val="en-US" w:eastAsia="zh-CN" w:bidi="ar"/>
        </w:rPr>
        <w:t>附件</w:t>
      </w:r>
    </w:p>
    <w:p>
      <w:pPr>
        <w:keepNext w:val="0"/>
        <w:keepLines w:val="0"/>
        <w:widowControl/>
        <w:suppressLineNumbers w:val="0"/>
        <w:spacing w:before="0" w:beforeAutospacing="0" w:after="1" w:afterAutospacing="0"/>
        <w:ind w:left="0" w:right="0" w:firstLine="0"/>
        <w:jc w:val="center"/>
        <w:rPr>
          <w:rFonts w:hint="default" w:ascii="Tahoma" w:hAnsi="Tahoma" w:eastAsia="Tahoma" w:cs="Tahoma"/>
          <w:i w:val="0"/>
          <w:caps w:val="0"/>
          <w:color w:val="000000"/>
          <w:spacing w:val="0"/>
          <w:sz w:val="21"/>
          <w:szCs w:val="21"/>
        </w:rPr>
      </w:pP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size:10.5pt;text-indent:32.05pt;margin-top:0pt;margin-bot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font-size:10.5pt;margin-top:0pt;margin-bottom:0.1;">
    <w:altName w:val="Segoe Print"/>
    <w:panose1 w:val="00000000000000000000"/>
    <w:charset w:val="00"/>
    <w:family w:val="auto"/>
    <w:pitch w:val="default"/>
    <w:sig w:usb0="00000000" w:usb1="00000000" w:usb2="00000000" w:usb3="00000000" w:csb0="00000000" w:csb1="00000000"/>
  </w:font>
  <w:font w:name="font-size:10.5pt;text-indent:32pt;margin-top:0pt;margin-bottom: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F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2023-11-30T02:04:11Z</dcterms:created>
  <dc:creator>tj</dc:creator>
  <cp:lastModifiedBy>tj</cp:lastModifiedBy>
  <dcterms:modified xsi:type="dcterms:W3CDTF">2023-11-30T02:04:27Z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