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32"/>
          <w:szCs w:val="32"/>
          <w:lang w:val="en-US" w:eastAsia="zh-CN" w:bidi="en-US"/>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en-US"/>
        </w:rPr>
        <w:t>1</w:t>
      </w:r>
      <w:r>
        <w:rPr>
          <w:rFonts w:hint="eastAsia" w:ascii="宋体" w:hAnsi="宋体" w:eastAsia="宋体" w:cs="宋体"/>
          <w:b w:val="0"/>
          <w:bCs w:val="0"/>
          <w:color w:val="000000"/>
          <w:spacing w:val="0"/>
          <w:w w:val="100"/>
          <w:position w:val="0"/>
          <w:sz w:val="24"/>
          <w:szCs w:val="24"/>
          <w:lang w:val="en-US" w:eastAsia="en-US" w:bidi="en-US"/>
        </w:rPr>
        <w:t>-1</w:t>
      </w:r>
      <w:bookmarkStart w:id="0" w:name="bookmark82"/>
      <w:bookmarkStart w:id="1" w:name="bookmark84"/>
      <w:bookmarkStart w:id="2" w:name="bookmark83"/>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32"/>
          <w:szCs w:val="32"/>
          <w:lang w:val="en-US" w:eastAsia="zh-CN" w:bidi="en-US"/>
        </w:rPr>
        <w:t xml:space="preserve"> </w:t>
      </w:r>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bookmarkEnd w:id="0"/>
      <w:bookmarkEnd w:id="1"/>
      <w:bookmarkEnd w:id="2"/>
    </w:p>
    <w:tbl>
      <w:tblPr>
        <w:tblStyle w:val="4"/>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 财政部门确定的部门决算编制口径为准。</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333" w:hRule="exact"/>
          <w:jc w:val="center"/>
        </w:trPr>
        <w:tc>
          <w:tcPr>
            <w:tcW w:w="349"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 成率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 xml:space="preserve">扣 </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 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w:t>
            </w:r>
          </w:p>
        </w:tc>
      </w:tr>
      <w:tr>
        <w:tblPrEx>
          <w:tblCellMar>
            <w:top w:w="0" w:type="dxa"/>
            <w:left w:w="10" w:type="dxa"/>
            <w:bottom w:w="0" w:type="dxa"/>
            <w:right w:w="10" w:type="dxa"/>
          </w:tblCellMar>
        </w:tblPrEx>
        <w:trPr>
          <w:trHeight w:val="1435"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822"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936" w:hRule="exact"/>
          <w:jc w:val="center"/>
        </w:trPr>
        <w:tc>
          <w:tcPr>
            <w:tcW w:w="349"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7.5</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5.5</w:t>
            </w:r>
          </w:p>
        </w:tc>
      </w:tr>
      <w:tr>
        <w:tblPrEx>
          <w:tblCellMar>
            <w:top w:w="0" w:type="dxa"/>
            <w:left w:w="10" w:type="dxa"/>
            <w:bottom w:w="0" w:type="dxa"/>
            <w:right w:w="10" w:type="dxa"/>
          </w:tblCellMar>
        </w:tblPrEx>
        <w:trPr>
          <w:trHeight w:val="226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 计核算制度等管理制度，2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7.5</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4"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 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821"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 强经费及资产管理，推动网 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 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bl>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24"/>
          <w:szCs w:val="24"/>
          <w:lang w:val="zh-CN" w:eastAsia="zh-CN" w:bidi="zh-CN"/>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zh-CN"/>
        </w:rPr>
        <w:t>1</w:t>
      </w:r>
      <w:r>
        <w:rPr>
          <w:rFonts w:hint="eastAsia" w:ascii="宋体" w:hAnsi="宋体" w:eastAsia="宋体" w:cs="宋体"/>
          <w:b w:val="0"/>
          <w:bCs w:val="0"/>
          <w:color w:val="000000"/>
          <w:spacing w:val="0"/>
          <w:w w:val="100"/>
          <w:position w:val="0"/>
          <w:sz w:val="24"/>
          <w:szCs w:val="24"/>
          <w:lang w:val="en-US" w:eastAsia="en-US" w:bidi="zh-CN"/>
        </w:rPr>
        <w:t>-2</w:t>
      </w:r>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3" w:name="bookmark87"/>
      <w:bookmarkStart w:id="4" w:name="bookmark85"/>
      <w:bookmarkStart w:id="5" w:name="bookmark86"/>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3"/>
      <w:bookmarkEnd w:id="4"/>
      <w:bookmarkEnd w:id="5"/>
    </w:p>
    <w:p>
      <w:pPr>
        <w:pStyle w:val="2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珠晖区卫生计生综合监督执法局</w:t>
      </w:r>
    </w:p>
    <w:tbl>
      <w:tblPr>
        <w:tblStyle w:val="4"/>
        <w:tblW w:w="9437" w:type="dxa"/>
        <w:jc w:val="center"/>
        <w:tblLayout w:type="fixed"/>
        <w:tblCellMar>
          <w:top w:w="0" w:type="dxa"/>
          <w:left w:w="10" w:type="dxa"/>
          <w:bottom w:w="0" w:type="dxa"/>
          <w:right w:w="10" w:type="dxa"/>
        </w:tblCellMar>
      </w:tblPr>
      <w:tblGrid>
        <w:gridCol w:w="3261"/>
        <w:gridCol w:w="1826"/>
        <w:gridCol w:w="2286"/>
        <w:gridCol w:w="2064"/>
      </w:tblGrid>
      <w:tr>
        <w:tblPrEx>
          <w:tblCellMar>
            <w:top w:w="0" w:type="dxa"/>
            <w:left w:w="10" w:type="dxa"/>
            <w:bottom w:w="0" w:type="dxa"/>
            <w:right w:w="10" w:type="dxa"/>
          </w:tblCellMar>
        </w:tblPrEx>
        <w:trPr>
          <w:trHeight w:val="442" w:hRule="exact"/>
          <w:jc w:val="center"/>
        </w:trPr>
        <w:tc>
          <w:tcPr>
            <w:tcW w:w="9437" w:type="dxa"/>
            <w:gridSpan w:val="4"/>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44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cs="宋体"/>
                <w:color w:val="000000"/>
                <w:spacing w:val="0"/>
                <w:w w:val="100"/>
                <w:position w:val="0"/>
                <w:sz w:val="24"/>
                <w:szCs w:val="24"/>
                <w:lang w:val="zh-CN" w:eastAsia="zh-CN"/>
              </w:rPr>
              <w:t>办公室</w:t>
            </w:r>
          </w:p>
        </w:tc>
        <w:tc>
          <w:tcPr>
            <w:tcW w:w="228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064"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0734-8343670</w:t>
            </w:r>
          </w:p>
        </w:tc>
      </w:tr>
      <w:tr>
        <w:tblPrEx>
          <w:tblCellMar>
            <w:top w:w="0" w:type="dxa"/>
            <w:left w:w="10" w:type="dxa"/>
            <w:bottom w:w="0" w:type="dxa"/>
            <w:right w:w="10" w:type="dxa"/>
          </w:tblCellMar>
        </w:tblPrEx>
        <w:trPr>
          <w:trHeight w:val="442" w:hRule="exact"/>
          <w:jc w:val="center"/>
        </w:trPr>
        <w:tc>
          <w:tcPr>
            <w:tcW w:w="3261"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228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cs="宋体"/>
                <w:b/>
                <w:bCs/>
                <w:color w:val="000000"/>
                <w:spacing w:val="0"/>
                <w:w w:val="100"/>
                <w:position w:val="0"/>
                <w:sz w:val="24"/>
                <w:szCs w:val="24"/>
                <w:lang w:val="en-US" w:eastAsia="zh-CN"/>
              </w:rPr>
              <w:t>2022</w:t>
            </w:r>
            <w:r>
              <w:rPr>
                <w:rFonts w:hint="eastAsia" w:ascii="宋体" w:hAnsi="宋体" w:eastAsia="宋体" w:cs="宋体"/>
                <w:color w:val="000000"/>
                <w:spacing w:val="0"/>
                <w:w w:val="100"/>
                <w:position w:val="0"/>
                <w:sz w:val="24"/>
                <w:szCs w:val="24"/>
              </w:rPr>
              <w:t>年实际在职人数</w:t>
            </w:r>
          </w:p>
        </w:tc>
        <w:tc>
          <w:tcPr>
            <w:tcW w:w="2064"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600" w:hRule="exact"/>
          <w:jc w:val="center"/>
        </w:trPr>
        <w:tc>
          <w:tcPr>
            <w:tcW w:w="3261" w:type="dxa"/>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4"/>
                <w:szCs w:val="24"/>
              </w:rPr>
            </w:pPr>
          </w:p>
        </w:tc>
        <w:tc>
          <w:tcPr>
            <w:tcW w:w="1826" w:type="dxa"/>
            <w:tcBorders>
              <w:top w:val="single" w:color="auto" w:sz="4" w:space="0"/>
              <w:left w:val="single" w:color="auto" w:sz="4" w:space="0"/>
              <w:bottom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10人</w:t>
            </w:r>
          </w:p>
        </w:tc>
        <w:tc>
          <w:tcPr>
            <w:tcW w:w="2286" w:type="dxa"/>
            <w:tcBorders>
              <w:top w:val="single" w:color="auto" w:sz="4" w:space="0"/>
              <w:left w:val="single" w:color="auto" w:sz="4" w:space="0"/>
              <w:bottom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9人</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tblPrEx>
          <w:tblCellMar>
            <w:top w:w="0" w:type="dxa"/>
            <w:left w:w="10" w:type="dxa"/>
            <w:bottom w:w="0" w:type="dxa"/>
            <w:right w:w="10" w:type="dxa"/>
          </w:tblCellMar>
        </w:tblPrEx>
        <w:trPr>
          <w:trHeight w:val="6006"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职能职责概述</w:t>
            </w:r>
          </w:p>
        </w:tc>
        <w:tc>
          <w:tcPr>
            <w:tcW w:w="6176" w:type="dxa"/>
            <w:gridSpan w:val="3"/>
            <w:tcBorders>
              <w:top w:val="single" w:color="auto" w:sz="4" w:space="0"/>
              <w:left w:val="single" w:color="auto" w:sz="4" w:space="0"/>
              <w:right w:val="single" w:color="auto" w:sz="4" w:space="0"/>
            </w:tcBorders>
            <w:shd w:val="clear" w:color="auto" w:fill="FFFFFF"/>
            <w:vAlign w:val="bottom"/>
          </w:tcPr>
          <w:p>
            <w:pPr>
              <w:bidi w:val="0"/>
              <w:jc w:val="left"/>
              <w:rPr>
                <w:rFonts w:hint="eastAsia"/>
                <w:sz w:val="24"/>
                <w:szCs w:val="24"/>
              </w:rPr>
            </w:pPr>
            <w:r>
              <w:rPr>
                <w:rFonts w:hint="eastAsia"/>
                <w:sz w:val="18"/>
                <w:szCs w:val="18"/>
              </w:rPr>
              <w:t>根据《中华人民共和国地方各级人民代表大会和地方各级人民政府组织法》规定，珠晖区卫生计生综合监督执法局主要职责是：负责全区卫生、计生监督执法工作，卫生许可证，职业许可证的受理、审批、发放，计生安全事故的调查及开展卫生法规宣传培训等，负责制定医疗机构和医疗服务行业管理办法并监督实施。</w:t>
            </w:r>
          </w:p>
        </w:tc>
      </w:tr>
      <w:tr>
        <w:tblPrEx>
          <w:tblCellMar>
            <w:top w:w="0" w:type="dxa"/>
            <w:left w:w="10" w:type="dxa"/>
            <w:bottom w:w="0" w:type="dxa"/>
            <w:right w:w="10" w:type="dxa"/>
          </w:tblCellMar>
        </w:tblPrEx>
        <w:trPr>
          <w:trHeight w:val="1497"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年度主要工作内容</w:t>
            </w:r>
          </w:p>
        </w:tc>
        <w:tc>
          <w:tcPr>
            <w:tcW w:w="6176" w:type="dxa"/>
            <w:gridSpan w:val="3"/>
            <w:tcBorders>
              <w:top w:val="single" w:color="auto" w:sz="4" w:space="0"/>
              <w:left w:val="single" w:color="auto" w:sz="4" w:space="0"/>
              <w:right w:val="single" w:color="auto" w:sz="4" w:space="0"/>
            </w:tcBorders>
            <w:shd w:val="clear" w:color="auto" w:fill="FFFFFF"/>
            <w:vAlign w:val="bottom"/>
          </w:tcPr>
          <w:p>
            <w:pPr>
              <w:bidi w:val="0"/>
              <w:jc w:val="left"/>
              <w:rPr>
                <w:rFonts w:hint="eastAsia"/>
                <w:sz w:val="18"/>
                <w:szCs w:val="18"/>
              </w:rPr>
            </w:pPr>
            <w:r>
              <w:rPr>
                <w:rFonts w:hint="eastAsia"/>
                <w:sz w:val="18"/>
                <w:szCs w:val="18"/>
              </w:rPr>
              <w:t>区</w:t>
            </w:r>
            <w:r>
              <w:rPr>
                <w:rFonts w:hint="eastAsia"/>
                <w:sz w:val="18"/>
                <w:szCs w:val="18"/>
                <w:lang w:eastAsia="zh-CN"/>
              </w:rPr>
              <w:t>卫计执法</w:t>
            </w:r>
            <w:r>
              <w:rPr>
                <w:rFonts w:hint="eastAsia"/>
                <w:sz w:val="18"/>
                <w:szCs w:val="18"/>
              </w:rPr>
              <w:t>局深入贯彻党的十九大精神，以健康珠晖建设为主线，坚持稳中求进工作总基调，精准对接人民群众日益增长的多样化健康需求，深入开展“创建国家卫生城市”工作，加强治理能力和治理体系建设，努力全方位、全周期维护人民群众健康。</w:t>
            </w:r>
          </w:p>
        </w:tc>
      </w:tr>
      <w:tr>
        <w:tblPrEx>
          <w:tblCellMar>
            <w:top w:w="0" w:type="dxa"/>
            <w:left w:w="10" w:type="dxa"/>
            <w:bottom w:w="0" w:type="dxa"/>
            <w:right w:w="10" w:type="dxa"/>
          </w:tblCellMar>
        </w:tblPrEx>
        <w:trPr>
          <w:trHeight w:val="2241"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6176"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bidi w:val="0"/>
              <w:jc w:val="left"/>
              <w:rPr>
                <w:rFonts w:hint="eastAsia" w:ascii="楷体_GB2312" w:hAnsi="楷体_GB2312" w:eastAsia="宋体" w:cs="楷体_GB2312"/>
                <w:b/>
                <w:bCs/>
                <w:sz w:val="32"/>
                <w:szCs w:val="32"/>
                <w:lang w:eastAsia="zh-CN"/>
              </w:rPr>
            </w:pPr>
            <w:r>
              <w:rPr>
                <w:rFonts w:hint="eastAsia"/>
                <w:sz w:val="18"/>
                <w:szCs w:val="18"/>
              </w:rPr>
              <w:t>开展提质整治，全力搞好创卫评估。实行执证营业。区卫计执法局担负全区“四小”行业卫生监管职能，即：小旅店、小理发美容店、小浴室、小歌舞厅，按照创卫评估工作要求，对全区“四小”行业实行执证营业，督促“四小门店”办理好公共场所卫生许可证</w:t>
            </w:r>
            <w:r>
              <w:rPr>
                <w:rFonts w:hint="eastAsia"/>
                <w:sz w:val="18"/>
                <w:szCs w:val="18"/>
                <w:lang w:eastAsia="zh-CN"/>
              </w:rPr>
              <w:t>。</w:t>
            </w:r>
          </w:p>
        </w:tc>
      </w:tr>
      <w:tr>
        <w:tblPrEx>
          <w:tblCellMar>
            <w:top w:w="0" w:type="dxa"/>
            <w:left w:w="10" w:type="dxa"/>
            <w:bottom w:w="0" w:type="dxa"/>
            <w:right w:w="10" w:type="dxa"/>
          </w:tblCellMar>
        </w:tblPrEx>
        <w:trPr>
          <w:trHeight w:val="437" w:hRule="exact"/>
          <w:jc w:val="center"/>
        </w:trPr>
        <w:tc>
          <w:tcPr>
            <w:tcW w:w="9437" w:type="dxa"/>
            <w:gridSpan w:val="4"/>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182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cs="宋体"/>
                <w:b/>
                <w:bCs/>
                <w:color w:val="000000"/>
                <w:spacing w:val="0"/>
                <w:w w:val="100"/>
                <w:position w:val="0"/>
                <w:sz w:val="24"/>
                <w:szCs w:val="24"/>
                <w:lang w:val="en-US" w:eastAsia="zh-CN"/>
              </w:rPr>
              <w:t>2021</w:t>
            </w:r>
            <w:r>
              <w:rPr>
                <w:rFonts w:hint="eastAsia" w:ascii="宋体" w:hAnsi="宋体" w:eastAsia="宋体" w:cs="宋体"/>
                <w:b/>
                <w:bCs/>
                <w:color w:val="000000"/>
                <w:spacing w:val="0"/>
                <w:w w:val="100"/>
                <w:position w:val="0"/>
                <w:sz w:val="24"/>
                <w:szCs w:val="24"/>
              </w:rPr>
              <w:t>年决算数</w:t>
            </w:r>
          </w:p>
        </w:tc>
        <w:tc>
          <w:tcPr>
            <w:tcW w:w="228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22</w:t>
            </w:r>
            <w:r>
              <w:rPr>
                <w:rFonts w:hint="eastAsia" w:ascii="宋体" w:hAnsi="宋体" w:eastAsia="宋体" w:cs="宋体"/>
                <w:b/>
                <w:bCs/>
                <w:color w:val="000000"/>
                <w:spacing w:val="0"/>
                <w:w w:val="100"/>
                <w:position w:val="0"/>
                <w:sz w:val="24"/>
                <w:szCs w:val="24"/>
              </w:rPr>
              <w:t>年预算数</w:t>
            </w:r>
          </w:p>
        </w:tc>
        <w:tc>
          <w:tcPr>
            <w:tcW w:w="2064" w:type="dxa"/>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w:t>
            </w:r>
            <w:r>
              <w:rPr>
                <w:rFonts w:hint="eastAsia" w:cs="宋体"/>
                <w:b/>
                <w:bCs/>
                <w:color w:val="000000"/>
                <w:spacing w:val="0"/>
                <w:w w:val="100"/>
                <w:position w:val="0"/>
                <w:sz w:val="24"/>
                <w:szCs w:val="24"/>
                <w:lang w:val="en-US" w:eastAsia="zh-CN"/>
              </w:rPr>
              <w:t>22</w:t>
            </w:r>
            <w:r>
              <w:rPr>
                <w:rFonts w:hint="eastAsia" w:ascii="宋体" w:hAnsi="宋体" w:eastAsia="宋体" w:cs="宋体"/>
                <w:b/>
                <w:bCs/>
                <w:color w:val="000000"/>
                <w:spacing w:val="0"/>
                <w:w w:val="100"/>
                <w:position w:val="0"/>
                <w:sz w:val="24"/>
                <w:szCs w:val="24"/>
              </w:rPr>
              <w:t>年决算数</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三公经费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4.53万元</w:t>
            </w:r>
          </w:p>
        </w:tc>
        <w:tc>
          <w:tcPr>
            <w:tcW w:w="228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0.47万元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0.47万元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、公务用车购置和维护经费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4.53万元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0.47万元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0.47万元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其中：公车购置</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公车运行维护</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4.53万元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0.47万元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0.47万元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、出国经费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3</w:t>
            </w:r>
            <w:r>
              <w:rPr>
                <w:rFonts w:hint="eastAsia" w:ascii="宋体" w:hAnsi="宋体" w:eastAsia="宋体" w:cs="宋体"/>
                <w:color w:val="000000"/>
                <w:spacing w:val="0"/>
                <w:w w:val="100"/>
                <w:position w:val="0"/>
                <w:sz w:val="24"/>
                <w:szCs w:val="24"/>
              </w:rPr>
              <w:t>、公务接待</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项目支出：</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、业务工作专项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28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kern w:val="2"/>
                <w:sz w:val="24"/>
                <w:szCs w:val="24"/>
                <w:lang w:val="en-US" w:eastAsia="zh-CN" w:bidi="ar-SA"/>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、运行维护专项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leader="dot" w:pos="1539"/>
              </w:tabs>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ab/>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公用经费</w:t>
            </w:r>
          </w:p>
        </w:tc>
        <w:tc>
          <w:tcPr>
            <w:tcW w:w="1826" w:type="dxa"/>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9.83万元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10.74万元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26.56万元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其中：办公经费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9.31万元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8.74万元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25.96万元</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水费、电费、差旅费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0.34万元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2万元</w:t>
            </w: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0.6万元</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会议费、培训费</w:t>
            </w:r>
          </w:p>
        </w:tc>
        <w:tc>
          <w:tcPr>
            <w:tcW w:w="182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0.18</w:t>
            </w:r>
            <w:r>
              <w:rPr>
                <w:rFonts w:hint="eastAsia" w:ascii="宋体" w:hAnsi="宋体" w:cs="宋体"/>
                <w:sz w:val="24"/>
                <w:szCs w:val="24"/>
                <w:lang w:val="en-US" w:eastAsia="zh-CN"/>
              </w:rPr>
              <w:t>万元</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kern w:val="2"/>
                <w:sz w:val="24"/>
                <w:szCs w:val="24"/>
                <w:lang w:val="en-US" w:eastAsia="zh-CN" w:bidi="ar-SA"/>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政府采购金额</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部门整体支出预算调整</w:t>
            </w:r>
          </w:p>
        </w:tc>
        <w:tc>
          <w:tcPr>
            <w:tcW w:w="182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8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1480" w:hRule="exact"/>
          <w:jc w:val="center"/>
        </w:trPr>
        <w:tc>
          <w:tcPr>
            <w:tcW w:w="3261"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80" w:after="0" w:line="240" w:lineRule="auto"/>
              <w:ind w:left="0" w:right="0" w:firstLine="6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厉行节约保障措施</w:t>
            </w:r>
          </w:p>
        </w:tc>
        <w:tc>
          <w:tcPr>
            <w:tcW w:w="6176"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bl>
    <w:p>
      <w:pPr>
        <w:pStyle w:val="22"/>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22"/>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24"/>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r>
        <w:rPr>
          <w:rFonts w:hint="eastAsia" w:ascii="仿宋" w:hAnsi="仿宋" w:eastAsia="仿宋" w:cs="仿宋"/>
          <w:b w:val="0"/>
          <w:bCs w:val="0"/>
          <w:color w:val="000000"/>
          <w:spacing w:val="0"/>
          <w:w w:val="100"/>
          <w:position w:val="0"/>
          <w:sz w:val="24"/>
          <w:szCs w:val="24"/>
        </w:rPr>
        <w:t>附件</w:t>
      </w:r>
      <w:r>
        <w:rPr>
          <w:rFonts w:hint="eastAsia" w:ascii="仿宋" w:hAnsi="仿宋" w:eastAsia="仿宋" w:cs="仿宋"/>
          <w:color w:val="000000"/>
          <w:spacing w:val="0"/>
          <w:w w:val="100"/>
          <w:position w:val="0"/>
          <w:sz w:val="24"/>
          <w:szCs w:val="24"/>
          <w:lang w:val="en-US" w:eastAsia="zh-CN" w:bidi="en-US"/>
        </w:rPr>
        <w:t>1</w:t>
      </w:r>
      <w:r>
        <w:rPr>
          <w:rFonts w:hint="eastAsia" w:ascii="仿宋" w:hAnsi="仿宋" w:eastAsia="仿宋" w:cs="仿宋"/>
          <w:color w:val="000000"/>
          <w:spacing w:val="0"/>
          <w:w w:val="100"/>
          <w:position w:val="0"/>
          <w:sz w:val="24"/>
          <w:szCs w:val="24"/>
          <w:lang w:val="en-US" w:eastAsia="en-US" w:bidi="en-US"/>
        </w:rPr>
        <w:t>-3</w:t>
      </w:r>
    </w:p>
    <w:p>
      <w:pPr>
        <w:pStyle w:val="18"/>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6" w:name="bookmark88"/>
      <w:bookmarkStart w:id="7" w:name="bookmark89"/>
      <w:bookmarkStart w:id="8" w:name="bookmark90"/>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w:t>
      </w:r>
      <w:bookmarkEnd w:id="6"/>
      <w:bookmarkEnd w:id="7"/>
      <w:bookmarkEnd w:id="8"/>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bookmarkStart w:id="9" w:name="bookmark91"/>
      <w:r>
        <w:rPr>
          <w:rFonts w:hint="eastAsia" w:ascii="宋体" w:hAnsi="宋体" w:eastAsia="宋体" w:cs="宋体"/>
          <w:color w:val="000000"/>
          <w:spacing w:val="0"/>
          <w:w w:val="100"/>
          <w:position w:val="0"/>
          <w:sz w:val="28"/>
          <w:szCs w:val="28"/>
        </w:rPr>
        <w:t>一</w:t>
      </w:r>
      <w:bookmarkEnd w:id="9"/>
      <w:r>
        <w:rPr>
          <w:rFonts w:hint="eastAsia" w:ascii="宋体" w:hAnsi="宋体" w:eastAsia="宋体" w:cs="宋体"/>
          <w:color w:val="000000"/>
          <w:spacing w:val="0"/>
          <w:w w:val="100"/>
          <w:position w:val="0"/>
          <w:sz w:val="28"/>
          <w:szCs w:val="28"/>
        </w:rPr>
        <w:t>、部门概况</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bookmarkStart w:id="10" w:name="bookmark92"/>
      <w:r>
        <w:rPr>
          <w:rFonts w:hint="eastAsia" w:ascii="宋体" w:hAnsi="宋体" w:eastAsia="宋体" w:cs="宋体"/>
          <w:color w:val="000000"/>
          <w:spacing w:val="0"/>
          <w:w w:val="100"/>
          <w:position w:val="0"/>
          <w:sz w:val="28"/>
          <w:szCs w:val="28"/>
        </w:rPr>
        <w:t>（</w:t>
      </w:r>
      <w:bookmarkEnd w:id="10"/>
      <w:r>
        <w:rPr>
          <w:rFonts w:hint="eastAsia" w:ascii="宋体" w:hAnsi="宋体" w:eastAsia="宋体" w:cs="宋体"/>
          <w:color w:val="000000"/>
          <w:spacing w:val="0"/>
          <w:w w:val="100"/>
          <w:position w:val="0"/>
          <w:sz w:val="28"/>
          <w:szCs w:val="28"/>
        </w:rPr>
        <w:t>一）部门基本情况</w:t>
      </w:r>
    </w:p>
    <w:p>
      <w:pPr>
        <w:spacing w:line="600" w:lineRule="exact"/>
        <w:ind w:firstLine="645"/>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2022年度，</w:t>
      </w:r>
      <w:r>
        <w:rPr>
          <w:rFonts w:hint="eastAsia" w:ascii="宋体" w:hAnsi="宋体" w:eastAsia="宋体" w:cs="宋体"/>
          <w:color w:val="000000"/>
          <w:spacing w:val="0"/>
          <w:w w:val="100"/>
          <w:kern w:val="2"/>
          <w:position w:val="0"/>
          <w:sz w:val="28"/>
          <w:szCs w:val="28"/>
          <w:u w:val="none"/>
          <w:shd w:val="clear" w:color="auto" w:fill="auto"/>
          <w:lang w:val="zh-CN" w:eastAsia="zh-CN" w:bidi="zh-CN"/>
        </w:rPr>
        <w:t>区</w:t>
      </w:r>
      <w:r>
        <w:rPr>
          <w:rFonts w:hint="eastAsia" w:ascii="宋体" w:hAnsi="宋体" w:cs="宋体"/>
          <w:color w:val="000000"/>
          <w:spacing w:val="0"/>
          <w:w w:val="100"/>
          <w:kern w:val="2"/>
          <w:position w:val="0"/>
          <w:sz w:val="28"/>
          <w:szCs w:val="28"/>
          <w:u w:val="none"/>
          <w:shd w:val="clear" w:color="auto" w:fill="auto"/>
          <w:lang w:val="zh-CN" w:eastAsia="zh-CN" w:bidi="zh-CN"/>
        </w:rPr>
        <w:t>卫生计生综合监督执法局在职人员共计</w:t>
      </w:r>
      <w:r>
        <w:rPr>
          <w:rFonts w:hint="eastAsia" w:ascii="宋体" w:hAnsi="宋体" w:cs="宋体"/>
          <w:color w:val="000000"/>
          <w:spacing w:val="0"/>
          <w:w w:val="100"/>
          <w:kern w:val="2"/>
          <w:position w:val="0"/>
          <w:sz w:val="28"/>
          <w:szCs w:val="28"/>
          <w:u w:val="none"/>
          <w:shd w:val="clear" w:color="auto" w:fill="auto"/>
          <w:lang w:val="en-US" w:eastAsia="zh-CN" w:bidi="zh-CN"/>
        </w:rPr>
        <w:t>9人，机构设置如下：</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办公室</w:t>
      </w: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公共场所卫生监督一科、二科（生活饮用水监督科）</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lang w:eastAsia="zh-CN"/>
        </w:rPr>
        <w:t>医疗卫生监督科</w:t>
      </w:r>
      <w:r>
        <w:rPr>
          <w:rFonts w:hint="eastAsia" w:ascii="宋体" w:hAnsi="宋体" w:eastAsia="宋体" w:cs="宋体"/>
          <w:b w:val="0"/>
          <w:bCs/>
          <w:spacing w:val="8"/>
          <w:sz w:val="28"/>
          <w:szCs w:val="28"/>
          <w:lang w:val="en-US" w:eastAsia="zh-CN"/>
        </w:rPr>
        <w:t>4.学校卫生监督科</w:t>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lang w:eastAsia="zh-CN"/>
        </w:rPr>
        <w:t>稽查科</w:t>
      </w:r>
      <w:r>
        <w:rPr>
          <w:rFonts w:hint="eastAsia" w:ascii="宋体" w:hAnsi="宋体" w:eastAsia="宋体" w:cs="宋体"/>
          <w:b w:val="0"/>
          <w:bCs/>
          <w:sz w:val="28"/>
          <w:szCs w:val="28"/>
          <w:lang w:val="en-US" w:eastAsia="zh-CN"/>
        </w:rPr>
        <w:t>6.信息管理科7.财务科</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单位主要职能如下：负责全区卫生、计生监督执法工作，卫生许可证，职业许可证的受理、审批、发放，计生安全事故的调查及开展卫生法规宣传培训等，负责制定医疗机构和医疗服务行业管理办法并监督实施。</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eastAsia="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年度重点工作计划如下：区卫计执法局深入贯彻党的十九大精神，以健康珠晖建设为主线，坚持稳中求进工作总基调，精准对接人民群众日益增长的多样化健康需求，深入开展“创建国家卫生城市”工作，加强治理能力和治理体系建设，努力全方位、全周期维护人民群众健康。</w:t>
      </w:r>
    </w:p>
    <w:p>
      <w:pPr>
        <w:pStyle w:val="17"/>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部门整体支出规模、使用方向和主要内容、涉及范围等。</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leftChars="0" w:right="0" w:rightChars="0" w:firstLine="560" w:firstLineChars="20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eastAsia="zh-CN"/>
        </w:rPr>
        <w:t>部门整体支出规模如下：</w:t>
      </w:r>
      <w:r>
        <w:rPr>
          <w:rFonts w:hint="eastAsia" w:ascii="宋体" w:hAnsi="宋体" w:eastAsia="宋体" w:cs="宋体"/>
          <w:color w:val="000000"/>
          <w:spacing w:val="0"/>
          <w:w w:val="100"/>
          <w:position w:val="0"/>
          <w:sz w:val="28"/>
          <w:szCs w:val="28"/>
        </w:rPr>
        <w:t>基本支出</w:t>
      </w:r>
      <w:r>
        <w:rPr>
          <w:rFonts w:hint="eastAsia" w:ascii="宋体" w:hAnsi="宋体" w:eastAsia="宋体" w:cs="宋体"/>
          <w:i w:val="0"/>
          <w:iCs w:val="0"/>
          <w:caps w:val="0"/>
          <w:color w:val="000000"/>
          <w:spacing w:val="0"/>
          <w:sz w:val="32"/>
          <w:szCs w:val="32"/>
        </w:rPr>
        <w:t>178.74</w:t>
      </w:r>
      <w:r>
        <w:rPr>
          <w:rFonts w:hint="eastAsia" w:ascii="宋体" w:hAnsi="宋体" w:eastAsia="宋体" w:cs="宋体"/>
          <w:color w:val="000000"/>
          <w:spacing w:val="0"/>
          <w:w w:val="100"/>
          <w:position w:val="0"/>
          <w:sz w:val="28"/>
          <w:szCs w:val="28"/>
        </w:rPr>
        <w:t>万元，项目支出</w:t>
      </w:r>
      <w:r>
        <w:rPr>
          <w:rFonts w:hint="eastAsia" w:cs="宋体"/>
          <w:color w:val="000000"/>
          <w:spacing w:val="0"/>
          <w:w w:val="100"/>
          <w:position w:val="0"/>
          <w:sz w:val="28"/>
          <w:szCs w:val="28"/>
          <w:lang w:val="en-US" w:eastAsia="zh-CN"/>
        </w:rPr>
        <w:t>5万元</w:t>
      </w:r>
      <w:r>
        <w:rPr>
          <w:rFonts w:hint="eastAsia" w:ascii="宋体" w:hAnsi="宋体" w:eastAsia="宋体" w:cs="宋体"/>
          <w:color w:val="000000"/>
          <w:spacing w:val="0"/>
          <w:w w:val="100"/>
          <w:position w:val="0"/>
          <w:sz w:val="28"/>
          <w:szCs w:val="28"/>
        </w:rPr>
        <w:t>，</w:t>
      </w:r>
      <w:r>
        <w:rPr>
          <w:rFonts w:hint="eastAsia" w:cs="宋体"/>
          <w:color w:val="000000"/>
          <w:spacing w:val="0"/>
          <w:w w:val="100"/>
          <w:position w:val="0"/>
          <w:sz w:val="28"/>
          <w:szCs w:val="28"/>
          <w:lang w:eastAsia="zh-CN"/>
        </w:rPr>
        <w:t>使用方向、涉及范围、主要内容如下；社会保障和就业支出，</w:t>
      </w:r>
      <w:r>
        <w:rPr>
          <w:rFonts w:hint="eastAsia" w:ascii="宋体" w:hAnsi="宋体" w:eastAsia="宋体" w:cs="宋体"/>
          <w:color w:val="000000"/>
          <w:spacing w:val="0"/>
          <w:w w:val="100"/>
          <w:position w:val="0"/>
          <w:sz w:val="28"/>
          <w:szCs w:val="28"/>
        </w:rPr>
        <w:t>保障基本公共卫生服务，增加人民的满意度。</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rPr>
      </w:pPr>
      <w:bookmarkStart w:id="11" w:name="bookmark94"/>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二</w:t>
      </w:r>
      <w:bookmarkEnd w:id="11"/>
      <w:r>
        <w:rPr>
          <w:rFonts w:hint="eastAsia" w:ascii="宋体" w:hAnsi="宋体" w:eastAsia="宋体" w:cs="宋体"/>
          <w:color w:val="000000"/>
          <w:spacing w:val="0"/>
          <w:w w:val="100"/>
          <w:position w:val="0"/>
          <w:sz w:val="28"/>
          <w:szCs w:val="28"/>
        </w:rPr>
        <w:t>、部门整体支出管理及使用情况</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sz w:val="28"/>
          <w:szCs w:val="28"/>
        </w:rPr>
      </w:pPr>
      <w:bookmarkStart w:id="12" w:name="bookmark95"/>
      <w:r>
        <w:rPr>
          <w:rFonts w:hint="eastAsia" w:ascii="宋体" w:hAnsi="宋体" w:eastAsia="宋体" w:cs="宋体"/>
          <w:color w:val="000000"/>
          <w:spacing w:val="0"/>
          <w:w w:val="100"/>
          <w:position w:val="0"/>
          <w:sz w:val="28"/>
          <w:szCs w:val="28"/>
        </w:rPr>
        <w:t>（</w:t>
      </w:r>
      <w:bookmarkEnd w:id="12"/>
      <w:r>
        <w:rPr>
          <w:rFonts w:hint="eastAsia" w:ascii="宋体" w:hAnsi="宋体" w:eastAsia="宋体" w:cs="宋体"/>
          <w:color w:val="000000"/>
          <w:spacing w:val="0"/>
          <w:w w:val="100"/>
          <w:position w:val="0"/>
          <w:sz w:val="28"/>
          <w:szCs w:val="28"/>
        </w:rPr>
        <w:t>一）基本支出</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介绍基本支出的主要用途、范围以及资金的管理情况，尤其是“三公”经费的使用和管理情况。</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2022年年初预算数为</w:t>
      </w:r>
      <w:r>
        <w:rPr>
          <w:rFonts w:hint="eastAsia" w:ascii="宋体" w:hAnsi="宋体" w:eastAsia="宋体" w:cs="宋体"/>
          <w:i w:val="0"/>
          <w:iCs w:val="0"/>
          <w:caps w:val="0"/>
          <w:color w:val="000000"/>
          <w:spacing w:val="0"/>
          <w:sz w:val="32"/>
          <w:szCs w:val="32"/>
        </w:rPr>
        <w:t>98.38</w:t>
      </w:r>
      <w:r>
        <w:rPr>
          <w:rFonts w:hint="eastAsia" w:ascii="宋体" w:hAnsi="宋体" w:cs="宋体"/>
          <w:color w:val="000000"/>
          <w:spacing w:val="0"/>
          <w:w w:val="100"/>
          <w:kern w:val="2"/>
          <w:position w:val="0"/>
          <w:sz w:val="28"/>
          <w:szCs w:val="28"/>
          <w:u w:val="none"/>
          <w:shd w:val="clear" w:color="auto" w:fill="auto"/>
          <w:lang w:val="en-US" w:eastAsia="zh-CN" w:bidi="zh-CN"/>
        </w:rPr>
        <w:t>万元，是指为保障单位机构运转、完成日常工作任务而发生的各项支出，包括基本工资、津贴补贴等人员经费以及办公费、印刷费、水电费、办公设备购置费等日常公用经费。</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cs="宋体"/>
          <w:color w:val="000000"/>
          <w:spacing w:val="0"/>
          <w:w w:val="100"/>
          <w:kern w:val="2"/>
          <w:position w:val="0"/>
          <w:sz w:val="28"/>
          <w:szCs w:val="28"/>
          <w:u w:val="none"/>
          <w:shd w:val="clear" w:color="auto" w:fill="auto"/>
          <w:lang w:val="en-US" w:eastAsia="zh-CN" w:bidi="zh-CN"/>
        </w:rPr>
        <w:t>2022年“三公”经费支出预算数为</w:t>
      </w:r>
      <w:r>
        <w:rPr>
          <w:rFonts w:hint="eastAsia" w:ascii="宋体" w:hAnsi="宋体" w:eastAsia="宋体" w:cs="宋体"/>
          <w:i w:val="0"/>
          <w:iCs w:val="0"/>
          <w:caps w:val="0"/>
          <w:color w:val="000000"/>
          <w:spacing w:val="0"/>
          <w:sz w:val="32"/>
          <w:szCs w:val="32"/>
        </w:rPr>
        <w:t>0.47</w:t>
      </w:r>
      <w:r>
        <w:rPr>
          <w:rFonts w:hint="eastAsia" w:ascii="宋体" w:hAnsi="宋体" w:cs="宋体"/>
          <w:color w:val="000000"/>
          <w:spacing w:val="0"/>
          <w:w w:val="100"/>
          <w:kern w:val="2"/>
          <w:position w:val="0"/>
          <w:sz w:val="28"/>
          <w:szCs w:val="28"/>
          <w:u w:val="none"/>
          <w:shd w:val="clear" w:color="auto" w:fill="auto"/>
          <w:lang w:val="en-US" w:eastAsia="zh-CN" w:bidi="zh-CN"/>
        </w:rPr>
        <w:t>万元，支出决算数为</w:t>
      </w:r>
      <w:r>
        <w:rPr>
          <w:rFonts w:hint="eastAsia" w:ascii="宋体" w:hAnsi="宋体" w:eastAsia="宋体" w:cs="宋体"/>
          <w:i w:val="0"/>
          <w:iCs w:val="0"/>
          <w:caps w:val="0"/>
          <w:color w:val="000000"/>
          <w:spacing w:val="0"/>
          <w:sz w:val="32"/>
          <w:szCs w:val="32"/>
        </w:rPr>
        <w:t>0.47</w:t>
      </w:r>
      <w:r>
        <w:rPr>
          <w:rFonts w:hint="eastAsia" w:ascii="宋体" w:hAnsi="宋体" w:cs="宋体"/>
          <w:color w:val="000000"/>
          <w:spacing w:val="0"/>
          <w:w w:val="100"/>
          <w:kern w:val="2"/>
          <w:position w:val="0"/>
          <w:sz w:val="28"/>
          <w:szCs w:val="28"/>
          <w:u w:val="none"/>
          <w:shd w:val="clear" w:color="auto" w:fill="auto"/>
          <w:lang w:val="en-US" w:eastAsia="zh-CN" w:bidi="zh-CN"/>
        </w:rPr>
        <w:t>万元，原因为认真贯彻落实中央“八项规定”精神和厉行节约、反对铺张浪费要求，严格控制“三公”经费开支。</w:t>
      </w:r>
    </w:p>
    <w:p>
      <w:pPr>
        <w:pStyle w:val="1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r>
        <w:rPr>
          <w:rFonts w:hint="eastAsia" w:cs="宋体"/>
          <w:color w:val="000000"/>
          <w:spacing w:val="0"/>
          <w:w w:val="100"/>
          <w:position w:val="0"/>
          <w:sz w:val="28"/>
          <w:szCs w:val="28"/>
          <w:lang w:eastAsia="zh-CN"/>
        </w:rPr>
        <w:t>三</w:t>
      </w:r>
      <w:r>
        <w:rPr>
          <w:rFonts w:hint="eastAsia" w:ascii="宋体" w:hAnsi="宋体" w:eastAsia="宋体" w:cs="宋体"/>
          <w:color w:val="000000"/>
          <w:spacing w:val="0"/>
          <w:w w:val="100"/>
          <w:position w:val="0"/>
          <w:sz w:val="28"/>
          <w:szCs w:val="28"/>
        </w:rPr>
        <w:t>、资产管理情况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部门资产的配置、管理、处置等综合情况严格按照财务制度执行。制度建设、管理措施、配置处置的程序依据相关政策进行管理。</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bookmarkStart w:id="13" w:name="bookmark102"/>
      <w:r>
        <w:rPr>
          <w:rFonts w:hint="eastAsia" w:ascii="宋体" w:hAnsi="宋体" w:eastAsia="宋体" w:cs="宋体"/>
          <w:color w:val="000000"/>
          <w:spacing w:val="0"/>
          <w:w w:val="100"/>
          <w:position w:val="0"/>
          <w:sz w:val="28"/>
          <w:szCs w:val="28"/>
        </w:rPr>
        <w:t>五</w:t>
      </w:r>
      <w:bookmarkEnd w:id="13"/>
      <w:r>
        <w:rPr>
          <w:rFonts w:hint="eastAsia" w:ascii="宋体" w:hAnsi="宋体" w:eastAsia="宋体" w:cs="宋体"/>
          <w:color w:val="000000"/>
          <w:spacing w:val="0"/>
          <w:w w:val="100"/>
          <w:position w:val="0"/>
          <w:sz w:val="28"/>
          <w:szCs w:val="28"/>
        </w:rPr>
        <w:t>、部门整体支出绩效情况</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部门整体支出的经济性，本年预算支出总额控制在预算总额内。</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部门整体支出的效率性，本年度各项工作、专项完成进度正常，完成质量高。</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leftChars="0" w:right="0" w:rightChars="0" w:firstLine="560" w:firstLineChars="200"/>
        <w:jc w:val="both"/>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部门整体支出的有效性，</w:t>
      </w:r>
      <w:r>
        <w:rPr>
          <w:rFonts w:hint="eastAsia" w:cs="宋体"/>
          <w:color w:val="000000"/>
          <w:spacing w:val="0"/>
          <w:w w:val="100"/>
          <w:position w:val="0"/>
          <w:sz w:val="28"/>
          <w:szCs w:val="28"/>
          <w:lang w:eastAsia="zh-CN"/>
        </w:rPr>
        <w:t>社会保障和就业支出，</w:t>
      </w:r>
      <w:r>
        <w:rPr>
          <w:rFonts w:hint="eastAsia" w:ascii="宋体" w:hAnsi="宋体" w:eastAsia="宋体" w:cs="宋体"/>
          <w:color w:val="000000"/>
          <w:spacing w:val="0"/>
          <w:w w:val="100"/>
          <w:position w:val="0"/>
          <w:sz w:val="28"/>
          <w:szCs w:val="28"/>
        </w:rPr>
        <w:t>保障基本公共卫生服务，增加人民的满意度。</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部门整体支出的可持续性，基本满足卫计执法的工作要求，逐步提高卫计执法的服务水平，增加人民的满意度。</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p>
    <w:p>
      <w:pPr>
        <w:keepNext w:val="0"/>
        <w:keepLines w:val="0"/>
        <w:pageBreakBefore w:val="0"/>
        <w:numPr>
          <w:ilvl w:val="0"/>
          <w:numId w:val="3"/>
        </w:numPr>
        <w:kinsoku/>
        <w:wordWrap/>
        <w:overflowPunct/>
        <w:topLinePunct w:val="0"/>
        <w:autoSpaceDE/>
        <w:autoSpaceDN/>
        <w:bidi w:val="0"/>
        <w:spacing w:line="590" w:lineRule="exact"/>
        <w:ind w:firstLine="560" w:firstLineChars="200"/>
        <w:textAlignment w:val="auto"/>
        <w:rPr>
          <w:rFonts w:hint="eastAsia" w:ascii="宋体" w:hAnsi="宋体" w:cs="宋体"/>
          <w:color w:val="000000"/>
          <w:spacing w:val="0"/>
          <w:w w:val="100"/>
          <w:kern w:val="2"/>
          <w:position w:val="0"/>
          <w:sz w:val="28"/>
          <w:szCs w:val="28"/>
          <w:u w:val="none"/>
          <w:shd w:val="clear" w:color="auto" w:fill="auto"/>
          <w:lang w:val="en-US" w:eastAsia="zh-CN" w:bidi="zh-CN"/>
        </w:rPr>
      </w:pPr>
      <w:r>
        <w:rPr>
          <w:rFonts w:hint="eastAsia" w:ascii="宋体" w:hAnsi="宋体" w:cs="宋体"/>
          <w:color w:val="000000"/>
          <w:spacing w:val="0"/>
          <w:w w:val="100"/>
          <w:kern w:val="2"/>
          <w:position w:val="0"/>
          <w:sz w:val="28"/>
          <w:szCs w:val="28"/>
          <w:u w:val="none"/>
          <w:shd w:val="clear" w:color="auto" w:fill="auto"/>
          <w:lang w:val="en-US" w:eastAsia="zh-CN" w:bidi="zh-CN"/>
        </w:rPr>
        <w:t>改进措施</w:t>
      </w:r>
      <w:bookmarkStart w:id="14" w:name="_GoBack"/>
      <w:bookmarkEnd w:id="14"/>
      <w:r>
        <w:rPr>
          <w:rFonts w:hint="eastAsia" w:ascii="宋体" w:hAnsi="宋体" w:cs="宋体"/>
          <w:color w:val="000000"/>
          <w:spacing w:val="0"/>
          <w:w w:val="100"/>
          <w:kern w:val="2"/>
          <w:position w:val="0"/>
          <w:sz w:val="28"/>
          <w:szCs w:val="28"/>
          <w:u w:val="none"/>
          <w:shd w:val="clear" w:color="auto" w:fill="auto"/>
          <w:lang w:val="en-US" w:eastAsia="zh-CN" w:bidi="zh-CN"/>
        </w:rPr>
        <w:t>和有关建议</w:t>
      </w:r>
    </w:p>
    <w:p>
      <w:pPr>
        <w:keepNext w:val="0"/>
        <w:keepLines w:val="0"/>
        <w:pageBreakBefore w:val="0"/>
        <w:kinsoku/>
        <w:wordWrap/>
        <w:overflowPunct/>
        <w:topLinePunct w:val="0"/>
        <w:autoSpaceDE/>
        <w:autoSpaceDN/>
        <w:bidi w:val="0"/>
        <w:spacing w:line="590" w:lineRule="exact"/>
        <w:ind w:firstLine="660"/>
        <w:textAlignment w:val="auto"/>
        <w:rPr>
          <w:rFonts w:hint="eastAsia" w:ascii="宋体" w:hAnsi="宋体" w:cs="宋体"/>
          <w:color w:val="000000"/>
          <w:spacing w:val="0"/>
          <w:w w:val="100"/>
          <w:kern w:val="2"/>
          <w:position w:val="0"/>
          <w:sz w:val="28"/>
          <w:szCs w:val="28"/>
          <w:u w:val="none"/>
          <w:shd w:val="clear" w:color="auto" w:fill="auto"/>
          <w:lang w:val="zh-CN" w:eastAsia="zh-CN" w:bidi="zh-CN"/>
        </w:rPr>
      </w:pPr>
      <w:r>
        <w:rPr>
          <w:rFonts w:hint="eastAsia" w:ascii="宋体" w:hAnsi="宋体" w:cs="宋体"/>
          <w:color w:val="000000"/>
          <w:spacing w:val="0"/>
          <w:w w:val="100"/>
          <w:kern w:val="2"/>
          <w:position w:val="0"/>
          <w:sz w:val="28"/>
          <w:szCs w:val="28"/>
          <w:u w:val="none"/>
          <w:shd w:val="clear" w:color="auto" w:fill="auto"/>
          <w:lang w:val="zh-CN" w:eastAsia="zh-CN" w:bidi="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Latha"/>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D18C5"/>
    <w:multiLevelType w:val="singleLevel"/>
    <w:tmpl w:val="A5CD18C5"/>
    <w:lvl w:ilvl="0" w:tentative="0">
      <w:start w:val="6"/>
      <w:numFmt w:val="chineseCounting"/>
      <w:suff w:val="nothing"/>
      <w:lvlText w:val="%1、"/>
      <w:lvlJc w:val="left"/>
      <w:rPr>
        <w:rFonts w:hint="eastAsia"/>
      </w:rPr>
    </w:lvl>
  </w:abstractNum>
  <w:abstractNum w:abstractNumId="1">
    <w:nsid w:val="BD478231"/>
    <w:multiLevelType w:val="singleLevel"/>
    <w:tmpl w:val="BD478231"/>
    <w:lvl w:ilvl="0" w:tentative="0">
      <w:start w:val="1"/>
      <w:numFmt w:val="chineseCounting"/>
      <w:suff w:val="nothing"/>
      <w:lvlText w:val="（%1）"/>
      <w:lvlJc w:val="left"/>
      <w:rPr>
        <w:rFonts w:hint="eastAsia"/>
      </w:rPr>
    </w:lvl>
  </w:abstractNum>
  <w:abstractNum w:abstractNumId="2">
    <w:nsid w:val="F51E7F6B"/>
    <w:multiLevelType w:val="singleLevel"/>
    <w:tmpl w:val="F51E7F6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DFhYjNkZTcwOTNjNTkwZjAxZDNlOGFhZjgwZDIifQ=="/>
  </w:docVars>
  <w:rsids>
    <w:rsidRoot w:val="56C81120"/>
    <w:rsid w:val="02312FDE"/>
    <w:rsid w:val="02B7667E"/>
    <w:rsid w:val="02F32ED7"/>
    <w:rsid w:val="030A3C3B"/>
    <w:rsid w:val="03737E75"/>
    <w:rsid w:val="04356446"/>
    <w:rsid w:val="047B41EF"/>
    <w:rsid w:val="049B1996"/>
    <w:rsid w:val="04B52A28"/>
    <w:rsid w:val="0A3C2914"/>
    <w:rsid w:val="0B62676C"/>
    <w:rsid w:val="0C505A2A"/>
    <w:rsid w:val="0CE27575"/>
    <w:rsid w:val="10105CDD"/>
    <w:rsid w:val="11803920"/>
    <w:rsid w:val="125D07A0"/>
    <w:rsid w:val="13A608F7"/>
    <w:rsid w:val="13AE577E"/>
    <w:rsid w:val="14612B0A"/>
    <w:rsid w:val="14E74B26"/>
    <w:rsid w:val="15224E9F"/>
    <w:rsid w:val="16B0131F"/>
    <w:rsid w:val="170D15A0"/>
    <w:rsid w:val="17190D77"/>
    <w:rsid w:val="179E6701"/>
    <w:rsid w:val="1810076A"/>
    <w:rsid w:val="1A882BC5"/>
    <w:rsid w:val="1BDC3ADD"/>
    <w:rsid w:val="1CB55F50"/>
    <w:rsid w:val="1D010C08"/>
    <w:rsid w:val="1D8D4567"/>
    <w:rsid w:val="1EB577FE"/>
    <w:rsid w:val="1F6E185C"/>
    <w:rsid w:val="205265F0"/>
    <w:rsid w:val="21FF474D"/>
    <w:rsid w:val="22963E55"/>
    <w:rsid w:val="22BE6110"/>
    <w:rsid w:val="236639AE"/>
    <w:rsid w:val="23B24DA7"/>
    <w:rsid w:val="255A19A9"/>
    <w:rsid w:val="25C70033"/>
    <w:rsid w:val="264B77E9"/>
    <w:rsid w:val="269B5DC7"/>
    <w:rsid w:val="28636AC2"/>
    <w:rsid w:val="28E90C23"/>
    <w:rsid w:val="290A0FAD"/>
    <w:rsid w:val="291B0B92"/>
    <w:rsid w:val="2BB63E23"/>
    <w:rsid w:val="2C3F4D86"/>
    <w:rsid w:val="2C8F18D7"/>
    <w:rsid w:val="2CB73FA4"/>
    <w:rsid w:val="2D5E3A8E"/>
    <w:rsid w:val="2D7D1E7F"/>
    <w:rsid w:val="2F171EEB"/>
    <w:rsid w:val="3283248D"/>
    <w:rsid w:val="33830830"/>
    <w:rsid w:val="33B015AE"/>
    <w:rsid w:val="34167117"/>
    <w:rsid w:val="34FD1F69"/>
    <w:rsid w:val="36D0006A"/>
    <w:rsid w:val="376607D1"/>
    <w:rsid w:val="37751F4B"/>
    <w:rsid w:val="39266F39"/>
    <w:rsid w:val="3A743500"/>
    <w:rsid w:val="3BE645DA"/>
    <w:rsid w:val="3DCE0EAA"/>
    <w:rsid w:val="3F577654"/>
    <w:rsid w:val="3FD84188"/>
    <w:rsid w:val="421B395B"/>
    <w:rsid w:val="423B1DB6"/>
    <w:rsid w:val="450347A2"/>
    <w:rsid w:val="483A7C3D"/>
    <w:rsid w:val="489E0ADE"/>
    <w:rsid w:val="48BE4E84"/>
    <w:rsid w:val="4999703E"/>
    <w:rsid w:val="4A8F5A01"/>
    <w:rsid w:val="4B5054E8"/>
    <w:rsid w:val="4D301426"/>
    <w:rsid w:val="4D625F91"/>
    <w:rsid w:val="50B3284E"/>
    <w:rsid w:val="527541A2"/>
    <w:rsid w:val="52E51199"/>
    <w:rsid w:val="530B538A"/>
    <w:rsid w:val="538776CE"/>
    <w:rsid w:val="53FB0D2B"/>
    <w:rsid w:val="560850A9"/>
    <w:rsid w:val="56C81120"/>
    <w:rsid w:val="56F073BC"/>
    <w:rsid w:val="59502B9B"/>
    <w:rsid w:val="5AF36D78"/>
    <w:rsid w:val="5B247858"/>
    <w:rsid w:val="5B255B5E"/>
    <w:rsid w:val="5B645230"/>
    <w:rsid w:val="5B8E7E9F"/>
    <w:rsid w:val="5C271A10"/>
    <w:rsid w:val="5CB82888"/>
    <w:rsid w:val="5ECF67C5"/>
    <w:rsid w:val="5FE33088"/>
    <w:rsid w:val="60110F3E"/>
    <w:rsid w:val="62513BD9"/>
    <w:rsid w:val="62C13123"/>
    <w:rsid w:val="62D103C9"/>
    <w:rsid w:val="633B6C0F"/>
    <w:rsid w:val="68501C7F"/>
    <w:rsid w:val="688268EC"/>
    <w:rsid w:val="69C01B2E"/>
    <w:rsid w:val="69DC6C4A"/>
    <w:rsid w:val="6A19614E"/>
    <w:rsid w:val="6BB651C2"/>
    <w:rsid w:val="6CB2347A"/>
    <w:rsid w:val="6E867539"/>
    <w:rsid w:val="6FEE5B3D"/>
    <w:rsid w:val="71524C33"/>
    <w:rsid w:val="720B11A1"/>
    <w:rsid w:val="722A1C8E"/>
    <w:rsid w:val="774A7340"/>
    <w:rsid w:val="7A012F4C"/>
    <w:rsid w:val="7AFE10C2"/>
    <w:rsid w:val="7D5403B3"/>
    <w:rsid w:val="7D5869F9"/>
    <w:rsid w:val="7DCC2256"/>
    <w:rsid w:val="7DFE68A7"/>
    <w:rsid w:val="7E082F15"/>
    <w:rsid w:val="7E0A102A"/>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8">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3">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4">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5">
    <w:name w:val="bshare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3461</Words>
  <Characters>3687</Characters>
  <Lines>0</Lines>
  <Paragraphs>0</Paragraphs>
  <TotalTime>27</TotalTime>
  <ScaleCrop>false</ScaleCrop>
  <LinksUpToDate>false</LinksUpToDate>
  <CharactersWithSpaces>3814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温馨</cp:lastModifiedBy>
  <cp:lastPrinted>2020-05-18T02:11:00Z</cp:lastPrinted>
  <dcterms:modified xsi:type="dcterms:W3CDTF">2023-12-18T08:42:36Z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932CD72C6350479F862DAA9909BE9DD7_13</vt:lpwstr>
  </property>
</Properties>
</file>