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广东路街道社区卫生服务中心</w:t>
      </w:r>
    </w:p>
    <w:p>
      <w:pPr>
        <w:spacing w:line="360" w:lineRule="auto"/>
        <w:jc w:val="center"/>
        <w:rPr>
          <w:rFonts w:eastAsia="方正小标宋_GBK"/>
          <w:sz w:val="48"/>
          <w:szCs w:val="48"/>
        </w:rPr>
      </w:pPr>
      <w:r>
        <w:rPr>
          <w:sz w:val="48"/>
          <w:szCs w:val="48"/>
        </w:rPr>
        <w:t>部门整体支出绩效自评报告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pStyle w:val="5"/>
        <w:tabs>
          <w:tab w:val="left" w:pos="1113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（一）部门基本情况</w:t>
      </w:r>
    </w:p>
    <w:p>
      <w:pPr>
        <w:pStyle w:val="5"/>
        <w:tabs>
          <w:tab w:val="left" w:pos="1113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1.机构设置</w:t>
      </w:r>
    </w:p>
    <w:p>
      <w:pPr>
        <w:pStyle w:val="5"/>
        <w:tabs>
          <w:tab w:val="left" w:pos="1101"/>
        </w:tabs>
        <w:spacing w:line="360" w:lineRule="auto"/>
        <w:ind w:firstLine="480" w:firstLineChars="15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广东路街道社区卫生服务中心位于珠晖区东风南路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号，是由珠晖区妇幼保健院承办，成立于2007年5月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是一所公益性非营利性医疗机构，是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预防、医疗、康复、保健、健康教育、计划生育指导“六位一体”卫生服务的一所新型社区卫生服务中心。本部门共有编制人数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25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（定编不定人）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，</w:t>
      </w:r>
      <w:r>
        <w:rPr>
          <w:rStyle w:val="6"/>
          <w:rFonts w:hint="eastAsia" w:hAnsi="仿宋" w:eastAsia="仿宋"/>
          <w:kern w:val="2"/>
          <w:lang w:eastAsia="zh-CN"/>
        </w:rPr>
        <w:t>2022年</w:t>
      </w:r>
      <w:r>
        <w:rPr>
          <w:rStyle w:val="6"/>
          <w:rFonts w:hint="default" w:hAnsi="仿宋"/>
          <w:kern w:val="2"/>
        </w:rPr>
        <w:t>末实有在职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43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人。</w:t>
      </w:r>
      <w:bookmarkStart w:id="4" w:name="_GoBack"/>
      <w:bookmarkEnd w:id="4"/>
    </w:p>
    <w:p>
      <w:pPr>
        <w:pStyle w:val="5"/>
        <w:tabs>
          <w:tab w:val="left" w:pos="1101"/>
        </w:tabs>
        <w:spacing w:line="360" w:lineRule="auto"/>
        <w:ind w:firstLine="5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2.职能职责</w:t>
      </w:r>
    </w:p>
    <w:p>
      <w:pPr>
        <w:pStyle w:val="5"/>
        <w:tabs>
          <w:tab w:val="left" w:pos="1101"/>
        </w:tabs>
        <w:spacing w:line="360" w:lineRule="auto"/>
        <w:ind w:firstLine="500"/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宗旨和服务范围：以健康为中心、社区为范围、家庭为单位、需求为导向，为社区居民提供安全、有效、便捷、经济的生命全周期健康服务。</w:t>
      </w:r>
    </w:p>
    <w:p>
      <w:pPr>
        <w:pStyle w:val="5"/>
        <w:numPr>
          <w:ilvl w:val="0"/>
          <w:numId w:val="1"/>
        </w:numPr>
        <w:tabs>
          <w:tab w:val="left" w:pos="1101"/>
        </w:tabs>
        <w:spacing w:line="360" w:lineRule="auto"/>
        <w:ind w:firstLine="482" w:firstLineChars="15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部门整体支出规模、使用方向和主要内容、涉及范围等。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收入总额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1061.86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万元，财政拨款收入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247.59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万元，占收入总额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23.32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%。上级补助收入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万元，占收入总额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%。支出总额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1061.86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万元。</w:t>
      </w:r>
    </w:p>
    <w:p>
      <w:pPr>
        <w:pStyle w:val="5"/>
        <w:tabs>
          <w:tab w:val="left" w:pos="1101"/>
        </w:tabs>
        <w:spacing w:line="360" w:lineRule="auto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bookmarkStart w:id="0" w:name="bookmark94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二</w:t>
      </w:r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、部门整体支出管理及使用情况</w:t>
      </w:r>
    </w:p>
    <w:p>
      <w:pPr>
        <w:ind w:firstLine="645"/>
        <w:rPr>
          <w:rFonts w:eastAsia="仿宋_GB2312"/>
          <w:b/>
          <w:bCs/>
          <w:sz w:val="28"/>
          <w:szCs w:val="28"/>
        </w:rPr>
      </w:pPr>
      <w:bookmarkStart w:id="1" w:name="bookmark96"/>
      <w:r>
        <w:rPr>
          <w:rFonts w:hint="eastAsia" w:eastAsia="仿宋_GB2312"/>
          <w:b/>
          <w:bCs/>
          <w:sz w:val="28"/>
          <w:szCs w:val="28"/>
        </w:rPr>
        <w:t>（一）基本支出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度基本支出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1061.86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包含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人员经费支出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商品和服务支出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对个人和家庭的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补助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“三公”经费支出为零。</w:t>
      </w:r>
    </w:p>
    <w:bookmarkEnd w:id="1"/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bookmarkStart w:id="2" w:name="bookmark100"/>
      <w:r>
        <w:rPr>
          <w:rFonts w:hint="eastAsia" w:eastAsia="仿宋_GB2312"/>
          <w:b/>
          <w:bCs/>
          <w:sz w:val="28"/>
          <w:szCs w:val="28"/>
        </w:rPr>
        <w:t>（二）项目支出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本单位无项目支出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。</w:t>
      </w:r>
    </w:p>
    <w:bookmarkEnd w:id="2"/>
    <w:p>
      <w:pPr>
        <w:pStyle w:val="5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、部门整体支出绩效情况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bookmarkStart w:id="3" w:name="bookmark103"/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保障了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部门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有效运转。严格按照厉行节约的要求，精打细算，规范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部门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事务管理工作，提高服务质量，降低运行成本，合理配置，提高保障能力。</w:t>
      </w:r>
    </w:p>
    <w:bookmarkEnd w:id="3"/>
    <w:p/>
    <w:p/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4wtzDYAAAADQEAAA8AAAAAAAAAAQAgAAAAIgAAAGRy&#10;cy9kb3ducmV2LnhtbFBLAQIUABQAAAAIAIdO4kDnejedzAEAAJs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F7605"/>
    <w:multiLevelType w:val="singleLevel"/>
    <w:tmpl w:val="75FF76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TM2ZTA0MDY1OTQzMTVkOGNiYWNlNmVjNzE1MjEifQ=="/>
  </w:docVars>
  <w:rsids>
    <w:rsidRoot w:val="3AB22560"/>
    <w:rsid w:val="00C12E2B"/>
    <w:rsid w:val="042C6CC6"/>
    <w:rsid w:val="06DD649D"/>
    <w:rsid w:val="0FD3668F"/>
    <w:rsid w:val="1EF06916"/>
    <w:rsid w:val="27E31A18"/>
    <w:rsid w:val="2A3C2900"/>
    <w:rsid w:val="2E7F5F84"/>
    <w:rsid w:val="33723946"/>
    <w:rsid w:val="3AB22560"/>
    <w:rsid w:val="65913850"/>
    <w:rsid w:val="6BCA5507"/>
    <w:rsid w:val="73F43927"/>
    <w:rsid w:val="7CFC55FB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character" w:customStyle="1" w:styleId="6">
    <w:name w:val="ca-31"/>
    <w:basedOn w:val="4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7">
    <w:name w:val="Header or footer|2"/>
    <w:basedOn w:val="1"/>
    <w:qFormat/>
    <w:uiPriority w:val="0"/>
    <w:rPr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1027</Characters>
  <Lines>0</Lines>
  <Paragraphs>0</Paragraphs>
  <TotalTime>5</TotalTime>
  <ScaleCrop>false</ScaleCrop>
  <LinksUpToDate>false</LinksUpToDate>
  <CharactersWithSpaces>1027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2022-10-28T01:07:00Z</dcterms:created>
  <dc:creator>Administrator</dc:creator>
  <cp:lastModifiedBy>理山</cp:lastModifiedBy>
  <dcterms:modified xsi:type="dcterms:W3CDTF">2023-11-29T08:10:16Z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7759698B0EF345B0A3A6BD9C8EF7FC25</vt:lpwstr>
  </property>
</Properties>
</file>