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val="0"/>
        <w:shd w:val="clear" w:color="auto" w:fill="auto"/>
        <w:bidi w:val="0"/>
        <w:spacing w:after="420" w:line="240" w:lineRule="auto"/>
        <w:ind w:left="0" w:leftChars="0" w:right="0" w:firstLine="0" w:firstLineChars="0"/>
        <w:jc w:val="cente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pPr>
      <w: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t>部</w:t>
      </w:r>
      <w:r>
        <w:rPr>
          <w:rFonts w:hint="eastAsia" w:ascii="Times New Roman" w:hAnsi="Times New Roman" w:eastAsia="仿宋" w:cs="Times New Roman"/>
          <w:b/>
          <w:bCs/>
          <w:color w:val="000000"/>
          <w:spacing w:val="0"/>
          <w:w w:val="100"/>
          <w:position w:val="0"/>
          <w:sz w:val="32"/>
          <w:szCs w:val="32"/>
          <w:u w:val="none"/>
          <w:shd w:val="clear" w:color="auto" w:fill="auto"/>
          <w:lang w:val="en-US" w:eastAsia="zh-CN" w:bidi="zh-CN"/>
        </w:rPr>
        <w:t>门</w:t>
      </w:r>
      <w: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t>整体支出绩效评价指标表</w:t>
      </w:r>
    </w:p>
    <w:tbl>
      <w:tblPr>
        <w:tblStyle w:val="2"/>
        <w:tblW w:w="9872" w:type="dxa"/>
        <w:jc w:val="center"/>
        <w:tblLayout w:type="fixed"/>
        <w:tblCellMar>
          <w:top w:w="0" w:type="dxa"/>
          <w:left w:w="10" w:type="dxa"/>
          <w:bottom w:w="0" w:type="dxa"/>
          <w:right w:w="10" w:type="dxa"/>
        </w:tblCellMar>
      </w:tblPr>
      <w:tblGrid>
        <w:gridCol w:w="349"/>
        <w:gridCol w:w="543"/>
        <w:gridCol w:w="366"/>
        <w:gridCol w:w="666"/>
        <w:gridCol w:w="936"/>
        <w:gridCol w:w="398"/>
        <w:gridCol w:w="2704"/>
        <w:gridCol w:w="3178"/>
        <w:gridCol w:w="732"/>
      </w:tblGrid>
      <w:tr>
        <w:tblPrEx>
          <w:tblCellMar>
            <w:top w:w="0" w:type="dxa"/>
            <w:left w:w="10" w:type="dxa"/>
            <w:bottom w:w="0" w:type="dxa"/>
            <w:right w:w="10" w:type="dxa"/>
          </w:tblCellMar>
        </w:tblPrEx>
        <w:trPr>
          <w:trHeight w:val="1272" w:hRule="exact"/>
          <w:jc w:val="center"/>
        </w:trPr>
        <w:tc>
          <w:tcPr>
            <w:tcW w:w="349"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eastAsia="zh-CN"/>
              </w:rPr>
              <w:t>一</w:t>
            </w:r>
            <w:r>
              <w:rPr>
                <w:rFonts w:hint="eastAsia" w:ascii="宋体" w:hAnsi="宋体" w:eastAsia="宋体" w:cs="宋体"/>
                <w:color w:val="000000"/>
                <w:spacing w:val="0"/>
                <w:w w:val="100"/>
                <w:position w:val="0"/>
                <w:sz w:val="18"/>
                <w:szCs w:val="18"/>
              </w:rPr>
              <w:t>级 指 标</w:t>
            </w:r>
          </w:p>
        </w:tc>
        <w:tc>
          <w:tcPr>
            <w:tcW w:w="543"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366"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312" w:lineRule="exact"/>
              <w:ind w:right="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eastAsia="zh-CN"/>
              </w:rPr>
              <w:t>二</w:t>
            </w:r>
            <w:r>
              <w:rPr>
                <w:rFonts w:hint="eastAsia" w:ascii="宋体" w:hAnsi="宋体" w:eastAsia="宋体" w:cs="宋体"/>
                <w:color w:val="000000"/>
                <w:spacing w:val="0"/>
                <w:w w:val="100"/>
                <w:position w:val="0"/>
                <w:sz w:val="18"/>
                <w:szCs w:val="18"/>
              </w:rPr>
              <w:t>级 指 标</w:t>
            </w:r>
          </w:p>
        </w:tc>
        <w:tc>
          <w:tcPr>
            <w:tcW w:w="666"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936"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三级指标</w:t>
            </w:r>
          </w:p>
        </w:tc>
        <w:tc>
          <w:tcPr>
            <w:tcW w:w="39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270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评价标准</w:t>
            </w:r>
          </w:p>
        </w:tc>
        <w:tc>
          <w:tcPr>
            <w:tcW w:w="317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指标说明</w:t>
            </w:r>
          </w:p>
        </w:tc>
        <w:tc>
          <w:tcPr>
            <w:tcW w:w="732"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得 分</w:t>
            </w:r>
          </w:p>
        </w:tc>
      </w:tr>
      <w:tr>
        <w:tblPrEx>
          <w:tblCellMar>
            <w:top w:w="0" w:type="dxa"/>
            <w:left w:w="10" w:type="dxa"/>
            <w:bottom w:w="0" w:type="dxa"/>
            <w:right w:w="10" w:type="dxa"/>
          </w:tblCellMar>
        </w:tblPrEx>
        <w:trPr>
          <w:trHeight w:val="2148" w:hRule="exact"/>
          <w:jc w:val="center"/>
        </w:trPr>
        <w:tc>
          <w:tcPr>
            <w:tcW w:w="349"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8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投</w:t>
            </w:r>
          </w:p>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入</w:t>
            </w:r>
          </w:p>
        </w:tc>
        <w:tc>
          <w:tcPr>
            <w:tcW w:w="543"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13</w:t>
            </w:r>
          </w:p>
        </w:tc>
        <w:tc>
          <w:tcPr>
            <w:tcW w:w="366"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0" w:lineRule="exact"/>
              <w:ind w:right="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 算 配 置</w:t>
            </w:r>
          </w:p>
        </w:tc>
        <w:tc>
          <w:tcPr>
            <w:tcW w:w="666"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13</w:t>
            </w:r>
          </w:p>
        </w:tc>
        <w:tc>
          <w:tcPr>
            <w:tcW w:w="936"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在职人员控制率</w:t>
            </w:r>
          </w:p>
        </w:tc>
        <w:tc>
          <w:tcPr>
            <w:tcW w:w="39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4"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以</w:t>
            </w: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为标准。在职人员 控制率</w:t>
            </w:r>
            <w:r>
              <w:rPr>
                <w:rFonts w:hint="eastAsia" w:ascii="宋体" w:hAnsi="宋体" w:eastAsia="宋体" w:cs="宋体"/>
                <w:b/>
                <w:bCs/>
                <w:color w:val="000000"/>
                <w:spacing w:val="0"/>
                <w:w w:val="100"/>
                <w:position w:val="0"/>
                <w:sz w:val="18"/>
                <w:szCs w:val="18"/>
                <w:lang w:val="en-US" w:eastAsia="en-US" w:bidi="en-US"/>
              </w:rPr>
              <w:t xml:space="preserve">≦ </w:t>
            </w: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分；每 超过一个百分点扣</w:t>
            </w:r>
            <w:r>
              <w:rPr>
                <w:rFonts w:hint="eastAsia" w:ascii="宋体" w:hAnsi="宋体" w:eastAsia="宋体" w:cs="宋体"/>
                <w:b/>
                <w:bCs/>
                <w:color w:val="000000"/>
                <w:spacing w:val="0"/>
                <w:w w:val="100"/>
                <w:position w:val="0"/>
                <w:sz w:val="18"/>
                <w:szCs w:val="18"/>
                <w:lang w:val="en-US" w:eastAsia="en-US" w:bidi="en-US"/>
              </w:rPr>
              <w:t>0.5</w:t>
            </w:r>
            <w:r>
              <w:rPr>
                <w:rFonts w:hint="eastAsia" w:ascii="宋体" w:hAnsi="宋体" w:eastAsia="宋体" w:cs="宋体"/>
                <w:color w:val="000000"/>
                <w:spacing w:val="0"/>
                <w:w w:val="100"/>
                <w:position w:val="0"/>
                <w:sz w:val="18"/>
                <w:szCs w:val="18"/>
              </w:rPr>
              <w:t>分， 扣完为止。</w:t>
            </w:r>
          </w:p>
        </w:tc>
        <w:tc>
          <w:tcPr>
            <w:tcW w:w="317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3"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在职人员控制率=（在职人员数/ 编制数）×</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color w:val="000000"/>
                <w:spacing w:val="0"/>
                <w:w w:val="100"/>
                <w:position w:val="0"/>
                <w:sz w:val="18"/>
                <w:szCs w:val="18"/>
              </w:rPr>
              <w:t>在职人员数： 部门（单位）实际在职人数，以财政部门确定的部门决算编制口径为准。</w:t>
            </w:r>
          </w:p>
          <w:p>
            <w:pPr>
              <w:pStyle w:val="5"/>
              <w:keepNext w:val="0"/>
              <w:keepLines w:val="0"/>
              <w:widowControl w:val="0"/>
              <w:shd w:val="clear" w:color="auto" w:fill="auto"/>
              <w:bidi w:val="0"/>
              <w:spacing w:before="0" w:after="0" w:line="313"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编制数：机构编制部门核定批复的部门（单位）的人员编制数。</w:t>
            </w:r>
          </w:p>
        </w:tc>
        <w:tc>
          <w:tcPr>
            <w:tcW w:w="732"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r>
        <w:tblPrEx>
          <w:tblCellMar>
            <w:top w:w="0" w:type="dxa"/>
            <w:left w:w="10" w:type="dxa"/>
            <w:bottom w:w="0" w:type="dxa"/>
            <w:right w:w="10" w:type="dxa"/>
          </w:tblCellMar>
        </w:tblPrEx>
        <w:trPr>
          <w:trHeight w:val="1551" w:hRule="exact"/>
          <w:jc w:val="center"/>
        </w:trPr>
        <w:tc>
          <w:tcPr>
            <w:tcW w:w="349"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43"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366"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66"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36"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“三公经费,，变动率</w:t>
            </w:r>
          </w:p>
        </w:tc>
        <w:tc>
          <w:tcPr>
            <w:tcW w:w="39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270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8"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“三公经费”变动率</w:t>
            </w:r>
            <w:r>
              <w:rPr>
                <w:rFonts w:hint="eastAsia" w:ascii="宋体" w:hAnsi="宋体" w:eastAsia="宋体" w:cs="宋体"/>
                <w:b/>
                <w:bCs/>
                <w:color w:val="000000"/>
                <w:spacing w:val="0"/>
                <w:w w:val="100"/>
                <w:position w:val="0"/>
                <w:sz w:val="18"/>
                <w:szCs w:val="18"/>
                <w:lang w:val="en-US" w:eastAsia="en-US" w:bidi="en-US"/>
              </w:rPr>
              <w:t>≦0,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 xml:space="preserve">8 </w:t>
            </w:r>
            <w:r>
              <w:rPr>
                <w:rFonts w:hint="eastAsia" w:ascii="宋体" w:hAnsi="宋体" w:eastAsia="宋体" w:cs="宋体"/>
                <w:color w:val="000000"/>
                <w:spacing w:val="0"/>
                <w:w w:val="100"/>
                <w:position w:val="0"/>
                <w:sz w:val="18"/>
                <w:szCs w:val="18"/>
              </w:rPr>
              <w:t>分；“三公经费</w:t>
            </w:r>
            <w:r>
              <w:rPr>
                <w:rFonts w:hint="eastAsia" w:ascii="宋体" w:hAnsi="宋体" w:eastAsia="宋体" w:cs="宋体"/>
                <w:b/>
                <w:bCs/>
                <w:color w:val="000000"/>
                <w:spacing w:val="0"/>
                <w:w w:val="100"/>
                <w:position w:val="0"/>
                <w:sz w:val="18"/>
                <w:szCs w:val="18"/>
              </w:rPr>
              <w:t>”&gt;0,</w:t>
            </w:r>
            <w:r>
              <w:rPr>
                <w:rFonts w:hint="eastAsia" w:ascii="宋体" w:hAnsi="宋体" w:eastAsia="宋体" w:cs="宋体"/>
                <w:color w:val="000000"/>
                <w:spacing w:val="0"/>
                <w:w w:val="100"/>
                <w:position w:val="0"/>
                <w:sz w:val="18"/>
                <w:szCs w:val="18"/>
              </w:rPr>
              <w:t>每超过 一个百分点扣</w:t>
            </w:r>
            <w:r>
              <w:rPr>
                <w:rFonts w:hint="eastAsia" w:ascii="宋体" w:hAnsi="宋体" w:eastAsia="宋体" w:cs="宋体"/>
                <w:b/>
                <w:bCs/>
                <w:color w:val="000000"/>
                <w:spacing w:val="0"/>
                <w:w w:val="100"/>
                <w:position w:val="0"/>
                <w:sz w:val="18"/>
                <w:szCs w:val="18"/>
                <w:lang w:val="en-US" w:eastAsia="en-US" w:bidi="en-US"/>
              </w:rPr>
              <w:t>0.8</w:t>
            </w:r>
            <w:r>
              <w:rPr>
                <w:rFonts w:hint="eastAsia" w:ascii="宋体" w:hAnsi="宋体" w:eastAsia="宋体" w:cs="宋体"/>
                <w:color w:val="000000"/>
                <w:spacing w:val="0"/>
                <w:w w:val="100"/>
                <w:position w:val="0"/>
                <w:sz w:val="18"/>
                <w:szCs w:val="18"/>
              </w:rPr>
              <w:t>分，扣完为止。</w:t>
            </w:r>
          </w:p>
        </w:tc>
        <w:tc>
          <w:tcPr>
            <w:tcW w:w="317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9"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“在公经费”变动率=［（本年度“三 公经费”预算数-上年度“三公经 费"预算数）/上年度“三公经费” 预算数</w:t>
            </w:r>
            <w:r>
              <w:rPr>
                <w:rFonts w:hint="eastAsia" w:ascii="宋体" w:hAnsi="宋体" w:eastAsia="宋体" w:cs="宋体"/>
                <w:b/>
                <w:bCs/>
                <w:color w:val="000000"/>
                <w:spacing w:val="0"/>
                <w:w w:val="100"/>
                <w:position w:val="0"/>
                <w:sz w:val="18"/>
                <w:szCs w:val="18"/>
                <w:lang w:val="en-US" w:eastAsia="en-US" w:bidi="en-US"/>
              </w:rPr>
              <w:t>］</w:t>
            </w:r>
            <w:r>
              <w:rPr>
                <w:rFonts w:hint="eastAsia" w:ascii="宋体" w:hAnsi="宋体" w:eastAsia="宋体" w:cs="宋体"/>
                <w:color w:val="000000"/>
                <w:spacing w:val="0"/>
                <w:w w:val="100"/>
                <w:position w:val="0"/>
                <w:sz w:val="18"/>
                <w:szCs w:val="18"/>
              </w:rPr>
              <w:t>×</w:t>
            </w:r>
            <w:r>
              <w:rPr>
                <w:rFonts w:hint="eastAsia" w:ascii="宋体" w:hAnsi="宋体" w:eastAsia="宋体" w:cs="宋体"/>
                <w:b/>
                <w:bCs/>
                <w:color w:val="000000"/>
                <w:spacing w:val="0"/>
                <w:w w:val="100"/>
                <w:position w:val="0"/>
                <w:sz w:val="18"/>
                <w:szCs w:val="18"/>
                <w:lang w:val="en-US" w:eastAsia="en-US" w:bidi="en-US"/>
              </w:rPr>
              <w:t>100%</w:t>
            </w:r>
          </w:p>
        </w:tc>
        <w:tc>
          <w:tcPr>
            <w:tcW w:w="732"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r>
      <w:tr>
        <w:tblPrEx>
          <w:tblCellMar>
            <w:top w:w="0" w:type="dxa"/>
            <w:left w:w="10" w:type="dxa"/>
            <w:bottom w:w="0" w:type="dxa"/>
            <w:right w:w="10" w:type="dxa"/>
          </w:tblCellMar>
        </w:tblPrEx>
        <w:trPr>
          <w:trHeight w:val="1268" w:hRule="exact"/>
          <w:jc w:val="center"/>
        </w:trPr>
        <w:tc>
          <w:tcPr>
            <w:tcW w:w="349"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过 程</w:t>
            </w:r>
          </w:p>
        </w:tc>
        <w:tc>
          <w:tcPr>
            <w:tcW w:w="543"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61</w:t>
            </w:r>
          </w:p>
        </w:tc>
        <w:tc>
          <w:tcPr>
            <w:tcW w:w="366"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right="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 算 执 行</w:t>
            </w:r>
          </w:p>
        </w:tc>
        <w:tc>
          <w:tcPr>
            <w:tcW w:w="666"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20</w:t>
            </w:r>
          </w:p>
        </w:tc>
        <w:tc>
          <w:tcPr>
            <w:tcW w:w="936"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预算完成率</w:t>
            </w:r>
          </w:p>
        </w:tc>
        <w:tc>
          <w:tcPr>
            <w:tcW w:w="39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计满分，每低于</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分，扣完为止。</w:t>
            </w:r>
          </w:p>
        </w:tc>
        <w:tc>
          <w:tcPr>
            <w:tcW w:w="317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预算完成率=（上年结转+年初预 算+本年追加预算一年末结余/上年结转+年初预算+本年追加预 算）×</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b/>
                <w:bCs/>
                <w:color w:val="000000"/>
                <w:spacing w:val="0"/>
                <w:w w:val="100"/>
                <w:position w:val="0"/>
                <w:sz w:val="18"/>
                <w:szCs w:val="18"/>
                <w:lang w:val="en-US" w:eastAsia="zh-CN" w:bidi="en-US"/>
              </w:rPr>
              <w:t>。</w:t>
            </w:r>
          </w:p>
        </w:tc>
        <w:tc>
          <w:tcPr>
            <w:tcW w:w="732"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3</w:t>
            </w:r>
          </w:p>
        </w:tc>
      </w:tr>
      <w:tr>
        <w:tblPrEx>
          <w:tblCellMar>
            <w:top w:w="0" w:type="dxa"/>
            <w:left w:w="10" w:type="dxa"/>
            <w:bottom w:w="0" w:type="dxa"/>
            <w:right w:w="10" w:type="dxa"/>
          </w:tblCellMar>
        </w:tblPrEx>
        <w:trPr>
          <w:trHeight w:val="1950" w:hRule="exact"/>
          <w:jc w:val="center"/>
        </w:trPr>
        <w:tc>
          <w:tcPr>
            <w:tcW w:w="349"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43"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366"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66"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36"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预算控制率</w:t>
            </w:r>
          </w:p>
        </w:tc>
        <w:tc>
          <w:tcPr>
            <w:tcW w:w="39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both"/>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预算控制率</w:t>
            </w:r>
            <w:r>
              <w:rPr>
                <w:rFonts w:hint="eastAsia" w:ascii="宋体" w:hAnsi="宋体" w:eastAsia="宋体" w:cs="宋体"/>
                <w:b/>
                <w:bCs/>
                <w:color w:val="000000"/>
                <w:spacing w:val="0"/>
                <w:w w:val="100"/>
                <w:position w:val="0"/>
                <w:sz w:val="18"/>
                <w:szCs w:val="18"/>
              </w:rPr>
              <w:t>=0,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分；</w:t>
            </w:r>
          </w:p>
          <w:p>
            <w:pPr>
              <w:pStyle w:val="5"/>
              <w:keepNext w:val="0"/>
              <w:keepLines w:val="0"/>
              <w:widowControl w:val="0"/>
              <w:shd w:val="clear" w:color="auto" w:fill="auto"/>
              <w:bidi w:val="0"/>
              <w:spacing w:before="0" w:after="0" w:line="312" w:lineRule="exact"/>
              <w:ind w:left="200" w:right="0" w:hanging="200"/>
              <w:jc w:val="both"/>
              <w:rPr>
                <w:rFonts w:hint="eastAsia" w:cs="宋体"/>
                <w:color w:val="000000"/>
                <w:spacing w:val="0"/>
                <w:w w:val="100"/>
                <w:position w:val="0"/>
                <w:sz w:val="18"/>
                <w:szCs w:val="18"/>
                <w:lang w:val="en-US" w:eastAsia="zh-CN"/>
              </w:rPr>
            </w:pPr>
            <w:r>
              <w:rPr>
                <w:rFonts w:hint="eastAsia" w:ascii="宋体" w:hAnsi="宋体" w:eastAsia="宋体" w:cs="宋体"/>
                <w:b/>
                <w:bCs/>
                <w:color w:val="000000"/>
                <w:spacing w:val="0"/>
                <w:w w:val="100"/>
                <w:position w:val="0"/>
                <w:sz w:val="18"/>
                <w:szCs w:val="18"/>
              </w:rPr>
              <w:t xml:space="preserve">0-10% </w:t>
            </w:r>
            <w:r>
              <w:rPr>
                <w:rFonts w:hint="eastAsia" w:ascii="宋体" w:hAnsi="宋体" w:eastAsia="宋体" w:cs="宋体"/>
                <w:color w:val="000000"/>
                <w:spacing w:val="0"/>
                <w:w w:val="100"/>
                <w:position w:val="0"/>
                <w:sz w:val="18"/>
                <w:szCs w:val="18"/>
              </w:rPr>
              <w:t xml:space="preserve">（含），计 </w:t>
            </w:r>
            <w:r>
              <w:rPr>
                <w:rFonts w:hint="eastAsia" w:ascii="宋体" w:hAnsi="宋体" w:eastAsia="宋体" w:cs="宋体"/>
                <w:b/>
                <w:bCs/>
                <w:color w:val="000000"/>
                <w:spacing w:val="0"/>
                <w:w w:val="100"/>
                <w:position w:val="0"/>
                <w:sz w:val="18"/>
                <w:szCs w:val="18"/>
              </w:rPr>
              <w:t xml:space="preserve">4 </w:t>
            </w:r>
            <w:r>
              <w:rPr>
                <w:rFonts w:hint="eastAsia" w:ascii="宋体" w:hAnsi="宋体" w:eastAsia="宋体" w:cs="宋体"/>
                <w:color w:val="000000"/>
                <w:spacing w:val="0"/>
                <w:w w:val="100"/>
                <w:position w:val="0"/>
                <w:sz w:val="18"/>
                <w:szCs w:val="18"/>
              </w:rPr>
              <w:t>分；</w:t>
            </w:r>
            <w:r>
              <w:rPr>
                <w:rFonts w:hint="eastAsia" w:cs="宋体"/>
                <w:color w:val="000000"/>
                <w:spacing w:val="0"/>
                <w:w w:val="100"/>
                <w:position w:val="0"/>
                <w:sz w:val="18"/>
                <w:szCs w:val="18"/>
                <w:lang w:val="en-US" w:eastAsia="zh-CN"/>
              </w:rPr>
              <w:t xml:space="preserve"> </w:t>
            </w:r>
          </w:p>
          <w:p>
            <w:pPr>
              <w:pStyle w:val="5"/>
              <w:keepNext w:val="0"/>
              <w:keepLines w:val="0"/>
              <w:widowControl w:val="0"/>
              <w:shd w:val="clear" w:color="auto" w:fill="auto"/>
              <w:bidi w:val="0"/>
              <w:spacing w:before="0" w:after="0" w:line="312" w:lineRule="exact"/>
              <w:ind w:left="200" w:right="0" w:hanging="200"/>
              <w:jc w:val="both"/>
              <w:rPr>
                <w:rFonts w:hint="eastAsia" w:cs="宋体"/>
                <w:b/>
                <w:bCs/>
                <w:color w:val="000000"/>
                <w:spacing w:val="0"/>
                <w:w w:val="100"/>
                <w:position w:val="0"/>
                <w:sz w:val="18"/>
                <w:szCs w:val="18"/>
                <w:lang w:val="en-US" w:eastAsia="zh-CN"/>
              </w:rPr>
            </w:pPr>
            <w:r>
              <w:rPr>
                <w:rFonts w:hint="eastAsia" w:ascii="宋体" w:hAnsi="宋体" w:eastAsia="宋体" w:cs="宋体"/>
                <w:b/>
                <w:bCs/>
                <w:color w:val="000000"/>
                <w:spacing w:val="0"/>
                <w:w w:val="100"/>
                <w:position w:val="0"/>
                <w:sz w:val="18"/>
                <w:szCs w:val="18"/>
              </w:rPr>
              <w:t xml:space="preserve">10-20% </w:t>
            </w:r>
            <w:r>
              <w:rPr>
                <w:rFonts w:hint="eastAsia" w:ascii="宋体" w:hAnsi="宋体" w:eastAsia="宋体" w:cs="宋体"/>
                <w:color w:val="000000"/>
                <w:spacing w:val="0"/>
                <w:w w:val="100"/>
                <w:position w:val="0"/>
                <w:sz w:val="18"/>
                <w:szCs w:val="18"/>
              </w:rPr>
              <w:t>（含），计</w:t>
            </w:r>
            <w:r>
              <w:rPr>
                <w:rFonts w:hint="eastAsia" w:ascii="宋体" w:hAnsi="宋体" w:eastAsia="宋体" w:cs="宋体"/>
                <w:b/>
                <w:bCs/>
                <w:color w:val="000000"/>
                <w:spacing w:val="0"/>
                <w:w w:val="100"/>
                <w:position w:val="0"/>
                <w:sz w:val="18"/>
                <w:szCs w:val="18"/>
              </w:rPr>
              <w:t xml:space="preserve">3 </w:t>
            </w:r>
            <w:r>
              <w:rPr>
                <w:rFonts w:hint="eastAsia" w:ascii="宋体" w:hAnsi="宋体" w:eastAsia="宋体" w:cs="宋体"/>
                <w:color w:val="000000"/>
                <w:spacing w:val="0"/>
                <w:w w:val="100"/>
                <w:position w:val="0"/>
                <w:sz w:val="18"/>
                <w:szCs w:val="18"/>
              </w:rPr>
              <w:t>分</w:t>
            </w:r>
            <w:r>
              <w:rPr>
                <w:rFonts w:hint="eastAsia" w:ascii="宋体" w:hAnsi="宋体" w:eastAsia="宋体" w:cs="宋体"/>
                <w:b/>
                <w:bCs/>
                <w:color w:val="000000"/>
                <w:spacing w:val="0"/>
                <w:w w:val="100"/>
                <w:position w:val="0"/>
                <w:sz w:val="18"/>
                <w:szCs w:val="18"/>
              </w:rPr>
              <w:t>；</w:t>
            </w:r>
            <w:r>
              <w:rPr>
                <w:rFonts w:hint="eastAsia" w:cs="宋体"/>
                <w:b/>
                <w:bCs/>
                <w:color w:val="000000"/>
                <w:spacing w:val="0"/>
                <w:w w:val="100"/>
                <w:position w:val="0"/>
                <w:sz w:val="18"/>
                <w:szCs w:val="18"/>
                <w:lang w:val="en-US" w:eastAsia="zh-CN"/>
              </w:rPr>
              <w:t xml:space="preserve"> </w:t>
            </w:r>
          </w:p>
          <w:p>
            <w:pPr>
              <w:pStyle w:val="5"/>
              <w:keepNext w:val="0"/>
              <w:keepLines w:val="0"/>
              <w:widowControl w:val="0"/>
              <w:shd w:val="clear" w:color="auto" w:fill="auto"/>
              <w:bidi w:val="0"/>
              <w:spacing w:before="0" w:after="0" w:line="312" w:lineRule="exact"/>
              <w:ind w:left="200" w:right="0" w:hanging="200"/>
              <w:jc w:val="both"/>
              <w:rPr>
                <w:rFonts w:hint="eastAsia" w:cs="宋体"/>
                <w:color w:val="000000"/>
                <w:spacing w:val="0"/>
                <w:w w:val="100"/>
                <w:position w:val="0"/>
                <w:sz w:val="18"/>
                <w:szCs w:val="18"/>
                <w:lang w:val="en-US" w:eastAsia="zh-CN"/>
              </w:rPr>
            </w:pPr>
            <w:r>
              <w:rPr>
                <w:rFonts w:hint="eastAsia" w:ascii="宋体" w:hAnsi="宋体" w:eastAsia="宋体" w:cs="宋体"/>
                <w:b/>
                <w:bCs/>
                <w:color w:val="000000"/>
                <w:spacing w:val="0"/>
                <w:w w:val="100"/>
                <w:position w:val="0"/>
                <w:sz w:val="18"/>
                <w:szCs w:val="18"/>
              </w:rPr>
              <w:t>20-30%（</w:t>
            </w:r>
            <w:r>
              <w:rPr>
                <w:rFonts w:hint="eastAsia" w:ascii="宋体" w:hAnsi="宋体" w:eastAsia="宋体" w:cs="宋体"/>
                <w:color w:val="000000"/>
                <w:spacing w:val="0"/>
                <w:w w:val="100"/>
                <w:position w:val="0"/>
                <w:sz w:val="18"/>
                <w:szCs w:val="18"/>
              </w:rPr>
              <w:t>含），计</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w:t>
            </w:r>
            <w:r>
              <w:rPr>
                <w:rFonts w:hint="eastAsia" w:cs="宋体"/>
                <w:color w:val="000000"/>
                <w:spacing w:val="0"/>
                <w:w w:val="100"/>
                <w:position w:val="0"/>
                <w:sz w:val="18"/>
                <w:szCs w:val="18"/>
                <w:lang w:val="en-US" w:eastAsia="zh-CN"/>
              </w:rPr>
              <w:t xml:space="preserve"> </w:t>
            </w:r>
          </w:p>
          <w:p>
            <w:pPr>
              <w:pStyle w:val="5"/>
              <w:keepNext w:val="0"/>
              <w:keepLines w:val="0"/>
              <w:widowControl w:val="0"/>
              <w:shd w:val="clear" w:color="auto" w:fill="auto"/>
              <w:bidi w:val="0"/>
              <w:spacing w:before="0" w:after="0" w:line="312" w:lineRule="exact"/>
              <w:ind w:left="200" w:right="0" w:hanging="200"/>
              <w:jc w:val="both"/>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大于</w:t>
            </w:r>
            <w:r>
              <w:rPr>
                <w:rFonts w:hint="eastAsia" w:ascii="宋体" w:hAnsi="宋体" w:eastAsia="宋体" w:cs="宋体"/>
                <w:b/>
                <w:bCs/>
                <w:color w:val="000000"/>
                <w:spacing w:val="0"/>
                <w:w w:val="100"/>
                <w:position w:val="0"/>
                <w:sz w:val="18"/>
                <w:szCs w:val="18"/>
              </w:rPr>
              <w:t>30%</w:t>
            </w:r>
            <w:r>
              <w:rPr>
                <w:rFonts w:hint="eastAsia" w:ascii="宋体" w:hAnsi="宋体" w:eastAsia="宋体" w:cs="宋体"/>
                <w:color w:val="000000"/>
                <w:spacing w:val="0"/>
                <w:w w:val="100"/>
                <w:position w:val="0"/>
                <w:sz w:val="18"/>
                <w:szCs w:val="18"/>
              </w:rPr>
              <w:t>不得分</w:t>
            </w:r>
          </w:p>
        </w:tc>
        <w:tc>
          <w:tcPr>
            <w:tcW w:w="317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预算控制率=（本年追加预算/年 初预算）×</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b/>
                <w:bCs/>
                <w:color w:val="000000"/>
                <w:spacing w:val="0"/>
                <w:w w:val="100"/>
                <w:position w:val="0"/>
                <w:sz w:val="18"/>
                <w:szCs w:val="18"/>
                <w:lang w:val="en-US" w:eastAsia="zh-CN" w:bidi="en-US"/>
              </w:rPr>
              <w:t>。</w:t>
            </w:r>
          </w:p>
        </w:tc>
        <w:tc>
          <w:tcPr>
            <w:tcW w:w="732"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w:t>
            </w:r>
          </w:p>
        </w:tc>
      </w:tr>
      <w:tr>
        <w:tblPrEx>
          <w:tblCellMar>
            <w:top w:w="0" w:type="dxa"/>
            <w:left w:w="10" w:type="dxa"/>
            <w:bottom w:w="0" w:type="dxa"/>
            <w:right w:w="10" w:type="dxa"/>
          </w:tblCellMar>
        </w:tblPrEx>
        <w:trPr>
          <w:trHeight w:val="1702" w:hRule="exact"/>
          <w:jc w:val="center"/>
        </w:trPr>
        <w:tc>
          <w:tcPr>
            <w:tcW w:w="349"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43"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366"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66"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36"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新建楼堂馆所面积控 制率</w:t>
            </w:r>
          </w:p>
        </w:tc>
        <w:tc>
          <w:tcPr>
            <w:tcW w:w="398"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以下（含）计满分，每超出</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分，扣完为止。 没有楼堂馆所项目的部门按满分计算</w:t>
            </w:r>
          </w:p>
        </w:tc>
        <w:tc>
          <w:tcPr>
            <w:tcW w:w="3178"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4"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楼堂馆所面积控制率=实际建设面积/批准建设面积×</w:t>
            </w:r>
            <w:r>
              <w:rPr>
                <w:rFonts w:hint="eastAsia" w:ascii="宋体" w:hAnsi="宋体" w:eastAsia="宋体" w:cs="宋体"/>
                <w:b/>
                <w:bCs/>
                <w:color w:val="000000"/>
                <w:spacing w:val="0"/>
                <w:w w:val="100"/>
                <w:position w:val="0"/>
                <w:sz w:val="18"/>
                <w:szCs w:val="18"/>
                <w:lang w:val="en-US" w:eastAsia="en-US" w:bidi="en-US"/>
              </w:rPr>
              <w:t xml:space="preserve">100% </w:t>
            </w:r>
            <w:r>
              <w:rPr>
                <w:rFonts w:hint="eastAsia" w:ascii="宋体" w:hAnsi="宋体" w:eastAsia="宋体" w:cs="宋体"/>
                <w:b/>
                <w:bCs/>
                <w:color w:val="000000"/>
                <w:spacing w:val="0"/>
                <w:w w:val="100"/>
                <w:position w:val="0"/>
                <w:sz w:val="18"/>
                <w:szCs w:val="18"/>
              </w:rPr>
              <w:t xml:space="preserve">= </w:t>
            </w:r>
            <w:r>
              <w:rPr>
                <w:rFonts w:hint="eastAsia" w:ascii="宋体" w:hAnsi="宋体" w:eastAsia="宋体" w:cs="宋体"/>
                <w:color w:val="000000"/>
                <w:spacing w:val="0"/>
                <w:w w:val="100"/>
                <w:position w:val="0"/>
                <w:sz w:val="18"/>
                <w:szCs w:val="18"/>
              </w:rPr>
              <w:t>该指标以</w:t>
            </w:r>
            <w:r>
              <w:rPr>
                <w:rFonts w:hint="eastAsia" w:cs="宋体"/>
                <w:b/>
                <w:bCs/>
                <w:color w:val="000000"/>
                <w:spacing w:val="0"/>
                <w:w w:val="100"/>
                <w:position w:val="0"/>
                <w:sz w:val="18"/>
                <w:szCs w:val="18"/>
                <w:lang w:val="en-US" w:eastAsia="zh-CN"/>
              </w:rPr>
              <w:t>2021</w:t>
            </w:r>
            <w:r>
              <w:rPr>
                <w:rFonts w:hint="eastAsia" w:ascii="宋体" w:hAnsi="宋体" w:eastAsia="宋体" w:cs="宋体"/>
                <w:color w:val="000000"/>
                <w:spacing w:val="0"/>
                <w:w w:val="100"/>
                <w:position w:val="0"/>
                <w:sz w:val="18"/>
                <w:szCs w:val="18"/>
              </w:rPr>
              <w:t>年完工的新建楼堂馆所为评价内容。</w:t>
            </w:r>
          </w:p>
        </w:tc>
        <w:tc>
          <w:tcPr>
            <w:tcW w:w="73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r>
        <w:tblPrEx>
          <w:tblCellMar>
            <w:top w:w="0" w:type="dxa"/>
            <w:left w:w="10" w:type="dxa"/>
            <w:bottom w:w="0" w:type="dxa"/>
            <w:right w:w="10" w:type="dxa"/>
          </w:tblCellMar>
        </w:tblPrEx>
        <w:trPr>
          <w:trHeight w:val="2203" w:hRule="exact"/>
          <w:jc w:val="center"/>
        </w:trPr>
        <w:tc>
          <w:tcPr>
            <w:tcW w:w="349" w:type="dxa"/>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43" w:type="dxa"/>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366" w:type="dxa"/>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66" w:type="dxa"/>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36"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新建楼堂馆所投资概算控制率</w:t>
            </w:r>
          </w:p>
        </w:tc>
        <w:tc>
          <w:tcPr>
            <w:tcW w:w="398"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5</w:t>
            </w:r>
          </w:p>
        </w:tc>
        <w:tc>
          <w:tcPr>
            <w:tcW w:w="2704"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100%以下（含）计满分，每超出5%扣2分，扣完为止。 没有楼堂馆所项目的部门按满分计算</w:t>
            </w:r>
          </w:p>
        </w:tc>
        <w:tc>
          <w:tcPr>
            <w:tcW w:w="3178"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left"/>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rPr>
              <w:t>楼堂馆所投资预算控制率=实际投资金额/批准投资金额 ×</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color w:val="000000"/>
                <w:spacing w:val="0"/>
                <w:w w:val="100"/>
                <w:position w:val="0"/>
                <w:sz w:val="18"/>
                <w:szCs w:val="18"/>
                <w:lang w:val="en-US" w:eastAsia="en-US"/>
              </w:rPr>
              <w:t xml:space="preserve"> </w:t>
            </w:r>
            <w:r>
              <w:rPr>
                <w:rFonts w:hint="eastAsia" w:ascii="宋体" w:hAnsi="宋体" w:eastAsia="宋体" w:cs="宋体"/>
                <w:color w:val="000000"/>
                <w:spacing w:val="0"/>
                <w:w w:val="100"/>
                <w:position w:val="0"/>
                <w:sz w:val="18"/>
                <w:szCs w:val="18"/>
                <w:lang w:val="en-US" w:eastAsia="zh-CN"/>
              </w:rPr>
              <w:t>。</w:t>
            </w:r>
          </w:p>
          <w:p>
            <w:pPr>
              <w:pStyle w:val="5"/>
              <w:keepNext w:val="0"/>
              <w:keepLines w:val="0"/>
              <w:widowControl w:val="0"/>
              <w:shd w:val="clear" w:color="auto" w:fill="auto"/>
              <w:bidi w:val="0"/>
              <w:spacing w:before="0" w:after="0" w:line="312"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该指标以20</w:t>
            </w:r>
            <w:r>
              <w:rPr>
                <w:rFonts w:hint="eastAsia" w:cs="宋体"/>
                <w:color w:val="000000"/>
                <w:spacing w:val="0"/>
                <w:w w:val="100"/>
                <w:position w:val="0"/>
                <w:sz w:val="18"/>
                <w:szCs w:val="18"/>
                <w:lang w:val="en-US" w:eastAsia="zh-CN"/>
              </w:rPr>
              <w:t>21</w:t>
            </w:r>
            <w:r>
              <w:rPr>
                <w:rFonts w:hint="eastAsia" w:ascii="宋体" w:hAnsi="宋体" w:eastAsia="宋体" w:cs="宋体"/>
                <w:color w:val="000000"/>
                <w:spacing w:val="0"/>
                <w:w w:val="100"/>
                <w:position w:val="0"/>
                <w:sz w:val="18"/>
                <w:szCs w:val="18"/>
              </w:rPr>
              <w:t>年完工的新建楼堂馆所为评价内容。</w:t>
            </w:r>
          </w:p>
        </w:tc>
        <w:tc>
          <w:tcPr>
            <w:tcW w:w="73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bl>
    <w:p>
      <w:pPr>
        <w:spacing w:line="1" w:lineRule="exact"/>
        <w:jc w:val="center"/>
        <w:rPr>
          <w:rFonts w:hint="eastAsia" w:ascii="宋体" w:hAnsi="宋体" w:eastAsia="宋体" w:cs="宋体"/>
          <w:sz w:val="18"/>
          <w:szCs w:val="18"/>
        </w:rPr>
      </w:pPr>
      <w:r>
        <w:rPr>
          <w:rFonts w:hint="eastAsia" w:ascii="宋体" w:hAnsi="宋体" w:eastAsia="宋体" w:cs="宋体"/>
          <w:sz w:val="18"/>
          <w:szCs w:val="18"/>
        </w:rPr>
        <w:br w:type="page"/>
      </w:r>
    </w:p>
    <w:tbl>
      <w:tblPr>
        <w:tblStyle w:val="2"/>
        <w:tblW w:w="9771" w:type="dxa"/>
        <w:jc w:val="center"/>
        <w:tblLayout w:type="fixed"/>
        <w:tblCellMar>
          <w:top w:w="0" w:type="dxa"/>
          <w:left w:w="10" w:type="dxa"/>
          <w:bottom w:w="0" w:type="dxa"/>
          <w:right w:w="10" w:type="dxa"/>
        </w:tblCellMar>
      </w:tblPr>
      <w:tblGrid>
        <w:gridCol w:w="368"/>
        <w:gridCol w:w="524"/>
        <w:gridCol w:w="460"/>
        <w:gridCol w:w="572"/>
        <w:gridCol w:w="916"/>
        <w:gridCol w:w="418"/>
        <w:gridCol w:w="2943"/>
        <w:gridCol w:w="2811"/>
        <w:gridCol w:w="759"/>
      </w:tblGrid>
      <w:tr>
        <w:tblPrEx>
          <w:tblCellMar>
            <w:top w:w="0" w:type="dxa"/>
            <w:left w:w="10" w:type="dxa"/>
            <w:bottom w:w="0" w:type="dxa"/>
            <w:right w:w="10" w:type="dxa"/>
          </w:tblCellMar>
        </w:tblPrEx>
        <w:trPr>
          <w:trHeight w:val="1302" w:hRule="exact"/>
          <w:jc w:val="center"/>
        </w:trPr>
        <w:tc>
          <w:tcPr>
            <w:tcW w:w="368"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eastAsia="zh-CN"/>
              </w:rPr>
              <w:t>一</w:t>
            </w:r>
            <w:r>
              <w:rPr>
                <w:rFonts w:hint="eastAsia" w:ascii="宋体" w:hAnsi="宋体" w:eastAsia="宋体" w:cs="宋体"/>
                <w:color w:val="000000"/>
                <w:spacing w:val="0"/>
                <w:w w:val="100"/>
                <w:position w:val="0"/>
                <w:sz w:val="18"/>
                <w:szCs w:val="18"/>
              </w:rPr>
              <w:t>级 指 标</w:t>
            </w:r>
          </w:p>
        </w:tc>
        <w:tc>
          <w:tcPr>
            <w:tcW w:w="52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460"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lang w:eastAsia="zh-CN"/>
              </w:rPr>
              <w:t>二</w:t>
            </w:r>
          </w:p>
          <w:p>
            <w:pPr>
              <w:pStyle w:val="5"/>
              <w:keepNext w:val="0"/>
              <w:keepLines w:val="0"/>
              <w:widowControl w:val="0"/>
              <w:shd w:val="clear" w:color="auto" w:fill="auto"/>
              <w:bidi w:val="0"/>
              <w:spacing w:before="0" w:after="0" w:line="312" w:lineRule="exact"/>
              <w:ind w:right="0" w:right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级 指 标</w:t>
            </w:r>
          </w:p>
        </w:tc>
        <w:tc>
          <w:tcPr>
            <w:tcW w:w="572"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916"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三级指标</w:t>
            </w:r>
          </w:p>
        </w:tc>
        <w:tc>
          <w:tcPr>
            <w:tcW w:w="41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2943"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评价标准</w:t>
            </w:r>
          </w:p>
        </w:tc>
        <w:tc>
          <w:tcPr>
            <w:tcW w:w="2811"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指标说明</w:t>
            </w:r>
          </w:p>
        </w:tc>
        <w:tc>
          <w:tcPr>
            <w:tcW w:w="759"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得 分</w:t>
            </w:r>
          </w:p>
        </w:tc>
      </w:tr>
      <w:tr>
        <w:tblPrEx>
          <w:tblCellMar>
            <w:top w:w="0" w:type="dxa"/>
            <w:left w:w="10" w:type="dxa"/>
            <w:bottom w:w="0" w:type="dxa"/>
            <w:right w:w="10" w:type="dxa"/>
          </w:tblCellMar>
        </w:tblPrEx>
        <w:trPr>
          <w:trHeight w:val="1695" w:hRule="exact"/>
          <w:jc w:val="center"/>
        </w:trPr>
        <w:tc>
          <w:tcPr>
            <w:tcW w:w="368"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过 程</w:t>
            </w:r>
          </w:p>
        </w:tc>
        <w:tc>
          <w:tcPr>
            <w:tcW w:w="524"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61</w:t>
            </w:r>
          </w:p>
        </w:tc>
        <w:tc>
          <w:tcPr>
            <w:tcW w:w="460"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预</w:t>
            </w:r>
          </w:p>
          <w:p>
            <w:pPr>
              <w:pStyle w:val="5"/>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 算</w:t>
            </w:r>
          </w:p>
          <w:p>
            <w:pPr>
              <w:pStyle w:val="5"/>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 管</w:t>
            </w:r>
          </w:p>
          <w:p>
            <w:pPr>
              <w:pStyle w:val="5"/>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 理</w:t>
            </w:r>
          </w:p>
          <w:p>
            <w:pPr>
              <w:pStyle w:val="5"/>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p>
          <w:p>
            <w:pPr>
              <w:pStyle w:val="5"/>
              <w:keepNext w:val="0"/>
              <w:keepLines w:val="0"/>
              <w:widowControl w:val="0"/>
              <w:shd w:val="clear" w:color="auto" w:fill="auto"/>
              <w:bidi w:val="0"/>
              <w:spacing w:before="0" w:after="0" w:line="306" w:lineRule="exact"/>
              <w:ind w:left="0" w:right="280" w:firstLine="180" w:firstLineChars="100"/>
              <w:jc w:val="both"/>
              <w:rPr>
                <w:rFonts w:hint="eastAsia" w:ascii="宋体" w:hAnsi="宋体" w:eastAsia="宋体" w:cs="宋体"/>
                <w:sz w:val="18"/>
                <w:szCs w:val="18"/>
              </w:rPr>
            </w:pPr>
          </w:p>
        </w:tc>
        <w:tc>
          <w:tcPr>
            <w:tcW w:w="572"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41</w:t>
            </w:r>
          </w:p>
        </w:tc>
        <w:tc>
          <w:tcPr>
            <w:tcW w:w="916"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公用经费控制率</w:t>
            </w:r>
          </w:p>
        </w:tc>
        <w:tc>
          <w:tcPr>
            <w:tcW w:w="41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2943"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以下（含）计满分，每超出</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分，扣完为止。</w:t>
            </w:r>
          </w:p>
        </w:tc>
        <w:tc>
          <w:tcPr>
            <w:tcW w:w="2811" w:type="dxa"/>
            <w:tcBorders>
              <w:top w:val="single" w:color="auto" w:sz="4" w:space="0"/>
              <w:left w:val="single" w:color="auto" w:sz="4" w:space="0"/>
            </w:tcBorders>
            <w:shd w:val="clear" w:color="auto" w:fill="FFFFFF"/>
            <w:noWrap w:val="0"/>
            <w:vAlign w:val="top"/>
          </w:tcPr>
          <w:p>
            <w:pPr>
              <w:pStyle w:val="5"/>
              <w:keepNext w:val="0"/>
              <w:keepLines w:val="0"/>
              <w:widowControl w:val="0"/>
              <w:shd w:val="clear" w:color="auto" w:fill="auto"/>
              <w:bidi w:val="0"/>
              <w:spacing w:before="0" w:after="0" w:line="310" w:lineRule="exact"/>
              <w:ind w:left="0" w:right="0" w:firstLine="0"/>
              <w:jc w:val="left"/>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公用经费控制率=（实际支出公 用经费总额/预算安排公用经费 总额）×</w:t>
            </w:r>
            <w:r>
              <w:rPr>
                <w:rFonts w:hint="eastAsia" w:ascii="宋体" w:hAnsi="宋体" w:eastAsia="宋体" w:cs="宋体"/>
                <w:b/>
                <w:bCs/>
                <w:color w:val="000000"/>
                <w:spacing w:val="0"/>
                <w:w w:val="100"/>
                <w:position w:val="0"/>
                <w:sz w:val="18"/>
                <w:szCs w:val="18"/>
                <w:lang w:val="en-US" w:eastAsia="en-US" w:bidi="en-US"/>
              </w:rPr>
              <w:t xml:space="preserve">100% </w:t>
            </w:r>
            <w:r>
              <w:rPr>
                <w:rFonts w:hint="eastAsia" w:cs="宋体"/>
                <w:b/>
                <w:bCs/>
                <w:color w:val="000000"/>
                <w:spacing w:val="0"/>
                <w:w w:val="100"/>
                <w:position w:val="0"/>
                <w:sz w:val="18"/>
                <w:szCs w:val="18"/>
                <w:lang w:val="en-US" w:eastAsia="zh-CN" w:bidi="en-US"/>
              </w:rPr>
              <w:t>，</w:t>
            </w:r>
          </w:p>
          <w:p>
            <w:pPr>
              <w:pStyle w:val="5"/>
              <w:keepNext w:val="0"/>
              <w:keepLines w:val="0"/>
              <w:widowControl w:val="0"/>
              <w:shd w:val="clear" w:color="auto" w:fill="auto"/>
              <w:bidi w:val="0"/>
              <w:spacing w:before="0" w:after="0" w:line="310"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公用经费支出是指部门基本支出 中的一般商品和服务支出。</w:t>
            </w:r>
          </w:p>
        </w:tc>
        <w:tc>
          <w:tcPr>
            <w:tcW w:w="759"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r>
      <w:tr>
        <w:tblPrEx>
          <w:tblCellMar>
            <w:top w:w="0" w:type="dxa"/>
            <w:left w:w="10" w:type="dxa"/>
            <w:bottom w:w="0" w:type="dxa"/>
            <w:right w:w="10" w:type="dxa"/>
          </w:tblCellMar>
        </w:tblPrEx>
        <w:trPr>
          <w:trHeight w:val="1243" w:hRule="exact"/>
          <w:jc w:val="center"/>
        </w:trPr>
        <w:tc>
          <w:tcPr>
            <w:tcW w:w="368"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noWrap w:val="0"/>
            <w:vAlign w:val="center"/>
          </w:tcPr>
          <w:p>
            <w:pPr>
              <w:jc w:val="both"/>
              <w:rPr>
                <w:rFonts w:hint="eastAsia" w:ascii="宋体" w:hAnsi="宋体" w:eastAsia="宋体" w:cs="宋体"/>
                <w:sz w:val="18"/>
                <w:szCs w:val="18"/>
              </w:rPr>
            </w:pPr>
          </w:p>
        </w:tc>
        <w:tc>
          <w:tcPr>
            <w:tcW w:w="572"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“三公 经费” 控制率</w:t>
            </w:r>
          </w:p>
        </w:tc>
        <w:tc>
          <w:tcPr>
            <w:tcW w:w="41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2943"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以下（含）计满分，每超出</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分，扣完为止。</w:t>
            </w:r>
          </w:p>
        </w:tc>
        <w:tc>
          <w:tcPr>
            <w:tcW w:w="2811"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0" w:lineRule="exact"/>
              <w:ind w:left="0" w:right="0" w:firstLine="0"/>
              <w:jc w:val="left"/>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“三公经费”控制率</w:t>
            </w:r>
            <w:r>
              <w:rPr>
                <w:rFonts w:hint="eastAsia" w:ascii="宋体" w:hAnsi="宋体" w:eastAsia="宋体" w:cs="宋体"/>
                <w:color w:val="000000"/>
                <w:spacing w:val="0"/>
                <w:w w:val="100"/>
                <w:position w:val="0"/>
                <w:sz w:val="18"/>
                <w:szCs w:val="18"/>
                <w:lang w:val="en-US" w:eastAsia="zh-CN"/>
              </w:rPr>
              <w:t>.</w:t>
            </w:r>
            <w:r>
              <w:rPr>
                <w:rFonts w:hint="eastAsia" w:ascii="宋体" w:hAnsi="宋体" w:eastAsia="宋体" w:cs="宋体"/>
                <w:color w:val="000000"/>
                <w:spacing w:val="0"/>
                <w:w w:val="100"/>
                <w:position w:val="0"/>
                <w:sz w:val="18"/>
                <w:szCs w:val="18"/>
              </w:rPr>
              <w:t>（“三公经费” 实际支出数/“三公经费”预算安 排数）×</w:t>
            </w:r>
            <w:r>
              <w:rPr>
                <w:rFonts w:hint="eastAsia" w:ascii="宋体" w:hAnsi="宋体" w:eastAsia="宋体" w:cs="宋体"/>
                <w:b/>
                <w:bCs/>
                <w:color w:val="000000"/>
                <w:spacing w:val="0"/>
                <w:w w:val="100"/>
                <w:position w:val="0"/>
                <w:sz w:val="18"/>
                <w:szCs w:val="18"/>
                <w:lang w:val="en-US" w:eastAsia="en-US" w:bidi="en-US"/>
              </w:rPr>
              <w:t xml:space="preserve">100% </w:t>
            </w:r>
          </w:p>
        </w:tc>
        <w:tc>
          <w:tcPr>
            <w:tcW w:w="759"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r>
      <w:tr>
        <w:tblPrEx>
          <w:tblCellMar>
            <w:top w:w="0" w:type="dxa"/>
            <w:left w:w="10" w:type="dxa"/>
            <w:bottom w:w="0" w:type="dxa"/>
            <w:right w:w="10" w:type="dxa"/>
          </w:tblCellMar>
        </w:tblPrEx>
        <w:trPr>
          <w:trHeight w:val="1030" w:hRule="exact"/>
          <w:jc w:val="center"/>
        </w:trPr>
        <w:tc>
          <w:tcPr>
            <w:tcW w:w="368"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noWrap w:val="0"/>
            <w:vAlign w:val="center"/>
          </w:tcPr>
          <w:p>
            <w:pPr>
              <w:jc w:val="both"/>
              <w:rPr>
                <w:rFonts w:hint="eastAsia" w:ascii="宋体" w:hAnsi="宋体" w:eastAsia="宋体" w:cs="宋体"/>
                <w:sz w:val="18"/>
                <w:szCs w:val="18"/>
              </w:rPr>
            </w:pPr>
          </w:p>
        </w:tc>
        <w:tc>
          <w:tcPr>
            <w:tcW w:w="572"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314"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政府采购执行率</w:t>
            </w:r>
          </w:p>
        </w:tc>
        <w:tc>
          <w:tcPr>
            <w:tcW w:w="41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2943"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计满分，每超过（降低）</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分。扣完为止。</w:t>
            </w:r>
          </w:p>
        </w:tc>
        <w:tc>
          <w:tcPr>
            <w:tcW w:w="2811"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政府采购执行率=（实际政府采购金额/政府采购预算数）×</w:t>
            </w:r>
            <w:r>
              <w:rPr>
                <w:rFonts w:hint="eastAsia" w:ascii="宋体" w:hAnsi="宋体" w:eastAsia="宋体" w:cs="宋体"/>
                <w:b/>
                <w:bCs/>
                <w:color w:val="000000"/>
                <w:spacing w:val="0"/>
                <w:w w:val="100"/>
                <w:position w:val="0"/>
                <w:sz w:val="18"/>
                <w:szCs w:val="18"/>
                <w:lang w:val="en-US" w:eastAsia="en-US" w:bidi="en-US"/>
              </w:rPr>
              <w:t>100%</w:t>
            </w:r>
          </w:p>
        </w:tc>
        <w:tc>
          <w:tcPr>
            <w:tcW w:w="759"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r>
        <w:tblPrEx>
          <w:tblCellMar>
            <w:top w:w="0" w:type="dxa"/>
            <w:left w:w="10" w:type="dxa"/>
            <w:bottom w:w="0" w:type="dxa"/>
            <w:right w:w="10" w:type="dxa"/>
          </w:tblCellMar>
        </w:tblPrEx>
        <w:trPr>
          <w:trHeight w:val="2112" w:hRule="exact"/>
          <w:jc w:val="center"/>
        </w:trPr>
        <w:tc>
          <w:tcPr>
            <w:tcW w:w="368"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6" w:lineRule="exact"/>
              <w:ind w:left="0" w:right="280" w:firstLine="180" w:firstLineChars="100"/>
              <w:jc w:val="both"/>
              <w:rPr>
                <w:rFonts w:hint="eastAsia" w:ascii="宋体" w:hAnsi="宋体" w:eastAsia="宋体" w:cs="宋体"/>
                <w:sz w:val="18"/>
                <w:szCs w:val="18"/>
              </w:rPr>
            </w:pPr>
          </w:p>
        </w:tc>
        <w:tc>
          <w:tcPr>
            <w:tcW w:w="572"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5"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管理制度健全性</w:t>
            </w:r>
          </w:p>
        </w:tc>
        <w:tc>
          <w:tcPr>
            <w:tcW w:w="41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color w:val="000000"/>
                <w:spacing w:val="0"/>
                <w:w w:val="100"/>
                <w:position w:val="0"/>
                <w:sz w:val="18"/>
                <w:szCs w:val="18"/>
              </w:rPr>
            </w:pPr>
            <w:r>
              <w:rPr>
                <w:rFonts w:hint="eastAsia" w:ascii="宋体" w:hAnsi="宋体" w:eastAsia="宋体" w:cs="宋体"/>
                <w:b/>
                <w:bCs/>
                <w:color w:val="000000"/>
                <w:spacing w:val="0"/>
                <w:w w:val="100"/>
                <w:position w:val="0"/>
                <w:sz w:val="18"/>
                <w:szCs w:val="18"/>
              </w:rPr>
              <w:t>8</w:t>
            </w:r>
          </w:p>
        </w:tc>
        <w:tc>
          <w:tcPr>
            <w:tcW w:w="2943"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307" w:lineRule="exact"/>
              <w:ind w:left="0" w:right="0" w:firstLine="0"/>
              <w:jc w:val="left"/>
              <w:rPr>
                <w:rFonts w:hint="eastAsia" w:ascii="宋体" w:hAnsi="宋体" w:eastAsia="宋体" w:cs="宋体"/>
                <w:b w:val="0"/>
                <w:bCs w:val="0"/>
                <w:color w:val="000000"/>
                <w:spacing w:val="0"/>
                <w:w w:val="100"/>
                <w:position w:val="0"/>
                <w:sz w:val="18"/>
                <w:szCs w:val="18"/>
              </w:rPr>
            </w:pPr>
            <w:r>
              <w:rPr>
                <w:rFonts w:hint="eastAsia" w:ascii="宋体" w:hAnsi="宋体" w:eastAsia="宋体" w:cs="宋体"/>
                <w:b w:val="0"/>
                <w:bCs w:val="0"/>
                <w:color w:val="000000"/>
                <w:spacing w:val="0"/>
                <w:w w:val="100"/>
                <w:position w:val="0"/>
                <w:sz w:val="18"/>
                <w:szCs w:val="18"/>
                <w:lang w:val="en-US" w:eastAsia="zh-CN"/>
              </w:rPr>
              <w:t>1、</w:t>
            </w:r>
            <w:r>
              <w:rPr>
                <w:rFonts w:hint="eastAsia" w:ascii="宋体" w:hAnsi="宋体" w:eastAsia="宋体" w:cs="宋体"/>
                <w:b w:val="0"/>
                <w:bCs w:val="0"/>
                <w:color w:val="000000"/>
                <w:spacing w:val="0"/>
                <w:w w:val="100"/>
                <w:position w:val="0"/>
                <w:sz w:val="18"/>
                <w:szCs w:val="18"/>
              </w:rPr>
              <w:t>有内部财务管理制度、会计核算制度等管理制度，2 分；</w:t>
            </w:r>
          </w:p>
          <w:p>
            <w:pPr>
              <w:pStyle w:val="5"/>
              <w:keepNext w:val="0"/>
              <w:keepLines w:val="0"/>
              <w:widowControl w:val="0"/>
              <w:shd w:val="clear" w:color="auto" w:fill="auto"/>
              <w:bidi w:val="0"/>
              <w:spacing w:before="0" w:after="0" w:line="307" w:lineRule="exact"/>
              <w:ind w:left="0" w:right="0" w:firstLine="0"/>
              <w:jc w:val="left"/>
              <w:rPr>
                <w:rFonts w:hint="eastAsia" w:ascii="宋体" w:hAnsi="宋体" w:eastAsia="宋体" w:cs="宋体"/>
                <w:b w:val="0"/>
                <w:bCs w:val="0"/>
                <w:color w:val="000000"/>
                <w:spacing w:val="0"/>
                <w:w w:val="100"/>
                <w:position w:val="0"/>
                <w:sz w:val="18"/>
                <w:szCs w:val="18"/>
              </w:rPr>
            </w:pPr>
            <w:r>
              <w:rPr>
                <w:rFonts w:hint="eastAsia" w:ascii="宋体" w:hAnsi="宋体" w:eastAsia="宋体" w:cs="宋体"/>
                <w:b w:val="0"/>
                <w:bCs w:val="0"/>
                <w:color w:val="000000"/>
                <w:spacing w:val="0"/>
                <w:w w:val="100"/>
                <w:position w:val="0"/>
                <w:sz w:val="18"/>
                <w:szCs w:val="18"/>
                <w:lang w:val="en-US" w:eastAsia="zh-CN"/>
              </w:rPr>
              <w:t>2、</w:t>
            </w:r>
            <w:r>
              <w:rPr>
                <w:rFonts w:hint="eastAsia" w:ascii="宋体" w:hAnsi="宋体" w:eastAsia="宋体" w:cs="宋体"/>
                <w:b w:val="0"/>
                <w:bCs w:val="0"/>
                <w:color w:val="000000"/>
                <w:spacing w:val="0"/>
                <w:w w:val="100"/>
                <w:position w:val="0"/>
                <w:sz w:val="18"/>
                <w:szCs w:val="18"/>
              </w:rPr>
              <w:t>有本部门厉行节约制度,2分；</w:t>
            </w:r>
          </w:p>
          <w:p>
            <w:pPr>
              <w:pStyle w:val="5"/>
              <w:keepNext w:val="0"/>
              <w:keepLines w:val="0"/>
              <w:widowControl w:val="0"/>
              <w:shd w:val="clear" w:color="auto" w:fill="auto"/>
              <w:bidi w:val="0"/>
              <w:spacing w:before="0" w:after="0" w:line="307" w:lineRule="exact"/>
              <w:ind w:left="0" w:right="0" w:firstLine="0"/>
              <w:jc w:val="left"/>
              <w:rPr>
                <w:rFonts w:hint="eastAsia" w:cs="宋体"/>
                <w:b w:val="0"/>
                <w:bCs w:val="0"/>
                <w:color w:val="000000"/>
                <w:spacing w:val="0"/>
                <w:w w:val="100"/>
                <w:position w:val="0"/>
                <w:sz w:val="18"/>
                <w:szCs w:val="18"/>
                <w:lang w:val="en-US" w:eastAsia="zh-CN"/>
              </w:rPr>
            </w:pPr>
            <w:r>
              <w:rPr>
                <w:rFonts w:hint="eastAsia" w:ascii="宋体" w:hAnsi="宋体" w:eastAsia="宋体" w:cs="宋体"/>
                <w:b w:val="0"/>
                <w:bCs w:val="0"/>
                <w:color w:val="000000"/>
                <w:spacing w:val="0"/>
                <w:w w:val="100"/>
                <w:position w:val="0"/>
                <w:sz w:val="18"/>
                <w:szCs w:val="18"/>
                <w:lang w:val="en-US" w:eastAsia="zh-CN"/>
              </w:rPr>
              <w:t>3、</w:t>
            </w:r>
            <w:r>
              <w:rPr>
                <w:rFonts w:hint="eastAsia" w:ascii="宋体" w:hAnsi="宋体" w:eastAsia="宋体" w:cs="宋体"/>
                <w:b w:val="0"/>
                <w:bCs w:val="0"/>
                <w:color w:val="000000"/>
                <w:spacing w:val="0"/>
                <w:w w:val="100"/>
                <w:position w:val="0"/>
                <w:sz w:val="18"/>
                <w:szCs w:val="18"/>
              </w:rPr>
              <w:t>相关管理制度合法、合规、完整，2分；</w:t>
            </w:r>
            <w:r>
              <w:rPr>
                <w:rFonts w:hint="eastAsia" w:cs="宋体"/>
                <w:b w:val="0"/>
                <w:bCs w:val="0"/>
                <w:color w:val="000000"/>
                <w:spacing w:val="0"/>
                <w:w w:val="100"/>
                <w:position w:val="0"/>
                <w:sz w:val="18"/>
                <w:szCs w:val="18"/>
                <w:lang w:val="en-US" w:eastAsia="zh-CN"/>
              </w:rPr>
              <w:t xml:space="preserve"> </w:t>
            </w:r>
          </w:p>
          <w:p>
            <w:pPr>
              <w:pStyle w:val="5"/>
              <w:keepNext w:val="0"/>
              <w:keepLines w:val="0"/>
              <w:widowControl w:val="0"/>
              <w:shd w:val="clear" w:color="auto" w:fill="auto"/>
              <w:bidi w:val="0"/>
              <w:spacing w:before="0" w:after="0" w:line="307" w:lineRule="exact"/>
              <w:ind w:left="0" w:right="0" w:firstLine="0"/>
              <w:jc w:val="left"/>
              <w:rPr>
                <w:rFonts w:hint="eastAsia" w:ascii="宋体" w:hAnsi="宋体" w:eastAsia="宋体" w:cs="宋体"/>
                <w:b w:val="0"/>
                <w:bCs w:val="0"/>
                <w:color w:val="000000"/>
                <w:spacing w:val="0"/>
                <w:w w:val="100"/>
                <w:position w:val="0"/>
                <w:sz w:val="18"/>
                <w:szCs w:val="18"/>
              </w:rPr>
            </w:pPr>
            <w:r>
              <w:rPr>
                <w:rFonts w:hint="eastAsia" w:ascii="宋体" w:hAnsi="宋体" w:eastAsia="宋体" w:cs="宋体"/>
                <w:b w:val="0"/>
                <w:bCs w:val="0"/>
                <w:color w:val="000000"/>
                <w:spacing w:val="0"/>
                <w:w w:val="100"/>
                <w:position w:val="0"/>
                <w:sz w:val="18"/>
                <w:szCs w:val="18"/>
                <w:lang w:val="en-US" w:eastAsia="zh-CN"/>
              </w:rPr>
              <w:t>4、</w:t>
            </w:r>
            <w:r>
              <w:rPr>
                <w:rFonts w:hint="eastAsia" w:ascii="宋体" w:hAnsi="宋体" w:eastAsia="宋体" w:cs="宋体"/>
                <w:b w:val="0"/>
                <w:bCs w:val="0"/>
                <w:color w:val="000000"/>
                <w:spacing w:val="0"/>
                <w:w w:val="100"/>
                <w:position w:val="0"/>
                <w:sz w:val="18"/>
                <w:szCs w:val="18"/>
              </w:rPr>
              <w:t>相关管理制度得到有效执行，2分。</w:t>
            </w:r>
          </w:p>
          <w:p>
            <w:pPr>
              <w:pStyle w:val="5"/>
              <w:keepNext w:val="0"/>
              <w:keepLines w:val="0"/>
              <w:widowControl w:val="0"/>
              <w:shd w:val="clear" w:color="auto" w:fill="auto"/>
              <w:bidi w:val="0"/>
              <w:spacing w:before="0" w:after="0" w:line="307" w:lineRule="exact"/>
              <w:ind w:left="0" w:right="0" w:firstLine="0"/>
              <w:jc w:val="left"/>
              <w:rPr>
                <w:rFonts w:hint="eastAsia" w:ascii="宋体" w:hAnsi="宋体" w:eastAsia="宋体" w:cs="宋体"/>
                <w:b w:val="0"/>
                <w:bCs w:val="0"/>
                <w:color w:val="000000"/>
                <w:spacing w:val="0"/>
                <w:w w:val="100"/>
                <w:position w:val="0"/>
                <w:sz w:val="18"/>
                <w:szCs w:val="18"/>
              </w:rPr>
            </w:pPr>
          </w:p>
        </w:tc>
        <w:tc>
          <w:tcPr>
            <w:tcW w:w="2811" w:type="dxa"/>
            <w:tcBorders>
              <w:top w:val="single" w:color="auto" w:sz="4" w:space="0"/>
              <w:left w:val="single" w:color="auto" w:sz="4" w:space="0"/>
            </w:tcBorders>
            <w:shd w:val="clear" w:color="auto" w:fill="FFFFFF"/>
            <w:noWrap w:val="0"/>
            <w:vAlign w:val="top"/>
          </w:tcPr>
          <w:p>
            <w:pPr>
              <w:widowControl w:val="0"/>
              <w:jc w:val="left"/>
              <w:rPr>
                <w:rFonts w:hint="eastAsia" w:ascii="宋体" w:hAnsi="宋体" w:eastAsia="宋体" w:cs="宋体"/>
                <w:sz w:val="18"/>
                <w:szCs w:val="18"/>
              </w:rPr>
            </w:pPr>
          </w:p>
        </w:tc>
        <w:tc>
          <w:tcPr>
            <w:tcW w:w="759"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r>
        <w:tblPrEx>
          <w:tblCellMar>
            <w:top w:w="0" w:type="dxa"/>
            <w:left w:w="10" w:type="dxa"/>
            <w:bottom w:w="0" w:type="dxa"/>
            <w:right w:w="10" w:type="dxa"/>
          </w:tblCellMar>
        </w:tblPrEx>
        <w:trPr>
          <w:trHeight w:val="3451" w:hRule="exact"/>
          <w:jc w:val="center"/>
        </w:trPr>
        <w:tc>
          <w:tcPr>
            <w:tcW w:w="368"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72"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资金使用合规性</w:t>
            </w:r>
          </w:p>
        </w:tc>
        <w:tc>
          <w:tcPr>
            <w:tcW w:w="41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2943" w:type="dxa"/>
            <w:tcBorders>
              <w:top w:val="single" w:color="auto" w:sz="4" w:space="0"/>
              <w:left w:val="single" w:color="auto" w:sz="4" w:space="0"/>
            </w:tcBorders>
            <w:shd w:val="clear" w:color="auto" w:fill="FFFFFF"/>
            <w:noWrap w:val="0"/>
            <w:vAlign w:val="bottom"/>
          </w:tcPr>
          <w:p>
            <w:pPr>
              <w:pStyle w:val="5"/>
              <w:keepNext w:val="0"/>
              <w:keepLines w:val="0"/>
              <w:widowControl w:val="0"/>
              <w:numPr>
                <w:ilvl w:val="0"/>
                <w:numId w:val="0"/>
              </w:numPr>
              <w:shd w:val="clear" w:color="auto" w:fill="auto"/>
              <w:tabs>
                <w:tab w:val="left" w:pos="211"/>
              </w:tabs>
              <w:bidi w:val="0"/>
              <w:spacing w:before="0" w:after="0" w:line="313" w:lineRule="exact"/>
              <w:ind w:leftChars="0" w:right="0" w:right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zh-CN"/>
              </w:rPr>
              <w:t>1、</w:t>
            </w:r>
            <w:r>
              <w:rPr>
                <w:rFonts w:hint="eastAsia" w:ascii="宋体" w:hAnsi="宋体" w:eastAsia="宋体" w:cs="宋体"/>
                <w:color w:val="000000"/>
                <w:spacing w:val="0"/>
                <w:w w:val="100"/>
                <w:position w:val="0"/>
                <w:sz w:val="18"/>
                <w:szCs w:val="18"/>
              </w:rPr>
              <w:t>支出符合国家财经法规和财务管理制度规定以及有关专项资金管理办法的规定；</w:t>
            </w:r>
          </w:p>
          <w:p>
            <w:pPr>
              <w:pStyle w:val="5"/>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lang w:val="en-US" w:eastAsia="zh-CN"/>
              </w:rPr>
              <w:t>2、</w:t>
            </w:r>
            <w:r>
              <w:rPr>
                <w:rFonts w:hint="eastAsia" w:ascii="宋体" w:hAnsi="宋体" w:eastAsia="宋体" w:cs="宋体"/>
                <w:color w:val="000000"/>
                <w:spacing w:val="0"/>
                <w:w w:val="100"/>
                <w:position w:val="0"/>
                <w:sz w:val="18"/>
                <w:szCs w:val="18"/>
              </w:rPr>
              <w:t>资金拨付有完整的审批程序和手续；</w:t>
            </w:r>
          </w:p>
          <w:p>
            <w:pPr>
              <w:pStyle w:val="5"/>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lang w:val="en-US" w:eastAsia="zh-CN"/>
              </w:rPr>
              <w:t>3、</w:t>
            </w:r>
            <w:r>
              <w:rPr>
                <w:rFonts w:hint="eastAsia" w:ascii="宋体" w:hAnsi="宋体" w:eastAsia="宋体" w:cs="宋体"/>
                <w:color w:val="000000"/>
                <w:spacing w:val="0"/>
                <w:w w:val="100"/>
                <w:position w:val="0"/>
                <w:sz w:val="18"/>
                <w:szCs w:val="18"/>
              </w:rPr>
              <w:t>项目支出按规定经过评估论证；</w:t>
            </w:r>
          </w:p>
          <w:p>
            <w:pPr>
              <w:pStyle w:val="5"/>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lang w:val="en-US" w:eastAsia="zh-CN"/>
              </w:rPr>
              <w:t>4、</w:t>
            </w:r>
            <w:r>
              <w:rPr>
                <w:rFonts w:hint="eastAsia" w:ascii="宋体" w:hAnsi="宋体" w:eastAsia="宋体" w:cs="宋体"/>
                <w:color w:val="000000"/>
                <w:spacing w:val="0"/>
                <w:w w:val="100"/>
                <w:position w:val="0"/>
                <w:sz w:val="18"/>
                <w:szCs w:val="18"/>
              </w:rPr>
              <w:t>支出符合部门预算批复的用途；</w:t>
            </w:r>
          </w:p>
          <w:p>
            <w:pPr>
              <w:pStyle w:val="5"/>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zh-CN"/>
              </w:rPr>
              <w:t>5、</w:t>
            </w:r>
            <w:r>
              <w:rPr>
                <w:rFonts w:hint="eastAsia" w:ascii="宋体" w:hAnsi="宋体" w:eastAsia="宋体" w:cs="宋体"/>
                <w:color w:val="000000"/>
                <w:spacing w:val="0"/>
                <w:w w:val="100"/>
                <w:position w:val="0"/>
                <w:sz w:val="18"/>
                <w:szCs w:val="18"/>
              </w:rPr>
              <w:t xml:space="preserve"> 资金使用无截留、挤占、挪 用、虚列支出等情况。</w:t>
            </w:r>
          </w:p>
          <w:p>
            <w:pPr>
              <w:pStyle w:val="5"/>
              <w:keepNext w:val="0"/>
              <w:keepLines w:val="0"/>
              <w:widowControl w:val="0"/>
              <w:shd w:val="clear" w:color="auto" w:fill="auto"/>
              <w:bidi w:val="0"/>
              <w:spacing w:before="0" w:after="0" w:line="313"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以上情况每出现一例不符合 要求的扣</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分，扣完为止。</w:t>
            </w:r>
          </w:p>
        </w:tc>
        <w:tc>
          <w:tcPr>
            <w:tcW w:w="2811" w:type="dxa"/>
            <w:tcBorders>
              <w:top w:val="single" w:color="auto" w:sz="4" w:space="0"/>
              <w:left w:val="single" w:color="auto" w:sz="4" w:space="0"/>
            </w:tcBorders>
            <w:shd w:val="clear" w:color="auto" w:fill="FFFFFF"/>
            <w:noWrap w:val="0"/>
            <w:vAlign w:val="top"/>
          </w:tcPr>
          <w:p>
            <w:pPr>
              <w:widowControl w:val="0"/>
              <w:jc w:val="left"/>
              <w:rPr>
                <w:rFonts w:hint="eastAsia" w:ascii="宋体" w:hAnsi="宋体" w:eastAsia="宋体" w:cs="宋体"/>
                <w:sz w:val="18"/>
                <w:szCs w:val="18"/>
              </w:rPr>
            </w:pPr>
          </w:p>
        </w:tc>
        <w:tc>
          <w:tcPr>
            <w:tcW w:w="759"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r>
        <w:tblPrEx>
          <w:tblCellMar>
            <w:top w:w="0" w:type="dxa"/>
            <w:left w:w="10" w:type="dxa"/>
            <w:bottom w:w="0" w:type="dxa"/>
            <w:right w:w="10" w:type="dxa"/>
          </w:tblCellMar>
        </w:tblPrEx>
        <w:trPr>
          <w:trHeight w:val="2587" w:hRule="exact"/>
          <w:jc w:val="center"/>
        </w:trPr>
        <w:tc>
          <w:tcPr>
            <w:tcW w:w="368"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24"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60"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72"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预决算信息公开性</w:t>
            </w:r>
          </w:p>
        </w:tc>
        <w:tc>
          <w:tcPr>
            <w:tcW w:w="418"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943" w:type="dxa"/>
            <w:tcBorders>
              <w:top w:val="single" w:color="auto" w:sz="4" w:space="0"/>
              <w:left w:val="single" w:color="auto" w:sz="4" w:space="0"/>
              <w:bottom w:val="single" w:color="auto" w:sz="4" w:space="0"/>
            </w:tcBorders>
            <w:shd w:val="clear" w:color="auto" w:fill="FFFFFF"/>
            <w:noWrap w:val="0"/>
            <w:vAlign w:val="top"/>
          </w:tcPr>
          <w:p>
            <w:pPr>
              <w:pStyle w:val="5"/>
              <w:keepNext w:val="0"/>
              <w:keepLines w:val="0"/>
              <w:widowControl w:val="0"/>
              <w:numPr>
                <w:ilvl w:val="0"/>
                <w:numId w:val="1"/>
              </w:numPr>
              <w:shd w:val="clear" w:color="auto" w:fill="auto"/>
              <w:bidi w:val="0"/>
              <w:spacing w:before="0" w:after="0" w:line="311"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按规定内容公开预决算信息，</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p>
            <w:pPr>
              <w:pStyle w:val="5"/>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按规定时限公开预决算信息，</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p>
            <w:pPr>
              <w:pStyle w:val="5"/>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基础数据信息和会计信息资料 真实，</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p>
            <w:pPr>
              <w:pStyle w:val="5"/>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基础数据信 息和会计信息资料完整，</w:t>
            </w:r>
            <w:r>
              <w:rPr>
                <w:rFonts w:hint="eastAsia" w:ascii="宋体" w:hAnsi="宋体" w:eastAsia="宋体" w:cs="宋体"/>
                <w:b/>
                <w:bCs/>
                <w:color w:val="000000"/>
                <w:spacing w:val="0"/>
                <w:w w:val="100"/>
                <w:position w:val="0"/>
                <w:sz w:val="18"/>
                <w:szCs w:val="18"/>
              </w:rPr>
              <w:t xml:space="preserve">1 </w:t>
            </w:r>
            <w:r>
              <w:rPr>
                <w:rFonts w:hint="eastAsia" w:ascii="宋体" w:hAnsi="宋体" w:eastAsia="宋体" w:cs="宋体"/>
                <w:color w:val="000000"/>
                <w:spacing w:val="0"/>
                <w:w w:val="100"/>
                <w:position w:val="0"/>
                <w:sz w:val="18"/>
                <w:szCs w:val="18"/>
              </w:rPr>
              <w:t>分；</w:t>
            </w:r>
          </w:p>
          <w:p>
            <w:pPr>
              <w:pStyle w:val="5"/>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基础数据信息和汇集信息资料准确，</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tc>
        <w:tc>
          <w:tcPr>
            <w:tcW w:w="2811"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5"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预决算信息是指与部门预算、执行、决算、监督、绩效等管理相关的信息。</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bl>
    <w:p>
      <w:pPr>
        <w:spacing w:line="1" w:lineRule="exact"/>
        <w:jc w:val="center"/>
        <w:rPr>
          <w:rFonts w:hint="eastAsia" w:ascii="宋体" w:hAnsi="宋体" w:eastAsia="宋体" w:cs="宋体"/>
          <w:sz w:val="18"/>
          <w:szCs w:val="18"/>
        </w:rPr>
      </w:pPr>
      <w:r>
        <w:rPr>
          <w:rFonts w:hint="eastAsia" w:ascii="宋体" w:hAnsi="宋体" w:eastAsia="宋体" w:cs="宋体"/>
          <w:sz w:val="18"/>
          <w:szCs w:val="18"/>
        </w:rPr>
        <w:br w:type="page"/>
      </w:r>
    </w:p>
    <w:tbl>
      <w:tblPr>
        <w:tblStyle w:val="2"/>
        <w:tblW w:w="9771" w:type="dxa"/>
        <w:jc w:val="center"/>
        <w:tblLayout w:type="fixed"/>
        <w:tblCellMar>
          <w:top w:w="0" w:type="dxa"/>
          <w:left w:w="10" w:type="dxa"/>
          <w:bottom w:w="0" w:type="dxa"/>
          <w:right w:w="10" w:type="dxa"/>
        </w:tblCellMar>
      </w:tblPr>
      <w:tblGrid>
        <w:gridCol w:w="452"/>
        <w:gridCol w:w="440"/>
        <w:gridCol w:w="634"/>
        <w:gridCol w:w="398"/>
        <w:gridCol w:w="1084"/>
        <w:gridCol w:w="408"/>
        <w:gridCol w:w="2724"/>
        <w:gridCol w:w="2784"/>
        <w:gridCol w:w="847"/>
      </w:tblGrid>
      <w:tr>
        <w:tblPrEx>
          <w:tblCellMar>
            <w:top w:w="0" w:type="dxa"/>
            <w:left w:w="10" w:type="dxa"/>
            <w:bottom w:w="0" w:type="dxa"/>
            <w:right w:w="10" w:type="dxa"/>
          </w:tblCellMar>
        </w:tblPrEx>
        <w:trPr>
          <w:trHeight w:val="1262" w:hRule="exact"/>
          <w:jc w:val="center"/>
        </w:trPr>
        <w:tc>
          <w:tcPr>
            <w:tcW w:w="452"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lang w:eastAsia="zh-CN"/>
              </w:rPr>
              <w:t>一</w:t>
            </w:r>
          </w:p>
          <w:p>
            <w:pPr>
              <w:pStyle w:val="5"/>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级 指 标</w:t>
            </w:r>
          </w:p>
        </w:tc>
        <w:tc>
          <w:tcPr>
            <w:tcW w:w="44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634"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lang w:eastAsia="zh-CN"/>
              </w:rPr>
              <w:t>二</w:t>
            </w:r>
          </w:p>
          <w:p>
            <w:pPr>
              <w:pStyle w:val="5"/>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级 </w:t>
            </w:r>
          </w:p>
          <w:p>
            <w:pPr>
              <w:pStyle w:val="5"/>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指 </w:t>
            </w:r>
          </w:p>
          <w:p>
            <w:pPr>
              <w:pStyle w:val="5"/>
              <w:keepNext w:val="0"/>
              <w:keepLines w:val="0"/>
              <w:widowControl w:val="0"/>
              <w:shd w:val="clear" w:color="auto" w:fill="auto"/>
              <w:bidi w:val="0"/>
              <w:spacing w:before="0" w:after="0" w:line="312" w:lineRule="exact"/>
              <w:ind w:right="0" w:right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标</w:t>
            </w:r>
          </w:p>
        </w:tc>
        <w:tc>
          <w:tcPr>
            <w:tcW w:w="39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108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三级 指标</w:t>
            </w:r>
          </w:p>
        </w:tc>
        <w:tc>
          <w:tcPr>
            <w:tcW w:w="40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272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评价标准</w:t>
            </w:r>
          </w:p>
        </w:tc>
        <w:tc>
          <w:tcPr>
            <w:tcW w:w="278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指标说明</w:t>
            </w:r>
          </w:p>
        </w:tc>
        <w:tc>
          <w:tcPr>
            <w:tcW w:w="847"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得 分</w:t>
            </w:r>
          </w:p>
        </w:tc>
      </w:tr>
      <w:tr>
        <w:tblPrEx>
          <w:tblCellMar>
            <w:top w:w="0" w:type="dxa"/>
            <w:left w:w="10" w:type="dxa"/>
            <w:bottom w:w="0" w:type="dxa"/>
            <w:right w:w="10" w:type="dxa"/>
          </w:tblCellMar>
        </w:tblPrEx>
        <w:trPr>
          <w:trHeight w:val="1610" w:hRule="exact"/>
          <w:jc w:val="center"/>
        </w:trPr>
        <w:tc>
          <w:tcPr>
            <w:tcW w:w="452"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产 出 及 效 率</w:t>
            </w:r>
          </w:p>
        </w:tc>
        <w:tc>
          <w:tcPr>
            <w:tcW w:w="440"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26</w:t>
            </w:r>
          </w:p>
        </w:tc>
        <w:tc>
          <w:tcPr>
            <w:tcW w:w="63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4" w:lineRule="exact"/>
              <w:ind w:left="20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职 责 履 行</w:t>
            </w:r>
          </w:p>
        </w:tc>
        <w:tc>
          <w:tcPr>
            <w:tcW w:w="39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14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108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重点工作实际完成率</w:t>
            </w:r>
          </w:p>
        </w:tc>
        <w:tc>
          <w:tcPr>
            <w:tcW w:w="40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272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9"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根据绩效办对各部门为民办 实事和部门重点工程与重点工作考核分数折算。</w:t>
            </w:r>
          </w:p>
          <w:p>
            <w:pPr>
              <w:pStyle w:val="5"/>
              <w:keepNext w:val="0"/>
              <w:keepLines w:val="0"/>
              <w:widowControl w:val="0"/>
              <w:shd w:val="clear" w:color="auto" w:fill="auto"/>
              <w:bidi w:val="0"/>
              <w:spacing w:before="0" w:after="0" w:line="309"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该项得分=（绩效办对应部分考核得分</w:t>
            </w:r>
            <w:r>
              <w:rPr>
                <w:rFonts w:hint="eastAsia" w:ascii="宋体" w:hAnsi="宋体" w:eastAsia="宋体" w:cs="宋体"/>
                <w:b/>
                <w:bCs/>
                <w:color w:val="000000"/>
                <w:spacing w:val="0"/>
                <w:w w:val="100"/>
                <w:position w:val="0"/>
                <w:sz w:val="18"/>
                <w:szCs w:val="18"/>
              </w:rPr>
              <w:t xml:space="preserve">/350） </w:t>
            </w:r>
            <w:r>
              <w:rPr>
                <w:rFonts w:hint="eastAsia" w:ascii="宋体" w:hAnsi="宋体" w:eastAsia="宋体" w:cs="宋体"/>
                <w:b/>
                <w:bCs/>
                <w:color w:val="000000"/>
                <w:spacing w:val="0"/>
                <w:w w:val="100"/>
                <w:position w:val="0"/>
                <w:sz w:val="18"/>
                <w:szCs w:val="18"/>
                <w:lang w:val="en-US" w:eastAsia="en-US" w:bidi="en-US"/>
              </w:rPr>
              <w:t>*8</w:t>
            </w:r>
          </w:p>
        </w:tc>
        <w:tc>
          <w:tcPr>
            <w:tcW w:w="2784" w:type="dxa"/>
            <w:tcBorders>
              <w:top w:val="single" w:color="auto" w:sz="4" w:space="0"/>
              <w:left w:val="single" w:color="auto" w:sz="4" w:space="0"/>
            </w:tcBorders>
            <w:shd w:val="clear" w:color="auto" w:fill="FFFFFF"/>
            <w:noWrap w:val="0"/>
            <w:vAlign w:val="top"/>
          </w:tcPr>
          <w:p>
            <w:pPr>
              <w:widowControl w:val="0"/>
              <w:jc w:val="left"/>
              <w:rPr>
                <w:rFonts w:hint="eastAsia" w:ascii="宋体" w:hAnsi="宋体" w:eastAsia="宋体" w:cs="宋体"/>
                <w:sz w:val="18"/>
                <w:szCs w:val="18"/>
              </w:rPr>
            </w:pPr>
          </w:p>
        </w:tc>
        <w:tc>
          <w:tcPr>
            <w:tcW w:w="847"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r>
      <w:tr>
        <w:tblPrEx>
          <w:tblCellMar>
            <w:top w:w="0" w:type="dxa"/>
            <w:left w:w="10" w:type="dxa"/>
            <w:bottom w:w="0" w:type="dxa"/>
            <w:right w:w="10" w:type="dxa"/>
          </w:tblCellMar>
        </w:tblPrEx>
        <w:trPr>
          <w:trHeight w:val="547" w:hRule="exact"/>
          <w:jc w:val="center"/>
        </w:trPr>
        <w:tc>
          <w:tcPr>
            <w:tcW w:w="452"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40"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34"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6" w:lineRule="exact"/>
              <w:ind w:left="20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履 职 效 益</w:t>
            </w:r>
          </w:p>
        </w:tc>
        <w:tc>
          <w:tcPr>
            <w:tcW w:w="398"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14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108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98"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经济效益</w:t>
            </w:r>
          </w:p>
        </w:tc>
        <w:tc>
          <w:tcPr>
            <w:tcW w:w="408"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5508" w:type="dxa"/>
            <w:gridSpan w:val="2"/>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此两项指标为设置部门整体支出绩效评价指标时必须考虑的共性要素，可根据部门实际情况有选择的进行设置，并将其细化为相应的个性化指标。</w:t>
            </w:r>
          </w:p>
        </w:tc>
        <w:tc>
          <w:tcPr>
            <w:tcW w:w="847" w:type="dxa"/>
            <w:vMerge w:val="restart"/>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r>
        <w:tblPrEx>
          <w:tblCellMar>
            <w:top w:w="0" w:type="dxa"/>
            <w:left w:w="10" w:type="dxa"/>
            <w:bottom w:w="0" w:type="dxa"/>
            <w:right w:w="10" w:type="dxa"/>
          </w:tblCellMar>
        </w:tblPrEx>
        <w:trPr>
          <w:trHeight w:val="496" w:hRule="exact"/>
          <w:jc w:val="center"/>
        </w:trPr>
        <w:tc>
          <w:tcPr>
            <w:tcW w:w="452"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40"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34"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398"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108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93"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社会效益</w:t>
            </w:r>
          </w:p>
        </w:tc>
        <w:tc>
          <w:tcPr>
            <w:tcW w:w="408"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508" w:type="dxa"/>
            <w:gridSpan w:val="2"/>
            <w:vMerge w:val="continue"/>
            <w:tcBorders>
              <w:left w:val="single" w:color="auto" w:sz="4" w:space="0"/>
            </w:tcBorders>
            <w:shd w:val="clear" w:color="auto" w:fill="FFFFFF"/>
            <w:noWrap w:val="0"/>
            <w:vAlign w:val="center"/>
          </w:tcPr>
          <w:p>
            <w:pPr>
              <w:jc w:val="left"/>
              <w:rPr>
                <w:rFonts w:hint="eastAsia" w:ascii="宋体" w:hAnsi="宋体" w:eastAsia="宋体" w:cs="宋体"/>
                <w:sz w:val="18"/>
                <w:szCs w:val="18"/>
              </w:rPr>
            </w:pPr>
          </w:p>
        </w:tc>
        <w:tc>
          <w:tcPr>
            <w:tcW w:w="847" w:type="dxa"/>
            <w:vMerge w:val="continue"/>
            <w:tcBorders>
              <w:left w:val="single" w:color="auto" w:sz="4" w:space="0"/>
              <w:right w:val="single" w:color="auto" w:sz="4" w:space="0"/>
            </w:tcBorders>
            <w:shd w:val="clear" w:color="auto" w:fill="FFFFFF"/>
            <w:noWrap w:val="0"/>
            <w:vAlign w:val="top"/>
          </w:tcPr>
          <w:p>
            <w:pPr>
              <w:jc w:val="center"/>
              <w:rPr>
                <w:rFonts w:hint="eastAsia" w:ascii="宋体" w:hAnsi="宋体" w:eastAsia="宋体" w:cs="宋体"/>
                <w:sz w:val="18"/>
                <w:szCs w:val="18"/>
              </w:rPr>
            </w:pPr>
          </w:p>
        </w:tc>
      </w:tr>
      <w:tr>
        <w:tblPrEx>
          <w:tblCellMar>
            <w:top w:w="0" w:type="dxa"/>
            <w:left w:w="10" w:type="dxa"/>
            <w:bottom w:w="0" w:type="dxa"/>
            <w:right w:w="10" w:type="dxa"/>
          </w:tblCellMar>
        </w:tblPrEx>
        <w:trPr>
          <w:trHeight w:val="1644" w:hRule="exact"/>
          <w:jc w:val="center"/>
        </w:trPr>
        <w:tc>
          <w:tcPr>
            <w:tcW w:w="452"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40"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34"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398"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12</w:t>
            </w:r>
          </w:p>
        </w:tc>
        <w:tc>
          <w:tcPr>
            <w:tcW w:w="108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行政效能</w:t>
            </w:r>
          </w:p>
        </w:tc>
        <w:tc>
          <w:tcPr>
            <w:tcW w:w="40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272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1"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促进部门改进文风会风，加强经费及资产管理，推动网上办事，提高行政效率，降 低行政成本效果较好的计</w:t>
            </w:r>
            <w:r>
              <w:rPr>
                <w:rFonts w:hint="eastAsia" w:ascii="宋体" w:hAnsi="宋体" w:eastAsia="宋体" w:cs="宋体"/>
                <w:b/>
                <w:bCs/>
                <w:color w:val="000000"/>
                <w:spacing w:val="0"/>
                <w:w w:val="100"/>
                <w:position w:val="0"/>
                <w:sz w:val="18"/>
                <w:szCs w:val="18"/>
              </w:rPr>
              <w:t xml:space="preserve">6 </w:t>
            </w:r>
            <w:r>
              <w:rPr>
                <w:rFonts w:hint="eastAsia" w:ascii="宋体" w:hAnsi="宋体" w:eastAsia="宋体" w:cs="宋体"/>
                <w:color w:val="000000"/>
                <w:spacing w:val="0"/>
                <w:w w:val="100"/>
                <w:position w:val="0"/>
                <w:sz w:val="18"/>
                <w:szCs w:val="18"/>
              </w:rPr>
              <w:t>分；一般</w:t>
            </w:r>
            <w:r>
              <w:rPr>
                <w:rFonts w:hint="eastAsia" w:ascii="宋体" w:hAnsi="宋体" w:eastAsia="宋体" w:cs="宋体"/>
                <w:b/>
                <w:bCs/>
                <w:color w:val="000000"/>
                <w:spacing w:val="0"/>
                <w:w w:val="100"/>
                <w:position w:val="0"/>
                <w:sz w:val="18"/>
                <w:szCs w:val="18"/>
              </w:rPr>
              <w:t>3</w:t>
            </w:r>
            <w:r>
              <w:rPr>
                <w:rFonts w:hint="eastAsia" w:ascii="宋体" w:hAnsi="宋体" w:eastAsia="宋体" w:cs="宋体"/>
                <w:color w:val="000000"/>
                <w:spacing w:val="0"/>
                <w:w w:val="100"/>
                <w:position w:val="0"/>
                <w:sz w:val="18"/>
                <w:szCs w:val="18"/>
              </w:rPr>
              <w:t>分；无效果或者 效果不明显</w:t>
            </w:r>
            <w:r>
              <w:rPr>
                <w:rFonts w:hint="eastAsia" w:ascii="宋体" w:hAnsi="宋体" w:eastAsia="宋体" w:cs="宋体"/>
                <w:b/>
                <w:bCs/>
                <w:color w:val="000000"/>
                <w:spacing w:val="0"/>
                <w:w w:val="100"/>
                <w:position w:val="0"/>
                <w:sz w:val="18"/>
                <w:szCs w:val="18"/>
              </w:rPr>
              <w:t>0</w:t>
            </w:r>
            <w:r>
              <w:rPr>
                <w:rFonts w:hint="eastAsia" w:ascii="宋体" w:hAnsi="宋体" w:eastAsia="宋体" w:cs="宋体"/>
                <w:color w:val="000000"/>
                <w:spacing w:val="0"/>
                <w:w w:val="100"/>
                <w:position w:val="0"/>
                <w:sz w:val="18"/>
                <w:szCs w:val="18"/>
              </w:rPr>
              <w:t>分。</w:t>
            </w:r>
          </w:p>
        </w:tc>
        <w:tc>
          <w:tcPr>
            <w:tcW w:w="278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根据部门实际情况评定。</w:t>
            </w:r>
          </w:p>
        </w:tc>
        <w:tc>
          <w:tcPr>
            <w:tcW w:w="847"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3</w:t>
            </w:r>
          </w:p>
        </w:tc>
      </w:tr>
      <w:tr>
        <w:tblPrEx>
          <w:tblCellMar>
            <w:top w:w="0" w:type="dxa"/>
            <w:left w:w="10" w:type="dxa"/>
            <w:bottom w:w="0" w:type="dxa"/>
            <w:right w:w="10" w:type="dxa"/>
          </w:tblCellMar>
        </w:tblPrEx>
        <w:trPr>
          <w:trHeight w:val="1639" w:hRule="exact"/>
          <w:jc w:val="center"/>
        </w:trPr>
        <w:tc>
          <w:tcPr>
            <w:tcW w:w="452"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40"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34"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398"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1084"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社会公众或服务对象满意度</w:t>
            </w:r>
          </w:p>
        </w:tc>
        <w:tc>
          <w:tcPr>
            <w:tcW w:w="408"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2724"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 xml:space="preserve">90% </w:t>
            </w:r>
            <w:r>
              <w:rPr>
                <w:rFonts w:hint="eastAsia" w:ascii="宋体" w:hAnsi="宋体" w:eastAsia="宋体" w:cs="宋体"/>
                <w:color w:val="000000"/>
                <w:spacing w:val="0"/>
                <w:w w:val="100"/>
                <w:position w:val="0"/>
                <w:sz w:val="18"/>
                <w:szCs w:val="18"/>
              </w:rPr>
              <w:t>（含）以上计</w:t>
            </w:r>
            <w:r>
              <w:rPr>
                <w:rFonts w:hint="eastAsia" w:ascii="宋体" w:hAnsi="宋体" w:eastAsia="宋体" w:cs="宋体"/>
                <w:b/>
                <w:bCs/>
                <w:color w:val="000000"/>
                <w:spacing w:val="0"/>
                <w:w w:val="100"/>
                <w:position w:val="0"/>
                <w:sz w:val="18"/>
                <w:szCs w:val="18"/>
              </w:rPr>
              <w:t>6</w:t>
            </w:r>
            <w:r>
              <w:rPr>
                <w:rFonts w:hint="eastAsia" w:ascii="宋体" w:hAnsi="宋体" w:eastAsia="宋体" w:cs="宋体"/>
                <w:color w:val="000000"/>
                <w:spacing w:val="0"/>
                <w:w w:val="100"/>
                <w:position w:val="0"/>
                <w:sz w:val="18"/>
                <w:szCs w:val="18"/>
              </w:rPr>
              <w:t>分；</w:t>
            </w:r>
          </w:p>
          <w:p>
            <w:pPr>
              <w:pStyle w:val="5"/>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 xml:space="preserve">80% </w:t>
            </w:r>
            <w:r>
              <w:rPr>
                <w:rFonts w:hint="eastAsia" w:ascii="宋体" w:hAnsi="宋体" w:eastAsia="宋体" w:cs="宋体"/>
                <w:color w:val="000000"/>
                <w:spacing w:val="0"/>
                <w:w w:val="100"/>
                <w:position w:val="0"/>
                <w:sz w:val="18"/>
                <w:szCs w:val="18"/>
              </w:rPr>
              <w:t>（含）</w:t>
            </w:r>
            <w:r>
              <w:rPr>
                <w:rFonts w:hint="eastAsia" w:ascii="宋体" w:hAnsi="宋体" w:eastAsia="宋体" w:cs="宋体"/>
                <w:b/>
                <w:bCs/>
                <w:color w:val="000000"/>
                <w:spacing w:val="0"/>
                <w:w w:val="100"/>
                <w:position w:val="0"/>
                <w:sz w:val="18"/>
                <w:szCs w:val="18"/>
              </w:rPr>
              <w:t>-90%,</w:t>
            </w:r>
            <w:r>
              <w:rPr>
                <w:rFonts w:hint="eastAsia" w:ascii="宋体" w:hAnsi="宋体" w:eastAsia="宋体" w:cs="宋体"/>
                <w:color w:val="000000"/>
                <w:spacing w:val="0"/>
                <w:w w:val="100"/>
                <w:position w:val="0"/>
                <w:sz w:val="18"/>
                <w:szCs w:val="18"/>
              </w:rPr>
              <w:t xml:space="preserve">计 </w:t>
            </w:r>
            <w:r>
              <w:rPr>
                <w:rFonts w:hint="eastAsia" w:ascii="宋体" w:hAnsi="宋体" w:eastAsia="宋体" w:cs="宋体"/>
                <w:b/>
                <w:bCs/>
                <w:color w:val="000000"/>
                <w:spacing w:val="0"/>
                <w:w w:val="100"/>
                <w:position w:val="0"/>
                <w:sz w:val="18"/>
                <w:szCs w:val="18"/>
              </w:rPr>
              <w:t xml:space="preserve">4 </w:t>
            </w:r>
            <w:r>
              <w:rPr>
                <w:rFonts w:hint="eastAsia" w:ascii="宋体" w:hAnsi="宋体" w:eastAsia="宋体" w:cs="宋体"/>
                <w:color w:val="000000"/>
                <w:spacing w:val="0"/>
                <w:w w:val="100"/>
                <w:position w:val="0"/>
                <w:sz w:val="18"/>
                <w:szCs w:val="18"/>
              </w:rPr>
              <w:t>分；</w:t>
            </w:r>
          </w:p>
          <w:p>
            <w:pPr>
              <w:pStyle w:val="5"/>
              <w:keepNext w:val="0"/>
              <w:keepLines w:val="0"/>
              <w:widowControl w:val="0"/>
              <w:shd w:val="clear" w:color="auto" w:fill="auto"/>
              <w:bidi w:val="0"/>
              <w:spacing w:before="0" w:after="0" w:line="317" w:lineRule="exact"/>
              <w:ind w:left="0" w:right="0" w:firstLine="0"/>
              <w:jc w:val="left"/>
              <w:rPr>
                <w:rFonts w:hint="eastAsia" w:cs="宋体"/>
                <w:color w:val="000000"/>
                <w:spacing w:val="0"/>
                <w:w w:val="100"/>
                <w:position w:val="0"/>
                <w:sz w:val="18"/>
                <w:szCs w:val="18"/>
                <w:lang w:val="en-US" w:eastAsia="zh-CN"/>
              </w:rPr>
            </w:pPr>
            <w:r>
              <w:rPr>
                <w:rFonts w:hint="eastAsia" w:ascii="宋体" w:hAnsi="宋体" w:eastAsia="宋体" w:cs="宋体"/>
                <w:b/>
                <w:bCs/>
                <w:color w:val="000000"/>
                <w:spacing w:val="0"/>
                <w:w w:val="100"/>
                <w:position w:val="0"/>
                <w:sz w:val="18"/>
                <w:szCs w:val="18"/>
              </w:rPr>
              <w:t xml:space="preserve">70% </w:t>
            </w:r>
            <w:r>
              <w:rPr>
                <w:rFonts w:hint="eastAsia" w:ascii="宋体" w:hAnsi="宋体" w:eastAsia="宋体" w:cs="宋体"/>
                <w:color w:val="000000"/>
                <w:spacing w:val="0"/>
                <w:w w:val="100"/>
                <w:position w:val="0"/>
                <w:sz w:val="18"/>
                <w:szCs w:val="18"/>
              </w:rPr>
              <w:t>（含）</w:t>
            </w:r>
            <w:r>
              <w:rPr>
                <w:rFonts w:hint="eastAsia" w:ascii="宋体" w:hAnsi="宋体" w:eastAsia="宋体" w:cs="宋体"/>
                <w:b/>
                <w:bCs/>
                <w:color w:val="000000"/>
                <w:spacing w:val="0"/>
                <w:w w:val="100"/>
                <w:position w:val="0"/>
                <w:sz w:val="18"/>
                <w:szCs w:val="18"/>
              </w:rPr>
              <w:t>-80%,</w:t>
            </w:r>
            <w:r>
              <w:rPr>
                <w:rFonts w:hint="eastAsia" w:ascii="宋体" w:hAnsi="宋体" w:eastAsia="宋体" w:cs="宋体"/>
                <w:color w:val="000000"/>
                <w:spacing w:val="0"/>
                <w:w w:val="100"/>
                <w:position w:val="0"/>
                <w:sz w:val="18"/>
                <w:szCs w:val="18"/>
              </w:rPr>
              <w:t xml:space="preserve">计 </w:t>
            </w:r>
            <w:r>
              <w:rPr>
                <w:rFonts w:hint="eastAsia" w:ascii="宋体" w:hAnsi="宋体" w:eastAsia="宋体" w:cs="宋体"/>
                <w:b/>
                <w:bCs/>
                <w:color w:val="000000"/>
                <w:spacing w:val="0"/>
                <w:w w:val="100"/>
                <w:position w:val="0"/>
                <w:sz w:val="18"/>
                <w:szCs w:val="18"/>
              </w:rPr>
              <w:t xml:space="preserve">2 </w:t>
            </w:r>
            <w:r>
              <w:rPr>
                <w:rFonts w:hint="eastAsia" w:ascii="宋体" w:hAnsi="宋体" w:eastAsia="宋体" w:cs="宋体"/>
                <w:color w:val="000000"/>
                <w:spacing w:val="0"/>
                <w:w w:val="100"/>
                <w:position w:val="0"/>
                <w:sz w:val="18"/>
                <w:szCs w:val="18"/>
              </w:rPr>
              <w:t>分；</w:t>
            </w:r>
            <w:r>
              <w:rPr>
                <w:rFonts w:hint="eastAsia" w:cs="宋体"/>
                <w:color w:val="000000"/>
                <w:spacing w:val="0"/>
                <w:w w:val="100"/>
                <w:position w:val="0"/>
                <w:sz w:val="18"/>
                <w:szCs w:val="18"/>
                <w:lang w:val="en-US" w:eastAsia="zh-CN"/>
              </w:rPr>
              <w:t xml:space="preserve"> </w:t>
            </w:r>
          </w:p>
          <w:p>
            <w:pPr>
              <w:pStyle w:val="5"/>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低于</w:t>
            </w:r>
            <w:r>
              <w:rPr>
                <w:rFonts w:hint="eastAsia" w:ascii="宋体" w:hAnsi="宋体" w:eastAsia="宋体" w:cs="宋体"/>
                <w:b/>
                <w:bCs/>
                <w:color w:val="000000"/>
                <w:spacing w:val="0"/>
                <w:w w:val="100"/>
                <w:position w:val="0"/>
                <w:sz w:val="18"/>
                <w:szCs w:val="18"/>
              </w:rPr>
              <w:t>70%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0</w:t>
            </w:r>
            <w:r>
              <w:rPr>
                <w:rFonts w:hint="eastAsia" w:ascii="宋体" w:hAnsi="宋体" w:eastAsia="宋体" w:cs="宋体"/>
                <w:color w:val="000000"/>
                <w:spacing w:val="0"/>
                <w:w w:val="100"/>
                <w:position w:val="0"/>
                <w:sz w:val="18"/>
                <w:szCs w:val="18"/>
              </w:rPr>
              <w:t>分。</w:t>
            </w:r>
          </w:p>
        </w:tc>
        <w:tc>
          <w:tcPr>
            <w:tcW w:w="2784"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4"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社会公众或服务对象是指部门（单位）履行职责而影响到的部门、群体或个人，一般采取社会 调查的方式。</w:t>
            </w:r>
          </w:p>
        </w:tc>
        <w:tc>
          <w:tcPr>
            <w:tcW w:w="84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bl>
    <w:p>
      <w:pPr>
        <w:pStyle w:val="4"/>
        <w:keepNext w:val="0"/>
        <w:keepLines w:val="0"/>
        <w:widowControl w:val="0"/>
        <w:shd w:val="clear" w:color="auto" w:fill="auto"/>
        <w:bidi w:val="0"/>
        <w:spacing w:after="420" w:line="240" w:lineRule="auto"/>
        <w:ind w:left="0" w:leftChars="0" w:right="0" w:firstLine="0" w:firstLineChars="0"/>
        <w:jc w:val="center"/>
        <w:rPr>
          <w:rFonts w:hint="eastAsia" w:ascii="宋体" w:hAnsi="宋体" w:eastAsia="宋体" w:cs="宋体"/>
          <w:sz w:val="18"/>
          <w:szCs w:val="18"/>
        </w:rPr>
      </w:pPr>
      <w:r>
        <w:rPr>
          <w:rFonts w:hint="eastAsia" w:ascii="宋体" w:hAnsi="宋体" w:eastAsia="宋体" w:cs="宋体"/>
          <w:sz w:val="18"/>
          <w:szCs w:val="18"/>
        </w:rPr>
        <w:br w:type="page"/>
      </w: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
      <w:pPr>
        <w:pStyle w:val="6"/>
        <w:keepNext/>
        <w:keepLines/>
        <w:pageBreakBefore w:val="0"/>
        <w:widowControl w:val="0"/>
        <w:shd w:val="clear" w:color="auto" w:fill="auto"/>
        <w:kinsoku/>
        <w:wordWrap/>
        <w:overflowPunct/>
        <w:topLinePunct w:val="0"/>
        <w:autoSpaceDE/>
        <w:autoSpaceDN/>
        <w:bidi w:val="0"/>
        <w:adjustRightInd/>
        <w:snapToGrid/>
        <w:spacing w:before="0" w:after="260" w:line="560" w:lineRule="exact"/>
        <w:ind w:left="0" w:right="0" w:firstLine="723" w:firstLineChars="200"/>
        <w:jc w:val="center"/>
        <w:textAlignment w:val="auto"/>
        <w:rPr>
          <w:rFonts w:hint="eastAsia" w:ascii="华文中宋" w:hAnsi="华文中宋" w:eastAsia="华文中宋" w:cs="华文中宋"/>
          <w:b/>
          <w:bCs/>
          <w:color w:val="000000"/>
          <w:spacing w:val="0"/>
          <w:w w:val="100"/>
          <w:position w:val="0"/>
          <w:sz w:val="36"/>
          <w:szCs w:val="36"/>
          <w:u w:val="none"/>
          <w:shd w:val="clear" w:color="auto" w:fill="auto"/>
          <w:lang w:val="en-US" w:eastAsia="zh-CN" w:bidi="zh-CN"/>
        </w:rPr>
      </w:pPr>
      <w:bookmarkStart w:id="0" w:name="bookmark90"/>
      <w:bookmarkStart w:id="1" w:name="bookmark89"/>
      <w:bookmarkStart w:id="2" w:name="bookmark88"/>
      <w:r>
        <w:rPr>
          <w:rFonts w:hint="eastAsia" w:ascii="华文中宋" w:hAnsi="华文中宋" w:eastAsia="华文中宋" w:cs="华文中宋"/>
          <w:b/>
          <w:bCs/>
          <w:color w:val="000000"/>
          <w:spacing w:val="0"/>
          <w:w w:val="100"/>
          <w:position w:val="0"/>
          <w:sz w:val="36"/>
          <w:szCs w:val="36"/>
          <w:u w:val="none"/>
          <w:shd w:val="clear" w:color="auto" w:fill="auto"/>
          <w:lang w:val="en-US" w:eastAsia="zh-CN" w:bidi="zh-CN"/>
        </w:rPr>
        <w:t>2022年区人社部门整体支出绩效报告</w:t>
      </w:r>
      <w:bookmarkEnd w:id="0"/>
      <w:bookmarkEnd w:id="1"/>
      <w:bookmarkEnd w:id="2"/>
    </w:p>
    <w:p>
      <w:pPr>
        <w:pStyle w:val="7"/>
        <w:keepNext w:val="0"/>
        <w:keepLines w:val="0"/>
        <w:pageBreakBefore w:val="0"/>
        <w:widowControl w:val="0"/>
        <w:numPr>
          <w:ilvl w:val="0"/>
          <w:numId w:val="2"/>
        </w:numPr>
        <w:shd w:val="clear" w:color="auto" w:fill="auto"/>
        <w:tabs>
          <w:tab w:val="left" w:pos="867"/>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部门概况</w:t>
      </w:r>
      <w:bookmarkStart w:id="3" w:name="bookmark92"/>
    </w:p>
    <w:bookmarkEnd w:id="3"/>
    <w:p>
      <w:pPr>
        <w:pStyle w:val="7"/>
        <w:keepNext w:val="0"/>
        <w:keepLines w:val="0"/>
        <w:pageBreakBefore w:val="0"/>
        <w:widowControl w:val="0"/>
        <w:numPr>
          <w:ilvl w:val="0"/>
          <w:numId w:val="3"/>
        </w:numPr>
        <w:shd w:val="clear" w:color="auto" w:fill="auto"/>
        <w:tabs>
          <w:tab w:val="left" w:pos="86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部门基本情况</w:t>
      </w:r>
    </w:p>
    <w:p>
      <w:pPr>
        <w:pStyle w:val="7"/>
        <w:keepNext w:val="0"/>
        <w:keepLines w:val="0"/>
        <w:pageBreakBefore w:val="0"/>
        <w:widowControl w:val="0"/>
        <w:numPr>
          <w:ilvl w:val="0"/>
          <w:numId w:val="4"/>
        </w:numPr>
        <w:shd w:val="clear" w:color="auto" w:fill="auto"/>
        <w:tabs>
          <w:tab w:val="left" w:pos="86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rPr>
        <w:t>部门的在职人员情况</w:t>
      </w:r>
      <w:r>
        <w:rPr>
          <w:rFonts w:hint="eastAsia" w:ascii="仿宋_GB2312" w:hAnsi="仿宋_GB2312" w:eastAsia="仿宋_GB2312" w:cs="仿宋_GB2312"/>
          <w:color w:val="000000"/>
          <w:spacing w:val="0"/>
          <w:w w:val="100"/>
          <w:position w:val="0"/>
          <w:sz w:val="32"/>
          <w:szCs w:val="32"/>
          <w:lang w:eastAsia="zh-CN"/>
        </w:rPr>
        <w:t>：本部门共有编制人数</w:t>
      </w:r>
      <w:r>
        <w:rPr>
          <w:rFonts w:hint="eastAsia" w:ascii="仿宋_GB2312" w:hAnsi="仿宋_GB2312" w:eastAsia="仿宋_GB2312" w:cs="仿宋_GB2312"/>
          <w:color w:val="000000"/>
          <w:spacing w:val="0"/>
          <w:w w:val="100"/>
          <w:position w:val="0"/>
          <w:sz w:val="32"/>
          <w:szCs w:val="32"/>
          <w:lang w:val="en-US" w:eastAsia="zh-CN"/>
        </w:rPr>
        <w:t>5人，实有人数5人。</w:t>
      </w:r>
    </w:p>
    <w:p>
      <w:pPr>
        <w:pStyle w:val="7"/>
        <w:keepNext w:val="0"/>
        <w:keepLines w:val="0"/>
        <w:pageBreakBefore w:val="0"/>
        <w:widowControl w:val="0"/>
        <w:numPr>
          <w:ilvl w:val="0"/>
          <w:numId w:val="4"/>
        </w:numPr>
        <w:shd w:val="clear" w:color="auto" w:fill="auto"/>
        <w:tabs>
          <w:tab w:val="left" w:pos="86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机构设置</w:t>
      </w:r>
      <w:r>
        <w:rPr>
          <w:rFonts w:hint="eastAsia" w:ascii="仿宋_GB2312" w:hAnsi="仿宋_GB2312" w:eastAsia="仿宋_GB2312" w:cs="仿宋_GB2312"/>
          <w:color w:val="000000"/>
          <w:spacing w:val="0"/>
          <w:w w:val="100"/>
          <w:position w:val="0"/>
          <w:sz w:val="32"/>
          <w:szCs w:val="32"/>
          <w:lang w:eastAsia="zh-CN"/>
        </w:rPr>
        <w:t>：内设股室8个（含4个副科级单位），分别为：办公室、养老保险和行政审批服务股（法规股）、事业单位管理股、基金监督和信息应用股、规划财务股、就业促进与职业能力建设股、人力资源流动管理股、劳动关系和农民工工作股（信访维稳办公室）。</w:t>
      </w:r>
    </w:p>
    <w:p>
      <w:pPr>
        <w:pStyle w:val="7"/>
        <w:keepNext w:val="0"/>
        <w:keepLines w:val="0"/>
        <w:pageBreakBefore w:val="0"/>
        <w:widowControl w:val="0"/>
        <w:numPr>
          <w:ilvl w:val="0"/>
          <w:numId w:val="4"/>
        </w:numPr>
        <w:shd w:val="clear" w:color="auto" w:fill="auto"/>
        <w:tabs>
          <w:tab w:val="left" w:pos="86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单位构成：（1）珠晖区人力资源和社会保障局部门本级；（2）珠晖区社会保险服务中心；（3）珠晖区就业服务中心；（4）珠晖区劳动人事争议仲裁院；（5）珠晖区人力资源服务中心；（6）珠晖区劳动保障监察大队。</w:t>
      </w:r>
    </w:p>
    <w:p>
      <w:pPr>
        <w:pStyle w:val="7"/>
        <w:keepNext w:val="0"/>
        <w:keepLines w:val="0"/>
        <w:pageBreakBefore w:val="0"/>
        <w:widowControl w:val="0"/>
        <w:numPr>
          <w:ilvl w:val="0"/>
          <w:numId w:val="4"/>
        </w:numPr>
        <w:shd w:val="clear" w:color="auto" w:fill="auto"/>
        <w:tabs>
          <w:tab w:val="left" w:pos="86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主要职能：（1）贯彻执行国家和省、市有关人力资源和社会保障发展方面的政策、法律法规和规划，按规定起草相关地方性法规、规章草案并组织实施，起草人力资源和社会保障的规范性文件，并监督检查其执行情况。（2）拟定并组织实施全区人力资源市场发展规划和人力资源服务业发展、人力资源流动的规范性文件，建立全区统一规范的人力资源市场，促进人力资源合理流动、有效配置。负责拟订并组织实施事业单位有关人员调配政策和特殊人员安置政策。（3）负责促进就业工作，拟订统筹城乡的就业发展规划和规范性文件并组织落实，完善公共就业创业服务体系；拟订和组织落实就业援助制度，执行职业资格证书制度和相关政策，统筹建立面向城乡劳动者的职业培训制度；牵头拟订高校毕业生就业的规范性文件，会同做好高校毕业生的就业指导工作。会同有关部门拟订并落实高技能人才和激励的规范性文件。（4）统筹推进建立覆盖全区城乡的多层次社会保障体系。拟订并组织实施养老、失业保险的发展规划、标准及规范性文件;执行全省统一的养老、失业保险关系转续办法。会同有关部门拟订社会保险及其补充保险基金管理和监督办法并组织实施，编制全区相关社会保险基金预决算草案；拟订全民参保计划并建立全区统一的社会保险公共服务平台。（5）负责全区就业、失业和相关社会保险基金预测预警和信息引导，拟订应对预案，实施预防、调节和控制，保持就业形势稳定和社会保险基金总体收支平衡。（6）统筹实施劳动、人事争议调解仲裁工作规划；负责落实劳动关系政策，完善劳动关系协商协调机制，监督实施职工工作时间、休息休假和假期制度，监督落实消除非法使用童工政策和女工、未成年工特殊劳动保护政策；组织实施劳动监察，协调劳动者维权工作，依法查处重大案件。（7）落实推进深化职称制度改革，归口管理专业技术人员的职称工作；拟订并组织实施专业技术人员和机关事业单位工勤人员管理、继续教育和博士后管理等政策和规范性文件；负责高层次专业技术人才选拔和培养工作；会同有关部门参与高层次专业技术人才引进工作和管理工作。组织拟订并组织实施技能人才培养、评价、使用和激励制度。完善并落实职业资格制度，健全职业技能多元化评价政策。（8）会同有关部门指导事业单位人事制度改革，按照管理权限负责规范事业单位岗位设置、公开招聘、聘用合同等人事综合管理工作，拟订事业单位人员和机关工勤人员管理政策和规范性文件。（9）会同有关部门拟订事业单位人员工资收入分配办法并组织实施，落实企事业单位人员工资决定、正常增长和支付保障机制；拟订全区国有企业经营者收入分配政策；会同相关部门审核事业单位、工勤人员的工资、奖金、津补贴标准和离退休费；拟订企事业单位人员福利和离退休的规范性文件并组织实施。（10）会同有关部门拟订农民工工作的综合性政策和规划，推动相关政策落实，协调解决重点难点问题，维护农民工合法权益。（11）会同有关部门组织实施国家、省级、市级表彰奖励制度和拟定区级表彰奖励制度，根据授权承办区级及以上表彰奖励活动等工作，承担全区评比达标表彰工作。承担对职责范围内有关行业、领域的安全生产工作实施监督管理。（12）完成区委、区人民政府交办的其他任务。</w:t>
      </w:r>
    </w:p>
    <w:p>
      <w:pPr>
        <w:pStyle w:val="7"/>
        <w:keepNext w:val="0"/>
        <w:keepLines w:val="0"/>
        <w:pageBreakBefore w:val="0"/>
        <w:widowControl w:val="0"/>
        <w:numPr>
          <w:ilvl w:val="0"/>
          <w:numId w:val="4"/>
        </w:numPr>
        <w:shd w:val="clear" w:color="auto" w:fill="auto"/>
        <w:tabs>
          <w:tab w:val="left" w:pos="86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重点工作计划：职能转变，深入推进简政放权，放管结合、优化服务改革，进一步减少行政审批事项，规范和优化对外办理事项，建设职业资格许可和认定等审批事项，实行国家职业资格目录清单管理，加强事中事后监管，创新就业和社会保障等公共服务方式，加强信息共享，提高公共服务水平。</w:t>
      </w:r>
    </w:p>
    <w:p>
      <w:pPr>
        <w:pStyle w:val="7"/>
        <w:keepNext w:val="0"/>
        <w:keepLines w:val="0"/>
        <w:pageBreakBefore w:val="0"/>
        <w:widowControl w:val="0"/>
        <w:numPr>
          <w:ilvl w:val="0"/>
          <w:numId w:val="3"/>
        </w:numPr>
        <w:shd w:val="clear" w:color="auto" w:fill="auto"/>
        <w:tabs>
          <w:tab w:val="left" w:pos="1101"/>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部门整体支出规模、使用方向和主要内容、涉及范围等。</w:t>
      </w:r>
    </w:p>
    <w:p>
      <w:pPr>
        <w:pStyle w:val="7"/>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本部门整体支出</w:t>
      </w:r>
      <w:r>
        <w:rPr>
          <w:rFonts w:hint="eastAsia" w:ascii="仿宋_GB2312" w:hAnsi="仿宋_GB2312" w:eastAsia="仿宋_GB2312" w:cs="仿宋_GB2312"/>
          <w:color w:val="000000"/>
          <w:spacing w:val="0"/>
          <w:w w:val="100"/>
          <w:position w:val="0"/>
          <w:sz w:val="32"/>
          <w:szCs w:val="32"/>
          <w:lang w:val="en-US" w:eastAsia="zh-CN"/>
        </w:rPr>
        <w:t>22251.24</w:t>
      </w:r>
      <w:r>
        <w:rPr>
          <w:rFonts w:hint="eastAsia" w:ascii="仿宋_GB2312" w:hAnsi="仿宋_GB2312" w:eastAsia="仿宋_GB2312" w:cs="仿宋_GB2312"/>
          <w:color w:val="000000"/>
          <w:spacing w:val="0"/>
          <w:w w:val="100"/>
          <w:position w:val="0"/>
          <w:sz w:val="32"/>
          <w:szCs w:val="32"/>
        </w:rPr>
        <w:t>万元，其中基本支出</w:t>
      </w:r>
      <w:r>
        <w:rPr>
          <w:rFonts w:hint="eastAsia" w:ascii="仿宋_GB2312" w:hAnsi="仿宋_GB2312" w:eastAsia="仿宋_GB2312" w:cs="仿宋_GB2312"/>
          <w:color w:val="000000"/>
          <w:spacing w:val="0"/>
          <w:w w:val="100"/>
          <w:position w:val="0"/>
          <w:sz w:val="32"/>
          <w:szCs w:val="32"/>
          <w:lang w:val="en-US" w:eastAsia="zh-CN"/>
        </w:rPr>
        <w:t>831.05</w:t>
      </w:r>
      <w:r>
        <w:rPr>
          <w:rFonts w:hint="eastAsia" w:ascii="仿宋_GB2312" w:hAnsi="仿宋_GB2312" w:eastAsia="仿宋_GB2312" w:cs="仿宋_GB2312"/>
          <w:color w:val="000000"/>
          <w:spacing w:val="0"/>
          <w:w w:val="100"/>
          <w:position w:val="0"/>
          <w:sz w:val="32"/>
          <w:szCs w:val="32"/>
        </w:rPr>
        <w:t>万元，主要用于机关工作人员工资福利支出、对退休人员的补助支出以及维持机关正常运行的办公费</w:t>
      </w:r>
      <w:r>
        <w:rPr>
          <w:rFonts w:hint="eastAsia" w:ascii="仿宋_GB2312" w:hAnsi="仿宋_GB2312" w:eastAsia="仿宋_GB2312" w:cs="仿宋_GB2312"/>
          <w:color w:val="000000"/>
          <w:spacing w:val="0"/>
          <w:w w:val="100"/>
          <w:position w:val="0"/>
          <w:sz w:val="32"/>
          <w:szCs w:val="32"/>
          <w:lang w:eastAsia="zh-CN"/>
        </w:rPr>
        <w:t>、印刷费、差旅费、劳务费、委托业务费、工会经费、其他交通费用及</w:t>
      </w:r>
      <w:r>
        <w:rPr>
          <w:rFonts w:hint="eastAsia" w:ascii="仿宋_GB2312" w:hAnsi="仿宋_GB2312" w:eastAsia="仿宋_GB2312" w:cs="仿宋_GB2312"/>
          <w:color w:val="000000"/>
          <w:spacing w:val="0"/>
          <w:w w:val="100"/>
          <w:position w:val="0"/>
          <w:sz w:val="32"/>
          <w:szCs w:val="32"/>
        </w:rPr>
        <w:t>其他</w:t>
      </w:r>
      <w:r>
        <w:rPr>
          <w:rFonts w:hint="eastAsia" w:ascii="仿宋_GB2312" w:hAnsi="仿宋_GB2312" w:eastAsia="仿宋_GB2312" w:cs="仿宋_GB2312"/>
          <w:color w:val="000000"/>
          <w:spacing w:val="0"/>
          <w:w w:val="100"/>
          <w:position w:val="0"/>
          <w:sz w:val="32"/>
          <w:szCs w:val="32"/>
          <w:lang w:eastAsia="zh-CN"/>
        </w:rPr>
        <w:t>商品和服务支出</w:t>
      </w:r>
      <w:r>
        <w:rPr>
          <w:rFonts w:hint="eastAsia" w:ascii="仿宋_GB2312" w:hAnsi="仿宋_GB2312" w:eastAsia="仿宋_GB2312" w:cs="仿宋_GB2312"/>
          <w:color w:val="000000"/>
          <w:spacing w:val="0"/>
          <w:w w:val="100"/>
          <w:position w:val="0"/>
          <w:sz w:val="32"/>
          <w:szCs w:val="32"/>
        </w:rPr>
        <w:t>等。项目支出</w:t>
      </w:r>
      <w:r>
        <w:rPr>
          <w:rFonts w:hint="eastAsia" w:ascii="仿宋_GB2312" w:hAnsi="仿宋_GB2312" w:eastAsia="仿宋_GB2312" w:cs="仿宋_GB2312"/>
          <w:color w:val="000000"/>
          <w:spacing w:val="0"/>
          <w:w w:val="100"/>
          <w:position w:val="0"/>
          <w:sz w:val="32"/>
          <w:szCs w:val="32"/>
          <w:lang w:val="en-US" w:eastAsia="zh-CN"/>
        </w:rPr>
        <w:t>21420.19</w:t>
      </w:r>
      <w:r>
        <w:rPr>
          <w:rFonts w:hint="eastAsia" w:ascii="仿宋_GB2312" w:hAnsi="仿宋_GB2312" w:eastAsia="仿宋_GB2312" w:cs="仿宋_GB2312"/>
          <w:color w:val="000000"/>
          <w:spacing w:val="0"/>
          <w:w w:val="100"/>
          <w:position w:val="0"/>
          <w:sz w:val="32"/>
          <w:szCs w:val="32"/>
        </w:rPr>
        <w:t>万元，主要用于</w:t>
      </w:r>
      <w:r>
        <w:rPr>
          <w:rFonts w:hint="eastAsia" w:ascii="仿宋_GB2312" w:hAnsi="仿宋_GB2312" w:eastAsia="仿宋_GB2312" w:cs="仿宋_GB2312"/>
          <w:color w:val="000000"/>
          <w:spacing w:val="0"/>
          <w:w w:val="100"/>
          <w:position w:val="0"/>
          <w:sz w:val="32"/>
          <w:szCs w:val="32"/>
          <w:lang w:eastAsia="zh-CN"/>
        </w:rPr>
        <w:t>衡阳人力资源产业园招商引资、就业补助资金、创业担保贷款贴息等。</w:t>
      </w:r>
    </w:p>
    <w:p>
      <w:pPr>
        <w:pStyle w:val="7"/>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sz w:val="32"/>
          <w:szCs w:val="32"/>
        </w:rPr>
      </w:pPr>
      <w:bookmarkStart w:id="4" w:name="bookmark94"/>
      <w:r>
        <w:rPr>
          <w:rFonts w:hint="eastAsia" w:ascii="仿宋_GB2312" w:hAnsi="仿宋_GB2312" w:eastAsia="仿宋_GB2312" w:cs="仿宋_GB2312"/>
          <w:b/>
          <w:bCs/>
          <w:color w:val="000000"/>
          <w:spacing w:val="0"/>
          <w:w w:val="100"/>
          <w:position w:val="0"/>
          <w:sz w:val="32"/>
          <w:szCs w:val="32"/>
        </w:rPr>
        <w:t>二</w:t>
      </w:r>
      <w:bookmarkEnd w:id="4"/>
      <w:r>
        <w:rPr>
          <w:rFonts w:hint="eastAsia" w:ascii="仿宋_GB2312" w:hAnsi="仿宋_GB2312" w:eastAsia="仿宋_GB2312" w:cs="仿宋_GB2312"/>
          <w:b/>
          <w:bCs/>
          <w:color w:val="000000"/>
          <w:spacing w:val="0"/>
          <w:w w:val="100"/>
          <w:position w:val="0"/>
          <w:sz w:val="32"/>
          <w:szCs w:val="32"/>
        </w:rPr>
        <w:t>、部门整体支出管理及使用情况</w:t>
      </w:r>
    </w:p>
    <w:p>
      <w:pPr>
        <w:pStyle w:val="7"/>
        <w:keepNext w:val="0"/>
        <w:keepLines w:val="0"/>
        <w:pageBreakBefore w:val="0"/>
        <w:widowControl w:val="0"/>
        <w:shd w:val="clear" w:color="auto" w:fill="auto"/>
        <w:tabs>
          <w:tab w:val="left" w:pos="1111"/>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bookmarkStart w:id="5" w:name="bookmark95"/>
      <w:r>
        <w:rPr>
          <w:rFonts w:hint="eastAsia" w:ascii="仿宋_GB2312" w:hAnsi="仿宋_GB2312" w:eastAsia="仿宋_GB2312" w:cs="仿宋_GB2312"/>
          <w:color w:val="000000"/>
          <w:spacing w:val="0"/>
          <w:w w:val="100"/>
          <w:position w:val="0"/>
          <w:sz w:val="32"/>
          <w:szCs w:val="32"/>
        </w:rPr>
        <w:t>（</w:t>
      </w:r>
      <w:bookmarkEnd w:id="5"/>
      <w:r>
        <w:rPr>
          <w:rFonts w:hint="eastAsia" w:ascii="仿宋_GB2312" w:hAnsi="仿宋_GB2312" w:eastAsia="仿宋_GB2312" w:cs="仿宋_GB2312"/>
          <w:color w:val="000000"/>
          <w:spacing w:val="0"/>
          <w:w w:val="100"/>
          <w:position w:val="0"/>
          <w:sz w:val="32"/>
          <w:szCs w:val="32"/>
        </w:rPr>
        <w:t>一）基本支出</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资金管理严格按照《珠晖区人力资源和社会保障局财务管理规定》，列支范围为保证机关正常运行所必要的开支。主要用于机关工作人员工资福利支出、对退休人员的补助支出以及维持机关正常运行的办公费、印刷费、差旅费、劳务费、委托业务费、工会经费、其他交通费用及其他商品和服务支出等</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未发生“三公”经费支出。</w:t>
      </w:r>
    </w:p>
    <w:p>
      <w:pPr>
        <w:pStyle w:val="7"/>
        <w:keepNext w:val="0"/>
        <w:keepLines w:val="0"/>
        <w:pageBreakBefore w:val="0"/>
        <w:widowControl w:val="0"/>
        <w:shd w:val="clear" w:color="auto" w:fill="auto"/>
        <w:tabs>
          <w:tab w:val="left" w:pos="1111"/>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bookmarkStart w:id="6" w:name="bookmark96"/>
      <w:r>
        <w:rPr>
          <w:rFonts w:hint="eastAsia" w:ascii="仿宋_GB2312" w:hAnsi="仿宋_GB2312" w:eastAsia="仿宋_GB2312" w:cs="仿宋_GB2312"/>
          <w:color w:val="000000"/>
          <w:spacing w:val="0"/>
          <w:w w:val="100"/>
          <w:position w:val="0"/>
          <w:sz w:val="32"/>
          <w:szCs w:val="32"/>
        </w:rPr>
        <w:t>（</w:t>
      </w:r>
      <w:bookmarkEnd w:id="6"/>
      <w:r>
        <w:rPr>
          <w:rFonts w:hint="eastAsia" w:ascii="仿宋_GB2312" w:hAnsi="仿宋_GB2312" w:eastAsia="仿宋_GB2312" w:cs="仿宋_GB2312"/>
          <w:color w:val="000000"/>
          <w:spacing w:val="0"/>
          <w:w w:val="100"/>
          <w:position w:val="0"/>
          <w:sz w:val="32"/>
          <w:szCs w:val="32"/>
        </w:rPr>
        <w:t>二）项目支出</w:t>
      </w:r>
    </w:p>
    <w:p>
      <w:pPr>
        <w:pStyle w:val="7"/>
        <w:keepNext w:val="0"/>
        <w:keepLines w:val="0"/>
        <w:pageBreakBefore w:val="0"/>
        <w:widowControl w:val="0"/>
        <w:shd w:val="clear" w:color="auto" w:fill="auto"/>
        <w:tabs>
          <w:tab w:val="left" w:pos="767"/>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default" w:ascii="仿宋_GB2312" w:hAnsi="仿宋_GB2312" w:eastAsia="仿宋_GB2312" w:cs="仿宋_GB2312"/>
          <w:sz w:val="32"/>
          <w:szCs w:val="32"/>
          <w:lang w:val="en-US" w:eastAsia="zh-CN"/>
        </w:rPr>
      </w:pPr>
      <w:bookmarkStart w:id="7" w:name="bookmark97"/>
      <w:r>
        <w:rPr>
          <w:rFonts w:hint="eastAsia" w:ascii="仿宋_GB2312" w:hAnsi="仿宋_GB2312" w:eastAsia="仿宋_GB2312" w:cs="仿宋_GB2312"/>
          <w:b w:val="0"/>
          <w:bCs w:val="0"/>
          <w:color w:val="000000"/>
          <w:spacing w:val="0"/>
          <w:w w:val="100"/>
          <w:position w:val="0"/>
          <w:sz w:val="32"/>
          <w:szCs w:val="32"/>
        </w:rPr>
        <w:t>1</w:t>
      </w:r>
      <w:bookmarkEnd w:id="7"/>
      <w:r>
        <w:rPr>
          <w:rFonts w:hint="eastAsia" w:ascii="仿宋_GB2312" w:hAnsi="仿宋_GB2312" w:eastAsia="仿宋_GB2312" w:cs="仿宋_GB2312"/>
          <w:b w:val="0"/>
          <w:bCs w:val="0"/>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rPr>
        <w:t>项目资金（包括财政资金、自筹资金等）安排落实、总投入等情况分析</w:t>
      </w:r>
      <w:r>
        <w:rPr>
          <w:rFonts w:hint="eastAsia" w:ascii="仿宋_GB2312" w:hAnsi="仿宋_GB2312" w:eastAsia="仿宋_GB2312" w:cs="仿宋_GB2312"/>
          <w:color w:val="000000"/>
          <w:spacing w:val="0"/>
          <w:w w:val="100"/>
          <w:position w:val="0"/>
          <w:sz w:val="32"/>
          <w:szCs w:val="32"/>
          <w:lang w:eastAsia="zh-CN"/>
        </w:rPr>
        <w:t>：年初结转和结余</w:t>
      </w:r>
      <w:r>
        <w:rPr>
          <w:rFonts w:hint="eastAsia" w:ascii="仿宋_GB2312" w:hAnsi="仿宋_GB2312" w:eastAsia="仿宋_GB2312" w:cs="仿宋_GB2312"/>
          <w:color w:val="000000"/>
          <w:spacing w:val="0"/>
          <w:w w:val="100"/>
          <w:position w:val="0"/>
          <w:sz w:val="32"/>
          <w:szCs w:val="32"/>
          <w:lang w:val="en-US" w:eastAsia="zh-CN"/>
        </w:rPr>
        <w:t>0万元，本年财政拨款21420.19万元。</w:t>
      </w:r>
      <w:bookmarkStart w:id="12" w:name="_GoBack"/>
      <w:bookmarkEnd w:id="12"/>
    </w:p>
    <w:p>
      <w:pPr>
        <w:pStyle w:val="7"/>
        <w:keepNext w:val="0"/>
        <w:keepLines w:val="0"/>
        <w:pageBreakBefore w:val="0"/>
        <w:widowControl w:val="0"/>
        <w:shd w:val="clear" w:color="auto" w:fill="auto"/>
        <w:tabs>
          <w:tab w:val="left" w:pos="765"/>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lang w:eastAsia="zh-CN"/>
        </w:rPr>
      </w:pPr>
      <w:bookmarkStart w:id="8" w:name="bookmark98"/>
      <w:r>
        <w:rPr>
          <w:rFonts w:hint="eastAsia" w:ascii="仿宋_GB2312" w:hAnsi="仿宋_GB2312" w:eastAsia="仿宋_GB2312" w:cs="仿宋_GB2312"/>
          <w:b w:val="0"/>
          <w:bCs w:val="0"/>
          <w:color w:val="000000"/>
          <w:spacing w:val="0"/>
          <w:w w:val="100"/>
          <w:position w:val="0"/>
          <w:sz w:val="32"/>
          <w:szCs w:val="32"/>
        </w:rPr>
        <w:t>2</w:t>
      </w:r>
      <w:bookmarkEnd w:id="8"/>
      <w:r>
        <w:rPr>
          <w:rFonts w:hint="eastAsia" w:ascii="仿宋_GB2312" w:hAnsi="仿宋_GB2312" w:eastAsia="仿宋_GB2312" w:cs="仿宋_GB2312"/>
          <w:b w:val="0"/>
          <w:bCs w:val="0"/>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rPr>
        <w:t>项目资金（主要指财政资金）实际使用情况分析</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主要用于</w:t>
      </w:r>
      <w:r>
        <w:rPr>
          <w:rFonts w:hint="eastAsia" w:ascii="仿宋_GB2312" w:hAnsi="仿宋_GB2312" w:eastAsia="仿宋_GB2312" w:cs="仿宋_GB2312"/>
          <w:color w:val="000000"/>
          <w:spacing w:val="0"/>
          <w:w w:val="100"/>
          <w:position w:val="0"/>
          <w:sz w:val="32"/>
          <w:szCs w:val="32"/>
          <w:lang w:eastAsia="zh-CN"/>
        </w:rPr>
        <w:t>衡阳人力资源产业园招商引资、就业补助资金、创业担保贷款贴息等。</w:t>
      </w:r>
    </w:p>
    <w:p>
      <w:pPr>
        <w:pStyle w:val="7"/>
        <w:keepNext w:val="0"/>
        <w:keepLines w:val="0"/>
        <w:pageBreakBefore w:val="0"/>
        <w:widowControl w:val="0"/>
        <w:shd w:val="clear" w:color="auto" w:fill="auto"/>
        <w:tabs>
          <w:tab w:val="left" w:pos="770"/>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lang w:eastAsia="zh-CN"/>
        </w:rPr>
      </w:pPr>
      <w:bookmarkStart w:id="9" w:name="bookmark99"/>
      <w:r>
        <w:rPr>
          <w:rFonts w:hint="eastAsia" w:ascii="仿宋_GB2312" w:hAnsi="仿宋_GB2312" w:eastAsia="仿宋_GB2312" w:cs="仿宋_GB2312"/>
          <w:b w:val="0"/>
          <w:bCs w:val="0"/>
          <w:color w:val="000000"/>
          <w:spacing w:val="0"/>
          <w:w w:val="100"/>
          <w:position w:val="0"/>
          <w:sz w:val="32"/>
          <w:szCs w:val="32"/>
        </w:rPr>
        <w:t>3</w:t>
      </w:r>
      <w:bookmarkEnd w:id="9"/>
      <w:r>
        <w:rPr>
          <w:rFonts w:hint="eastAsia" w:ascii="仿宋_GB2312" w:hAnsi="仿宋_GB2312" w:eastAsia="仿宋_GB2312" w:cs="仿宋_GB2312"/>
          <w:b w:val="0"/>
          <w:bCs w:val="0"/>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rPr>
        <w:t>项目资金管理情况分析，主要包括管理制度、办法的制订及执行情况</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资金管理严格按照《珠晖区人力资源和社会保障局财务管理规定》</w:t>
      </w:r>
      <w:bookmarkStart w:id="10" w:name="bookmark100"/>
      <w:r>
        <w:rPr>
          <w:rFonts w:hint="eastAsia" w:ascii="仿宋_GB2312" w:hAnsi="仿宋_GB2312" w:eastAsia="仿宋_GB2312" w:cs="仿宋_GB2312"/>
          <w:color w:val="000000"/>
          <w:spacing w:val="0"/>
          <w:w w:val="100"/>
          <w:position w:val="0"/>
          <w:sz w:val="32"/>
          <w:szCs w:val="32"/>
          <w:lang w:eastAsia="zh-CN"/>
        </w:rPr>
        <w:t>、《湖南省就业专项资金管理办法》、《珠晖区就业资金管理办法》及相关政策执行。</w:t>
      </w:r>
    </w:p>
    <w:p>
      <w:pPr>
        <w:pStyle w:val="7"/>
        <w:keepNext w:val="0"/>
        <w:keepLines w:val="0"/>
        <w:pageBreakBefore w:val="0"/>
        <w:widowControl w:val="0"/>
        <w:shd w:val="clear" w:color="auto" w:fill="auto"/>
        <w:tabs>
          <w:tab w:val="left" w:pos="770"/>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rPr>
        <w:t>三</w:t>
      </w:r>
      <w:bookmarkEnd w:id="10"/>
      <w:r>
        <w:rPr>
          <w:rFonts w:hint="eastAsia" w:ascii="仿宋_GB2312" w:hAnsi="仿宋_GB2312" w:eastAsia="仿宋_GB2312" w:cs="仿宋_GB2312"/>
          <w:b/>
          <w:bCs/>
          <w:color w:val="000000"/>
          <w:spacing w:val="0"/>
          <w:w w:val="100"/>
          <w:position w:val="0"/>
          <w:sz w:val="32"/>
          <w:szCs w:val="32"/>
        </w:rPr>
        <w:t>、部门项目组织实施情况</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项目管理制度均按照上级部门下发文件执行，不定期迎接有关部门的检查监督。</w:t>
      </w:r>
    </w:p>
    <w:p>
      <w:pPr>
        <w:pStyle w:val="7"/>
        <w:keepNext w:val="0"/>
        <w:keepLines w:val="0"/>
        <w:pageBreakBefore w:val="0"/>
        <w:widowControl w:val="0"/>
        <w:shd w:val="clear" w:color="auto" w:fill="auto"/>
        <w:tabs>
          <w:tab w:val="left" w:pos="876"/>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bookmarkStart w:id="11" w:name="bookmark101"/>
      <w:r>
        <w:rPr>
          <w:rFonts w:hint="eastAsia" w:ascii="仿宋_GB2312" w:hAnsi="仿宋_GB2312" w:eastAsia="仿宋_GB2312" w:cs="仿宋_GB2312"/>
          <w:b/>
          <w:bCs/>
          <w:color w:val="000000"/>
          <w:spacing w:val="0"/>
          <w:w w:val="100"/>
          <w:position w:val="0"/>
          <w:sz w:val="32"/>
          <w:szCs w:val="32"/>
        </w:rPr>
        <w:t>四</w:t>
      </w:r>
      <w:bookmarkEnd w:id="11"/>
      <w:r>
        <w:rPr>
          <w:rFonts w:hint="eastAsia" w:ascii="仿宋_GB2312" w:hAnsi="仿宋_GB2312" w:eastAsia="仿宋_GB2312" w:cs="仿宋_GB2312"/>
          <w:b/>
          <w:bCs/>
          <w:color w:val="000000"/>
          <w:spacing w:val="0"/>
          <w:w w:val="100"/>
          <w:position w:val="0"/>
          <w:sz w:val="32"/>
          <w:szCs w:val="32"/>
        </w:rPr>
        <w:t>、资产管理情况</w:t>
      </w:r>
    </w:p>
    <w:p>
      <w:pPr>
        <w:pStyle w:val="7"/>
        <w:keepNext w:val="0"/>
        <w:keepLines w:val="0"/>
        <w:pageBreakBefore w:val="0"/>
        <w:widowControl w:val="0"/>
        <w:shd w:val="clear" w:color="auto" w:fill="auto"/>
        <w:tabs>
          <w:tab w:val="left" w:pos="876"/>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本</w:t>
      </w:r>
      <w:r>
        <w:rPr>
          <w:rFonts w:hint="eastAsia" w:ascii="仿宋_GB2312" w:hAnsi="仿宋_GB2312" w:eastAsia="仿宋_GB2312" w:cs="仿宋_GB2312"/>
          <w:color w:val="000000"/>
          <w:spacing w:val="0"/>
          <w:w w:val="100"/>
          <w:position w:val="0"/>
          <w:sz w:val="32"/>
          <w:szCs w:val="32"/>
        </w:rPr>
        <w:t>部门资产的配置、管理、处置等均按照相关政策文件执行</w:t>
      </w:r>
      <w:r>
        <w:rPr>
          <w:rFonts w:hint="eastAsia" w:ascii="仿宋_GB2312" w:hAnsi="仿宋_GB2312" w:eastAsia="仿宋_GB2312" w:cs="仿宋_GB2312"/>
          <w:color w:val="000000"/>
          <w:spacing w:val="0"/>
          <w:w w:val="100"/>
          <w:position w:val="0"/>
          <w:sz w:val="32"/>
          <w:szCs w:val="32"/>
          <w:lang w:eastAsia="zh-CN"/>
        </w:rPr>
        <w:t>。自</w:t>
      </w:r>
      <w:r>
        <w:rPr>
          <w:rFonts w:hint="eastAsia" w:ascii="仿宋_GB2312" w:hAnsi="仿宋_GB2312" w:eastAsia="仿宋_GB2312" w:cs="仿宋_GB2312"/>
          <w:color w:val="000000"/>
          <w:spacing w:val="0"/>
          <w:w w:val="100"/>
          <w:position w:val="0"/>
          <w:sz w:val="32"/>
          <w:szCs w:val="32"/>
          <w:lang w:val="en-US" w:eastAsia="zh-CN"/>
        </w:rPr>
        <w:t>2021年10月起，下属事业单位取消财务独立，资产转入本部门。</w:t>
      </w:r>
    </w:p>
    <w:p>
      <w:pPr>
        <w:pStyle w:val="7"/>
        <w:keepNext w:val="0"/>
        <w:keepLines w:val="0"/>
        <w:pageBreakBefore w:val="0"/>
        <w:widowControl w:val="0"/>
        <w:numPr>
          <w:ilvl w:val="0"/>
          <w:numId w:val="0"/>
        </w:numPr>
        <w:shd w:val="clear" w:color="auto" w:fill="auto"/>
        <w:tabs>
          <w:tab w:val="left" w:pos="876"/>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eastAsia="zh-CN"/>
        </w:rPr>
        <w:t>五、</w:t>
      </w:r>
      <w:r>
        <w:rPr>
          <w:rFonts w:hint="eastAsia" w:ascii="仿宋_GB2312" w:hAnsi="仿宋_GB2312" w:eastAsia="仿宋_GB2312" w:cs="仿宋_GB2312"/>
          <w:b/>
          <w:bCs/>
          <w:color w:val="000000"/>
          <w:spacing w:val="0"/>
          <w:w w:val="100"/>
          <w:position w:val="0"/>
          <w:sz w:val="32"/>
          <w:szCs w:val="32"/>
        </w:rPr>
        <w:t>部门整体支出绩效情况</w:t>
      </w:r>
    </w:p>
    <w:p>
      <w:pPr>
        <w:pStyle w:val="7"/>
        <w:keepNext w:val="0"/>
        <w:keepLines w:val="0"/>
        <w:pageBreakBefore w:val="0"/>
        <w:widowControl w:val="0"/>
        <w:numPr>
          <w:ilvl w:val="0"/>
          <w:numId w:val="0"/>
        </w:numPr>
        <w:shd w:val="clear" w:color="auto" w:fill="auto"/>
        <w:tabs>
          <w:tab w:val="left" w:pos="876"/>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部门履职及履职效益情况良好。其中：部门整体支出经济性良好，对成本（预算）控制、节约等情况均符合相关要求；部门整体支出效率性良好，各项工作、专项完成均按时、按要求完成；部门整体支出有效性良好，反映部门整体支出使用效果的各项指标均符合相关要求；部门整体支出可持续性良好，支出完成后，后续政策、资金、人员机构安排和管理措施等影响项目持续发展的因素均符合相关要求。</w:t>
      </w:r>
    </w:p>
    <w:p>
      <w:pPr>
        <w:pStyle w:val="7"/>
        <w:keepNext w:val="0"/>
        <w:keepLines w:val="0"/>
        <w:pageBreakBefore w:val="0"/>
        <w:widowControl w:val="0"/>
        <w:numPr>
          <w:ilvl w:val="0"/>
          <w:numId w:val="0"/>
        </w:numPr>
        <w:shd w:val="clear" w:color="auto" w:fill="auto"/>
        <w:tabs>
          <w:tab w:val="left" w:pos="876"/>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eastAsia="zh-CN"/>
        </w:rPr>
        <w:t>六、</w:t>
      </w:r>
      <w:r>
        <w:rPr>
          <w:rFonts w:hint="eastAsia" w:ascii="仿宋_GB2312" w:hAnsi="仿宋_GB2312" w:eastAsia="仿宋_GB2312" w:cs="仿宋_GB2312"/>
          <w:b/>
          <w:bCs/>
          <w:color w:val="000000"/>
          <w:spacing w:val="0"/>
          <w:w w:val="100"/>
          <w:position w:val="0"/>
          <w:sz w:val="32"/>
          <w:szCs w:val="32"/>
        </w:rPr>
        <w:t>存在的主要问题</w:t>
      </w:r>
    </w:p>
    <w:p>
      <w:pPr>
        <w:pStyle w:val="7"/>
        <w:keepNext w:val="0"/>
        <w:keepLines w:val="0"/>
        <w:pageBreakBefore w:val="0"/>
        <w:widowControl w:val="0"/>
        <w:numPr>
          <w:ilvl w:val="0"/>
          <w:numId w:val="0"/>
        </w:numPr>
        <w:shd w:val="clear" w:color="auto" w:fill="auto"/>
        <w:tabs>
          <w:tab w:val="left" w:pos="876"/>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因财政资金紧张，故在资金安排上略有不足。</w:t>
      </w:r>
    </w:p>
    <w:p>
      <w:pPr>
        <w:pStyle w:val="7"/>
        <w:keepNext w:val="0"/>
        <w:keepLines w:val="0"/>
        <w:pageBreakBefore w:val="0"/>
        <w:widowControl w:val="0"/>
        <w:numPr>
          <w:ilvl w:val="0"/>
          <w:numId w:val="0"/>
        </w:numPr>
        <w:shd w:val="clear" w:color="auto" w:fill="auto"/>
        <w:tabs>
          <w:tab w:val="left" w:pos="886"/>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eastAsia="zh-CN"/>
        </w:rPr>
        <w:t>七、</w:t>
      </w:r>
      <w:r>
        <w:rPr>
          <w:rFonts w:hint="eastAsia" w:ascii="仿宋_GB2312" w:hAnsi="仿宋_GB2312" w:eastAsia="仿宋_GB2312" w:cs="仿宋_GB2312"/>
          <w:b/>
          <w:bCs/>
          <w:color w:val="000000"/>
          <w:spacing w:val="0"/>
          <w:w w:val="100"/>
          <w:position w:val="0"/>
          <w:sz w:val="32"/>
          <w:szCs w:val="32"/>
        </w:rPr>
        <w:t>改进措施和有关建议</w:t>
      </w:r>
    </w:p>
    <w:p>
      <w:pPr>
        <w:pStyle w:val="7"/>
        <w:keepNext w:val="0"/>
        <w:keepLines w:val="0"/>
        <w:pageBreakBefore w:val="0"/>
        <w:widowControl w:val="0"/>
        <w:numPr>
          <w:ilvl w:val="0"/>
          <w:numId w:val="0"/>
        </w:numPr>
        <w:shd w:val="clear" w:color="auto" w:fill="auto"/>
        <w:tabs>
          <w:tab w:val="left" w:pos="876"/>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建议根据实际情况，足额下达预算资金。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BDD483"/>
    <w:multiLevelType w:val="singleLevel"/>
    <w:tmpl w:val="CABDD483"/>
    <w:lvl w:ilvl="0" w:tentative="0">
      <w:start w:val="1"/>
      <w:numFmt w:val="decimal"/>
      <w:suff w:val="nothing"/>
      <w:lvlText w:val="%1、"/>
      <w:lvlJc w:val="left"/>
    </w:lvl>
  </w:abstractNum>
  <w:abstractNum w:abstractNumId="1">
    <w:nsid w:val="E8F1A02F"/>
    <w:multiLevelType w:val="singleLevel"/>
    <w:tmpl w:val="E8F1A02F"/>
    <w:lvl w:ilvl="0" w:tentative="0">
      <w:start w:val="1"/>
      <w:numFmt w:val="chineseCounting"/>
      <w:suff w:val="nothing"/>
      <w:lvlText w:val="（%1）"/>
      <w:lvlJc w:val="left"/>
      <w:rPr>
        <w:rFonts w:hint="eastAsia"/>
      </w:rPr>
    </w:lvl>
  </w:abstractNum>
  <w:abstractNum w:abstractNumId="2">
    <w:nsid w:val="F51E7F6B"/>
    <w:multiLevelType w:val="singleLevel"/>
    <w:tmpl w:val="F51E7F6B"/>
    <w:lvl w:ilvl="0" w:tentative="0">
      <w:start w:val="1"/>
      <w:numFmt w:val="decimal"/>
      <w:suff w:val="nothing"/>
      <w:lvlText w:val="%1、"/>
      <w:lvlJc w:val="left"/>
    </w:lvl>
  </w:abstractNum>
  <w:abstractNum w:abstractNumId="3">
    <w:nsid w:val="0E813F1C"/>
    <w:multiLevelType w:val="singleLevel"/>
    <w:tmpl w:val="0E813F1C"/>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YWQzYzNmNzgzZjY3ZDZmOTY3MTQwMjQ5MjU4ZTYifQ=="/>
  </w:docVars>
  <w:rsids>
    <w:rsidRoot w:val="00000000"/>
    <w:rsid w:val="026305F6"/>
    <w:rsid w:val="0AA82AC5"/>
    <w:rsid w:val="0EBB147A"/>
    <w:rsid w:val="161C0E01"/>
    <w:rsid w:val="1D5A09CF"/>
    <w:rsid w:val="20DB26FF"/>
    <w:rsid w:val="28546167"/>
    <w:rsid w:val="2AB078A1"/>
    <w:rsid w:val="2F4E39B1"/>
    <w:rsid w:val="3D1745D8"/>
    <w:rsid w:val="42022339"/>
    <w:rsid w:val="498A77E3"/>
    <w:rsid w:val="4EF15B03"/>
    <w:rsid w:val="53F00B8B"/>
    <w:rsid w:val="58E72B46"/>
    <w:rsid w:val="5F212301"/>
    <w:rsid w:val="60FE664A"/>
    <w:rsid w:val="65D62392"/>
    <w:rsid w:val="683456F2"/>
    <w:rsid w:val="692E7B34"/>
    <w:rsid w:val="696B7548"/>
    <w:rsid w:val="69FC6272"/>
    <w:rsid w:val="6BF46323"/>
    <w:rsid w:val="71B74082"/>
    <w:rsid w:val="7C1157D7"/>
    <w:rsid w:val="7EBC1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Body text|3"/>
    <w:basedOn w:val="1"/>
    <w:qFormat/>
    <w:uiPriority w:val="0"/>
    <w:pPr>
      <w:widowControl w:val="0"/>
      <w:shd w:val="clear" w:color="auto" w:fill="auto"/>
      <w:spacing w:before="220" w:after="720"/>
      <w:ind w:firstLine="520"/>
    </w:pPr>
    <w:rPr>
      <w:sz w:val="32"/>
      <w:szCs w:val="32"/>
      <w:u w:val="none"/>
      <w:shd w:val="clear" w:color="auto" w:fill="auto"/>
    </w:rPr>
  </w:style>
  <w:style w:type="paragraph" w:customStyle="1" w:styleId="5">
    <w:name w:val="Other|1"/>
    <w:basedOn w:val="1"/>
    <w:qFormat/>
    <w:uiPriority w:val="0"/>
    <w:pPr>
      <w:widowControl w:val="0"/>
      <w:shd w:val="clear" w:color="auto" w:fill="auto"/>
      <w:spacing w:line="302" w:lineRule="exact"/>
    </w:pPr>
    <w:rPr>
      <w:rFonts w:ascii="宋体" w:hAnsi="宋体" w:eastAsia="宋体" w:cs="宋体"/>
      <w:sz w:val="19"/>
      <w:szCs w:val="19"/>
      <w:u w:val="none"/>
      <w:shd w:val="clear" w:color="auto" w:fill="auto"/>
      <w:lang w:val="zh-CN" w:eastAsia="zh-CN" w:bidi="zh-CN"/>
    </w:rPr>
  </w:style>
  <w:style w:type="paragraph" w:customStyle="1" w:styleId="6">
    <w:name w:val="Heading #2|1"/>
    <w:basedOn w:val="1"/>
    <w:qFormat/>
    <w:uiPriority w:val="0"/>
    <w:pPr>
      <w:widowControl w:val="0"/>
      <w:shd w:val="clear" w:color="auto" w:fill="auto"/>
      <w:spacing w:after="300"/>
      <w:jc w:val="center"/>
      <w:outlineLvl w:val="1"/>
    </w:pPr>
    <w:rPr>
      <w:rFonts w:ascii="宋体" w:hAnsi="宋体" w:eastAsia="宋体" w:cs="宋体"/>
      <w:sz w:val="44"/>
      <w:szCs w:val="44"/>
      <w:u w:val="none"/>
      <w:shd w:val="clear" w:color="auto" w:fill="auto"/>
      <w:lang w:val="zh-CN" w:eastAsia="zh-CN" w:bidi="zh-CN"/>
    </w:rPr>
  </w:style>
  <w:style w:type="paragraph" w:customStyle="1" w:styleId="7">
    <w:name w:val="Body text|1"/>
    <w:basedOn w:val="1"/>
    <w:qFormat/>
    <w:uiPriority w:val="0"/>
    <w:pPr>
      <w:widowControl w:val="0"/>
      <w:shd w:val="clear" w:color="auto" w:fill="auto"/>
      <w:spacing w:line="408" w:lineRule="auto"/>
      <w:ind w:firstLine="400"/>
    </w:pPr>
    <w:rPr>
      <w:rFonts w:ascii="宋体" w:hAnsi="宋体" w:eastAsia="宋体" w:cs="宋体"/>
      <w:sz w:val="19"/>
      <w:szCs w:val="19"/>
      <w:u w:val="none"/>
      <w:shd w:val="clear" w:color="auto" w:fill="auto"/>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4282</Words>
  <Characters>4438</Characters>
  <Lines>0</Lines>
  <Paragraphs>0</Paragraphs>
  <TotalTime>8</TotalTime>
  <ScaleCrop>false</ScaleCrop>
  <LinksUpToDate>false</LinksUpToDate>
  <CharactersWithSpaces>4544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2022-10-25T09:19:00Z</dcterms:created>
  <dc:creator>Administrator</dc:creator>
  <cp:lastModifiedBy>杜杜杜小粥</cp:lastModifiedBy>
  <dcterms:modified xsi:type="dcterms:W3CDTF">2023-11-28T00:45:39Z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D0AACCB72E164CC599A7BDAF9AE8E8A7</vt:lpwstr>
  </property>
</Properties>
</file>