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jc w:val="left"/>
        <w:rPr>
          <w:color w:val="000000"/>
          <w:sz w:val="24"/>
          <w:lang w:val="en-US"/>
        </w:rPr>
      </w:pPr>
      <w:r>
        <w:rPr>
          <w:rFonts w:hint="eastAsia"/>
          <w:color w:val="000000"/>
          <w:sz w:val="24"/>
        </w:rPr>
        <w:t>附件</w:t>
      </w:r>
      <w:r>
        <w:rPr>
          <w:rFonts w:hint="eastAsia"/>
          <w:color w:val="000000"/>
          <w:sz w:val="24"/>
          <w:lang w:val="en-US"/>
        </w:rPr>
        <w:t>1</w:t>
      </w:r>
    </w:p>
    <w:p>
      <w:pPr>
        <w:spacing w:beforeLines="50" w:afterLines="50"/>
        <w:jc w:val="center"/>
        <w:rPr>
          <w:rFonts w:ascii="Times New Roman" w:hAnsi="Times New Roman" w:eastAsia="方正小标宋_GBK"/>
          <w:kern w:val="0"/>
          <w:sz w:val="36"/>
          <w:szCs w:val="36"/>
        </w:rPr>
      </w:pPr>
      <w:r>
        <w:rPr>
          <w:rFonts w:ascii="Times New Roman" w:hAnsi="Times New Roman" w:eastAsia="方正小标宋_GBK"/>
          <w:kern w:val="0"/>
          <w:sz w:val="36"/>
          <w:szCs w:val="36"/>
        </w:rPr>
        <w:t>部门整体支出绩效评价</w:t>
      </w:r>
      <w:r>
        <w:rPr>
          <w:rFonts w:hint="eastAsia" w:ascii="Times New Roman" w:hAnsi="Times New Roman" w:eastAsia="方正小标宋_GBK"/>
          <w:kern w:val="0"/>
          <w:sz w:val="36"/>
          <w:szCs w:val="36"/>
        </w:rPr>
        <w:t>指标</w:t>
      </w:r>
      <w:r>
        <w:rPr>
          <w:rFonts w:ascii="Times New Roman" w:hAnsi="Times New Roman" w:eastAsia="方正小标宋_GBK"/>
          <w:kern w:val="0"/>
          <w:sz w:val="36"/>
          <w:szCs w:val="36"/>
        </w:rPr>
        <w:t>表</w:t>
      </w:r>
    </w:p>
    <w:p>
      <w:pPr>
        <w:pStyle w:val="2"/>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填报单位：（盖章）珠晖区民政局</w:t>
      </w:r>
    </w:p>
    <w:tbl>
      <w:tblPr>
        <w:tblStyle w:val="6"/>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p>
          <w:p>
            <w:pPr>
              <w:jc w:val="center"/>
              <w:rPr>
                <w:rFonts w:ascii="仿宋_GB2312" w:eastAsia="仿宋_GB2312"/>
                <w:b/>
                <w:bCs/>
                <w:szCs w:val="21"/>
              </w:rPr>
            </w:pP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目标</w:t>
            </w:r>
          </w:p>
          <w:p>
            <w:pPr>
              <w:spacing w:line="320" w:lineRule="exact"/>
              <w:jc w:val="center"/>
              <w:rPr>
                <w:rFonts w:ascii="仿宋_GB2312" w:eastAsia="仿宋_GB2312"/>
                <w:szCs w:val="21"/>
              </w:rPr>
            </w:pP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在职人员数：部门实际在职人数，以财政部确定的部门决算编制口径为准。</w:t>
            </w:r>
          </w:p>
          <w:p>
            <w:pPr>
              <w:spacing w:line="320" w:lineRule="exact"/>
              <w:ind w:left="105" w:leftChars="50" w:right="105" w:rightChars="50"/>
              <w:rPr>
                <w:rFonts w:ascii="仿宋_GB2312" w:eastAsia="仿宋_GB2312"/>
                <w:szCs w:val="21"/>
              </w:rPr>
            </w:pP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，计2分；“三公经费”＞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重点支出</w:t>
            </w:r>
          </w:p>
          <w:p>
            <w:pPr>
              <w:spacing w:line="320" w:lineRule="exact"/>
              <w:jc w:val="center"/>
              <w:rPr>
                <w:rFonts w:ascii="仿宋_GB2312" w:eastAsia="仿宋_GB2312"/>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p>
          <w:p>
            <w:pPr>
              <w:spacing w:line="320" w:lineRule="exact"/>
              <w:ind w:left="105" w:leftChars="50" w:right="105" w:rightChars="50"/>
              <w:rPr>
                <w:rFonts w:ascii="仿宋_GB2312" w:eastAsia="仿宋_GB2312"/>
                <w:szCs w:val="21"/>
              </w:rPr>
            </w:pP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预算执行数：部门本年度实际完成的预算数。</w:t>
            </w:r>
          </w:p>
          <w:p>
            <w:pPr>
              <w:spacing w:line="320" w:lineRule="exact"/>
              <w:ind w:left="105" w:leftChars="50" w:right="105" w:rightChars="50"/>
              <w:rPr>
                <w:rFonts w:ascii="仿宋_GB2312" w:eastAsia="仿宋_GB2312"/>
                <w:szCs w:val="21"/>
              </w:rPr>
            </w:pP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支付</w:t>
            </w:r>
          </w:p>
          <w:p>
            <w:pPr>
              <w:spacing w:line="320" w:lineRule="exact"/>
              <w:jc w:val="center"/>
              <w:rPr>
                <w:rFonts w:ascii="仿宋_GB2312" w:eastAsia="仿宋_GB2312"/>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实际支付进度：部门在某一时点的支出预算执行总数与年度支出预算数的比率。</w:t>
            </w:r>
          </w:p>
          <w:p>
            <w:pPr>
              <w:spacing w:line="320" w:lineRule="exact"/>
              <w:ind w:left="105" w:leftChars="50" w:right="105" w:rightChars="50"/>
              <w:rPr>
                <w:rFonts w:ascii="仿宋_GB2312" w:eastAsia="仿宋_GB2312"/>
                <w:szCs w:val="21"/>
              </w:rPr>
            </w:pP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continue"/>
            <w:tcMar>
              <w:top w:w="10" w:type="dxa"/>
              <w:left w:w="10" w:type="dxa"/>
              <w:bottom w:w="0" w:type="dxa"/>
              <w:right w:w="10" w:type="dxa"/>
            </w:tcMar>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w:t>
            </w:r>
          </w:p>
          <w:p>
            <w:pPr>
              <w:spacing w:line="320" w:lineRule="exact"/>
              <w:jc w:val="center"/>
              <w:rPr>
                <w:rFonts w:ascii="仿宋_GB2312" w:eastAsia="仿宋_GB2312"/>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结转结余</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公用经费</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政府采购</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p>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相关管理制度是否合法、合规、完整；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资金使用</w:t>
            </w:r>
          </w:p>
          <w:p>
            <w:pPr>
              <w:spacing w:line="320" w:lineRule="exact"/>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rPr>
                <w:rFonts w:ascii="仿宋_GB2312" w:eastAsia="仿宋_GB2312"/>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预算支出的重大开支是否经过评估论证；</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是否符合部门预算批复的用途；</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预决算信</w:t>
            </w:r>
          </w:p>
          <w:p>
            <w:pPr>
              <w:spacing w:line="320" w:lineRule="exact"/>
              <w:jc w:val="center"/>
              <w:rPr>
                <w:rFonts w:ascii="仿宋_GB2312" w:eastAsia="仿宋_GB2312"/>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_GB2312" w:eastAsia="仿宋_GB2312"/>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是否按规定内容公开预决算信息；</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是否按规定时限公开预决算信息。</w:t>
            </w:r>
          </w:p>
          <w:p>
            <w:pPr>
              <w:spacing w:line="320" w:lineRule="exact"/>
              <w:ind w:left="105" w:leftChars="50" w:right="105" w:rightChars="50"/>
              <w:rPr>
                <w:rFonts w:ascii="仿宋_GB2312" w:eastAsia="仿宋_GB2312"/>
                <w:szCs w:val="21"/>
              </w:rPr>
            </w:pP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基础信息</w:t>
            </w:r>
          </w:p>
          <w:p>
            <w:pPr>
              <w:spacing w:line="320" w:lineRule="exact"/>
              <w:jc w:val="center"/>
              <w:rPr>
                <w:rFonts w:ascii="仿宋_GB2312" w:eastAsia="仿宋_GB2312"/>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基础数据信息和会计信息资料是否真实；</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基础数据信息和会计信息资料是否完整；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（3分）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资产管理</w:t>
            </w:r>
          </w:p>
          <w:p>
            <w:pPr>
              <w:spacing w:line="320" w:lineRule="exact"/>
              <w:jc w:val="center"/>
              <w:rPr>
                <w:rFonts w:ascii="仿宋_GB2312" w:eastAsia="仿宋_GB2312"/>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（3分）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资产保存是否完整；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资产配置是否合理；</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资产处置是否规范；</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资产账务管理是否合规，是否帐实相符；</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职责</w:t>
            </w:r>
          </w:p>
          <w:p>
            <w:pPr>
              <w:spacing w:line="320" w:lineRule="exact"/>
              <w:jc w:val="center"/>
              <w:rPr>
                <w:rFonts w:ascii="仿宋_GB2312" w:eastAsia="仿宋_GB2312"/>
                <w:szCs w:val="21"/>
              </w:rPr>
            </w:pP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实际</w:t>
            </w:r>
          </w:p>
          <w:p>
            <w:pPr>
              <w:spacing w:line="320" w:lineRule="exact"/>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实际完成工作数：一定时期（年度或规划期）内部门实际完成工作任务的数量。</w:t>
            </w:r>
          </w:p>
          <w:p>
            <w:pPr>
              <w:spacing w:line="320" w:lineRule="exact"/>
              <w:ind w:left="105" w:leftChars="50" w:right="105" w:rightChars="50"/>
              <w:rPr>
                <w:rFonts w:ascii="仿宋_GB2312" w:eastAsia="仿宋_GB2312"/>
                <w:szCs w:val="21"/>
              </w:rPr>
            </w:pP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完成</w:t>
            </w:r>
          </w:p>
          <w:p>
            <w:pPr>
              <w:spacing w:line="320" w:lineRule="exact"/>
              <w:jc w:val="center"/>
              <w:rPr>
                <w:rFonts w:ascii="仿宋_GB2312" w:eastAsia="仿宋_GB2312"/>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restart"/>
            <w:vAlign w:val="center"/>
          </w:tcPr>
          <w:p>
            <w:pPr>
              <w:spacing w:line="320" w:lineRule="exact"/>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职责</w:t>
            </w:r>
          </w:p>
          <w:p>
            <w:pPr>
              <w:spacing w:line="320" w:lineRule="exact"/>
              <w:rPr>
                <w:rFonts w:ascii="仿宋_GB2312" w:eastAsia="仿宋_GB2312"/>
                <w:szCs w:val="21"/>
              </w:rPr>
            </w:pP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质量</w:t>
            </w:r>
          </w:p>
          <w:p>
            <w:pPr>
              <w:spacing w:line="320" w:lineRule="exact"/>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重点工作</w:t>
            </w:r>
          </w:p>
          <w:p>
            <w:pPr>
              <w:spacing w:line="320" w:lineRule="exact"/>
              <w:jc w:val="center"/>
              <w:rPr>
                <w:rFonts w:ascii="仿宋_GB2312" w:eastAsia="仿宋_GB2312"/>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根据绩效办</w:t>
            </w:r>
            <w:r>
              <w:rPr>
                <w:rFonts w:ascii="仿宋_GB2312" w:eastAsia="仿宋_GB2312"/>
                <w:szCs w:val="21"/>
              </w:rPr>
              <w:t>2019</w:t>
            </w:r>
            <w:r>
              <w:rPr>
                <w:rFonts w:hint="eastAsia" w:ascii="仿宋_GB2312" w:eastAsia="仿宋_GB2312"/>
                <w:szCs w:val="21"/>
              </w:rPr>
              <w:t>年对各部门为民办实事和部门重点工程与重点工作考核分数折算。该项得分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效</w:t>
            </w:r>
          </w:p>
          <w:p>
            <w:pPr>
              <w:spacing w:line="320" w:lineRule="exact"/>
              <w:jc w:val="center"/>
              <w:rPr>
                <w:rFonts w:ascii="仿宋_GB2312" w:eastAsia="仿宋_GB2312"/>
                <w:szCs w:val="21"/>
              </w:rPr>
            </w:pPr>
            <w:r>
              <w:rPr>
                <w:rFonts w:hint="eastAsia" w:ascii="仿宋_GB2312" w:eastAsia="仿宋_GB2312"/>
                <w:szCs w:val="21"/>
              </w:rPr>
              <w:t>果</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履职</w:t>
            </w:r>
          </w:p>
          <w:p>
            <w:pPr>
              <w:spacing w:line="320" w:lineRule="exact"/>
              <w:jc w:val="center"/>
              <w:rPr>
                <w:rFonts w:ascii="仿宋_GB2312" w:eastAsia="仿宋_GB2312"/>
                <w:szCs w:val="21"/>
              </w:rPr>
            </w:pP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社会公众</w:t>
            </w:r>
          </w:p>
          <w:p>
            <w:pPr>
              <w:spacing w:line="320" w:lineRule="exact"/>
              <w:jc w:val="center"/>
              <w:rPr>
                <w:rFonts w:ascii="仿宋_GB2312" w:eastAsia="仿宋_GB2312"/>
                <w:szCs w:val="21"/>
              </w:rPr>
            </w:pPr>
            <w:r>
              <w:rPr>
                <w:rFonts w:hint="eastAsia" w:ascii="仿宋_GB2312" w:eastAsia="仿宋_GB2312"/>
                <w:szCs w:val="21"/>
              </w:rPr>
              <w:t>或服务对</w:t>
            </w:r>
          </w:p>
          <w:p>
            <w:pPr>
              <w:spacing w:line="320" w:lineRule="exact"/>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ascii="仿宋_GB2312" w:eastAsia="仿宋_GB2312"/>
                <w:szCs w:val="21"/>
              </w:rPr>
            </w:pPr>
          </w:p>
        </w:tc>
        <w:tc>
          <w:tcPr>
            <w:tcW w:w="938" w:type="dxa"/>
            <w:vAlign w:val="center"/>
          </w:tcPr>
          <w:p>
            <w:pPr>
              <w:spacing w:line="320" w:lineRule="exact"/>
              <w:ind w:left="105" w:leftChars="50" w:right="105" w:rightChars="50"/>
              <w:jc w:val="center"/>
              <w:rPr>
                <w:rFonts w:ascii="仿宋_GB2312" w:eastAsia="仿宋_GB2312"/>
                <w:szCs w:val="21"/>
              </w:rPr>
            </w:pPr>
            <w:r>
              <w:rPr>
                <w:rFonts w:hint="eastAsia" w:ascii="仿宋_GB2312" w:eastAsia="仿宋_GB2312"/>
                <w:szCs w:val="21"/>
              </w:rPr>
              <w:t>98</w:t>
            </w:r>
          </w:p>
        </w:tc>
      </w:tr>
    </w:tbl>
    <w:p>
      <w:pPr>
        <w:pStyle w:val="11"/>
        <w:ind w:firstLine="0"/>
        <w:jc w:val="left"/>
        <w:rPr>
          <w:color w:val="000000"/>
          <w:sz w:val="24"/>
        </w:rPr>
      </w:pPr>
    </w:p>
    <w:p>
      <w:pPr>
        <w:pStyle w:val="11"/>
        <w:ind w:firstLine="0"/>
        <w:jc w:val="left"/>
        <w:rPr>
          <w:color w:val="000000"/>
          <w:sz w:val="24"/>
        </w:rPr>
      </w:pPr>
    </w:p>
    <w:p>
      <w:pPr>
        <w:pStyle w:val="11"/>
        <w:ind w:firstLine="0"/>
        <w:jc w:val="left"/>
        <w:rPr>
          <w:color w:val="000000"/>
          <w:sz w:val="24"/>
        </w:rPr>
      </w:pPr>
    </w:p>
    <w:p>
      <w:pPr>
        <w:pStyle w:val="11"/>
        <w:ind w:firstLine="0"/>
        <w:jc w:val="left"/>
        <w:rPr>
          <w:color w:val="000000"/>
          <w:sz w:val="24"/>
        </w:rPr>
      </w:pPr>
    </w:p>
    <w:p>
      <w:pPr>
        <w:pStyle w:val="11"/>
        <w:ind w:firstLine="0"/>
        <w:jc w:val="left"/>
        <w:rPr>
          <w:color w:val="000000"/>
          <w:sz w:val="24"/>
        </w:rPr>
      </w:pPr>
    </w:p>
    <w:p>
      <w:pPr>
        <w:pStyle w:val="11"/>
        <w:ind w:firstLine="0"/>
        <w:jc w:val="left"/>
        <w:rPr>
          <w:color w:val="000000"/>
          <w:sz w:val="24"/>
        </w:rPr>
      </w:pPr>
    </w:p>
    <w:p>
      <w:pPr>
        <w:pStyle w:val="11"/>
        <w:ind w:firstLine="0"/>
        <w:jc w:val="left"/>
        <w:rPr>
          <w:color w:val="000000"/>
          <w:sz w:val="24"/>
        </w:rPr>
      </w:pPr>
    </w:p>
    <w:p>
      <w:pPr>
        <w:pStyle w:val="11"/>
        <w:ind w:firstLine="0"/>
        <w:jc w:val="left"/>
        <w:rPr>
          <w:color w:val="000000"/>
          <w:sz w:val="24"/>
        </w:rPr>
      </w:pPr>
    </w:p>
    <w:p>
      <w:pPr>
        <w:pStyle w:val="11"/>
        <w:ind w:firstLine="0"/>
        <w:jc w:val="left"/>
        <w:rPr>
          <w:color w:val="000000"/>
          <w:sz w:val="24"/>
        </w:rPr>
      </w:pPr>
    </w:p>
    <w:p>
      <w:pPr>
        <w:pStyle w:val="11"/>
        <w:ind w:firstLine="0"/>
        <w:jc w:val="left"/>
        <w:rPr>
          <w:color w:val="000000"/>
          <w:sz w:val="24"/>
        </w:rPr>
      </w:pPr>
    </w:p>
    <w:p>
      <w:pPr>
        <w:pStyle w:val="11"/>
        <w:ind w:firstLine="0"/>
        <w:jc w:val="left"/>
        <w:rPr>
          <w:color w:val="000000"/>
          <w:sz w:val="24"/>
        </w:rPr>
      </w:pPr>
    </w:p>
    <w:p>
      <w:pPr>
        <w:pStyle w:val="11"/>
        <w:ind w:firstLine="0"/>
        <w:jc w:val="left"/>
        <w:rPr>
          <w:color w:val="000000"/>
          <w:sz w:val="24"/>
        </w:rPr>
      </w:pPr>
    </w:p>
    <w:p>
      <w:pPr>
        <w:pStyle w:val="11"/>
        <w:ind w:firstLine="0"/>
        <w:jc w:val="left"/>
        <w:rPr>
          <w:color w:val="000000"/>
          <w:sz w:val="24"/>
          <w:lang w:val="en-US"/>
        </w:rPr>
      </w:pPr>
      <w:r>
        <w:rPr>
          <w:rFonts w:hint="eastAsia"/>
          <w:color w:val="000000"/>
          <w:sz w:val="24"/>
        </w:rPr>
        <w:t>附件</w:t>
      </w:r>
      <w:r>
        <w:rPr>
          <w:rFonts w:hint="eastAsia"/>
          <w:color w:val="000000"/>
          <w:sz w:val="24"/>
          <w:lang w:val="en-US"/>
        </w:rPr>
        <w:t>2</w:t>
      </w:r>
    </w:p>
    <w:p>
      <w:pPr>
        <w:pStyle w:val="16"/>
        <w:spacing w:line="560" w:lineRule="exact"/>
        <w:jc w:val="center"/>
        <w:rPr>
          <w:rFonts w:eastAsia="方正小标宋_GBK"/>
          <w:kern w:val="0"/>
          <w:sz w:val="36"/>
          <w:szCs w:val="36"/>
        </w:rPr>
      </w:pPr>
      <w:r>
        <w:rPr>
          <w:rFonts w:eastAsia="方正小标宋_GBK"/>
          <w:kern w:val="0"/>
          <w:sz w:val="36"/>
          <w:szCs w:val="36"/>
        </w:rPr>
        <w:t>部门整体支出绩效评价基础数据表</w:t>
      </w:r>
    </w:p>
    <w:p>
      <w:pPr>
        <w:pStyle w:val="11"/>
        <w:ind w:firstLine="0"/>
        <w:jc w:val="left"/>
        <w:rPr>
          <w:color w:val="000000"/>
          <w:sz w:val="24"/>
        </w:rPr>
      </w:pPr>
    </w:p>
    <w:p>
      <w:pPr>
        <w:pStyle w:val="11"/>
        <w:ind w:firstLine="0"/>
        <w:jc w:val="left"/>
        <w:rPr>
          <w:sz w:val="24"/>
        </w:rPr>
      </w:pPr>
      <w:r>
        <w:rPr>
          <w:rFonts w:hint="eastAsia"/>
          <w:color w:val="000000"/>
          <w:sz w:val="24"/>
        </w:rPr>
        <w:t>填报单位：（盖章）珠晖区民政局</w:t>
      </w:r>
    </w:p>
    <w:tbl>
      <w:tblPr>
        <w:tblStyle w:val="6"/>
        <w:tblW w:w="9437" w:type="dxa"/>
        <w:jc w:val="center"/>
        <w:tblLayout w:type="fixed"/>
        <w:tblCellMar>
          <w:top w:w="0" w:type="dxa"/>
          <w:left w:w="10" w:type="dxa"/>
          <w:bottom w:w="0" w:type="dxa"/>
          <w:right w:w="10" w:type="dxa"/>
        </w:tblCellMar>
      </w:tblPr>
      <w:tblGrid>
        <w:gridCol w:w="2947"/>
        <w:gridCol w:w="865"/>
        <w:gridCol w:w="1005"/>
        <w:gridCol w:w="1172"/>
        <w:gridCol w:w="1142"/>
        <w:gridCol w:w="1255"/>
        <w:gridCol w:w="1051"/>
      </w:tblGrid>
      <w:tr>
        <w:tblPrEx>
          <w:tblCellMar>
            <w:top w:w="0" w:type="dxa"/>
            <w:left w:w="10" w:type="dxa"/>
            <w:bottom w:w="0" w:type="dxa"/>
            <w:right w:w="10" w:type="dxa"/>
          </w:tblCellMar>
        </w:tblPrEx>
        <w:trPr>
          <w:trHeight w:val="619" w:hRule="exact"/>
          <w:jc w:val="center"/>
        </w:trPr>
        <w:tc>
          <w:tcPr>
            <w:tcW w:w="2947" w:type="dxa"/>
            <w:vMerge w:val="restart"/>
            <w:tcBorders>
              <w:top w:val="single" w:color="auto" w:sz="4" w:space="0"/>
              <w:left w:val="single" w:color="auto" w:sz="4" w:space="0"/>
            </w:tcBorders>
            <w:shd w:val="clear" w:color="auto" w:fill="FFFFFF"/>
            <w:vAlign w:val="center"/>
          </w:tcPr>
          <w:p>
            <w:pPr>
              <w:pStyle w:val="1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财政供养人员情况</w:t>
            </w:r>
          </w:p>
        </w:tc>
        <w:tc>
          <w:tcPr>
            <w:tcW w:w="1870" w:type="dxa"/>
            <w:gridSpan w:val="2"/>
            <w:tcBorders>
              <w:top w:val="single" w:color="auto" w:sz="4" w:space="0"/>
              <w:left w:val="single" w:color="auto" w:sz="4" w:space="0"/>
            </w:tcBorders>
            <w:shd w:val="clear" w:color="auto" w:fill="FFFFFF"/>
            <w:vAlign w:val="center"/>
          </w:tcPr>
          <w:p>
            <w:pPr>
              <w:pStyle w:val="1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编制数</w:t>
            </w:r>
          </w:p>
        </w:tc>
        <w:tc>
          <w:tcPr>
            <w:tcW w:w="2314" w:type="dxa"/>
            <w:gridSpan w:val="2"/>
            <w:tcBorders>
              <w:top w:val="single" w:color="auto" w:sz="4" w:space="0"/>
              <w:left w:val="single" w:color="auto" w:sz="4" w:space="0"/>
            </w:tcBorders>
            <w:shd w:val="clear" w:color="auto" w:fill="FFFFFF"/>
            <w:vAlign w:val="center"/>
          </w:tcPr>
          <w:p>
            <w:pPr>
              <w:pStyle w:val="1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202</w:t>
            </w:r>
            <w:r>
              <w:rPr>
                <w:rFonts w:hint="eastAsia" w:ascii="仿宋_GB2312" w:hAnsi="仿宋_GB2312" w:eastAsia="仿宋_GB2312" w:cs="仿宋_GB2312"/>
                <w:color w:val="000000"/>
                <w:sz w:val="21"/>
                <w:szCs w:val="21"/>
                <w:lang w:val="en-US"/>
              </w:rPr>
              <w:t>2</w:t>
            </w:r>
            <w:r>
              <w:rPr>
                <w:rFonts w:hint="eastAsia" w:ascii="仿宋_GB2312" w:hAnsi="仿宋_GB2312" w:eastAsia="仿宋_GB2312" w:cs="仿宋_GB2312"/>
                <w:color w:val="000000"/>
                <w:sz w:val="21"/>
                <w:szCs w:val="21"/>
              </w:rPr>
              <w:t>年实际在职人数</w:t>
            </w:r>
          </w:p>
        </w:tc>
        <w:tc>
          <w:tcPr>
            <w:tcW w:w="2306" w:type="dxa"/>
            <w:gridSpan w:val="2"/>
            <w:tcBorders>
              <w:top w:val="single" w:color="auto" w:sz="4" w:space="0"/>
              <w:left w:val="single" w:color="auto" w:sz="4" w:space="0"/>
              <w:right w:val="single" w:color="auto" w:sz="4" w:space="0"/>
            </w:tcBorders>
            <w:shd w:val="clear" w:color="auto" w:fill="FFFFFF"/>
            <w:vAlign w:val="center"/>
          </w:tcPr>
          <w:p>
            <w:pPr>
              <w:pStyle w:val="1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控制率</w:t>
            </w:r>
            <w:r>
              <w:rPr>
                <w:rFonts w:hint="eastAsia" w:ascii="仿宋_GB2312" w:hAnsi="仿宋_GB2312" w:eastAsia="仿宋_GB2312" w:cs="仿宋_GB2312"/>
                <w:color w:val="000000"/>
                <w:sz w:val="21"/>
                <w:szCs w:val="21"/>
                <w:lang w:val="en-US"/>
              </w:rPr>
              <w:t>=</w:t>
            </w:r>
            <w:r>
              <w:rPr>
                <w:rFonts w:hint="eastAsia" w:ascii="仿宋_GB2312" w:hAnsi="仿宋_GB2312" w:eastAsia="仿宋_GB2312" w:cs="仿宋_GB2312"/>
                <w:color w:val="000000"/>
                <w:sz w:val="21"/>
                <w:szCs w:val="21"/>
              </w:rPr>
              <w:t>202</w:t>
            </w:r>
            <w:r>
              <w:rPr>
                <w:rFonts w:hint="eastAsia" w:ascii="仿宋_GB2312" w:hAnsi="仿宋_GB2312" w:eastAsia="仿宋_GB2312" w:cs="仿宋_GB2312"/>
                <w:color w:val="000000"/>
                <w:sz w:val="21"/>
                <w:szCs w:val="21"/>
                <w:lang w:val="en-US"/>
              </w:rPr>
              <w:t>2</w:t>
            </w:r>
            <w:r>
              <w:rPr>
                <w:rFonts w:hint="eastAsia" w:ascii="仿宋_GB2312" w:hAnsi="仿宋_GB2312" w:eastAsia="仿宋_GB2312" w:cs="仿宋_GB2312"/>
                <w:color w:val="000000"/>
                <w:sz w:val="21"/>
                <w:szCs w:val="21"/>
              </w:rPr>
              <w:t>年实际在职人数</w:t>
            </w:r>
            <w:r>
              <w:rPr>
                <w:rFonts w:hint="eastAsia" w:ascii="仿宋_GB2312" w:hAnsi="仿宋_GB2312" w:eastAsia="仿宋_GB2312" w:cs="仿宋_GB2312"/>
                <w:color w:val="000000"/>
                <w:sz w:val="21"/>
                <w:szCs w:val="21"/>
                <w:lang w:val="en-US"/>
              </w:rPr>
              <w:t>/</w:t>
            </w:r>
            <w:r>
              <w:rPr>
                <w:rFonts w:hint="eastAsia" w:ascii="仿宋_GB2312" w:hAnsi="仿宋_GB2312" w:eastAsia="仿宋_GB2312" w:cs="仿宋_GB2312"/>
                <w:color w:val="000000"/>
                <w:sz w:val="21"/>
                <w:szCs w:val="21"/>
              </w:rPr>
              <w:t>编制数</w:t>
            </w:r>
          </w:p>
        </w:tc>
      </w:tr>
      <w:tr>
        <w:tblPrEx>
          <w:tblCellMar>
            <w:top w:w="0" w:type="dxa"/>
            <w:left w:w="10" w:type="dxa"/>
            <w:bottom w:w="0" w:type="dxa"/>
            <w:right w:w="10" w:type="dxa"/>
          </w:tblCellMar>
        </w:tblPrEx>
        <w:trPr>
          <w:trHeight w:val="455" w:hRule="exact"/>
          <w:jc w:val="center"/>
        </w:trPr>
        <w:tc>
          <w:tcPr>
            <w:tcW w:w="2947" w:type="dxa"/>
            <w:vMerge w:val="continue"/>
            <w:tcBorders>
              <w:left w:val="single" w:color="auto" w:sz="4" w:space="0"/>
              <w:bottom w:val="single" w:color="auto" w:sz="4" w:space="0"/>
            </w:tcBorders>
            <w:shd w:val="clear" w:color="auto" w:fill="FFFFFF"/>
            <w:vAlign w:val="center"/>
          </w:tcPr>
          <w:p>
            <w:pPr>
              <w:jc w:val="center"/>
              <w:rPr>
                <w:rFonts w:ascii="仿宋_GB2312" w:hAnsi="仿宋_GB2312" w:eastAsia="仿宋_GB2312" w:cs="仿宋_GB2312"/>
                <w:szCs w:val="21"/>
              </w:rPr>
            </w:pPr>
          </w:p>
        </w:tc>
        <w:tc>
          <w:tcPr>
            <w:tcW w:w="1870" w:type="dxa"/>
            <w:gridSpan w:val="2"/>
            <w:tcBorders>
              <w:top w:val="single" w:color="auto" w:sz="4" w:space="0"/>
              <w:left w:val="single" w:color="auto" w:sz="4" w:space="0"/>
              <w:bottom w:val="single" w:color="auto" w:sz="4" w:space="0"/>
            </w:tcBorders>
            <w:shd w:val="clear" w:color="auto" w:fill="FFFFFF"/>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w:t>
            </w:r>
          </w:p>
        </w:tc>
        <w:tc>
          <w:tcPr>
            <w:tcW w:w="2314" w:type="dxa"/>
            <w:gridSpan w:val="2"/>
            <w:tcBorders>
              <w:top w:val="single" w:color="auto" w:sz="4" w:space="0"/>
              <w:left w:val="single" w:color="auto" w:sz="4" w:space="0"/>
              <w:bottom w:val="single" w:color="auto" w:sz="4" w:space="0"/>
            </w:tcBorders>
            <w:shd w:val="clear" w:color="auto" w:fill="FFFFFF"/>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27</w:t>
            </w:r>
          </w:p>
        </w:tc>
        <w:tc>
          <w:tcPr>
            <w:tcW w:w="2306"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75%</w:t>
            </w:r>
          </w:p>
        </w:tc>
      </w:tr>
      <w:tr>
        <w:tblPrEx>
          <w:tblCellMar>
            <w:top w:w="0" w:type="dxa"/>
            <w:left w:w="10" w:type="dxa"/>
            <w:bottom w:w="0" w:type="dxa"/>
            <w:right w:w="10" w:type="dxa"/>
          </w:tblCellMar>
        </w:tblPrEx>
        <w:trPr>
          <w:trHeight w:val="532" w:hRule="exact"/>
          <w:jc w:val="center"/>
        </w:trPr>
        <w:tc>
          <w:tcPr>
            <w:tcW w:w="2947" w:type="dxa"/>
            <w:tcBorders>
              <w:top w:val="single" w:color="auto" w:sz="4" w:space="0"/>
              <w:left w:val="single" w:color="auto" w:sz="4" w:space="0"/>
            </w:tcBorders>
            <w:shd w:val="clear" w:color="auto" w:fill="FFFFFF"/>
            <w:vAlign w:val="bottom"/>
          </w:tcPr>
          <w:p>
            <w:pPr>
              <w:pStyle w:val="10"/>
              <w:spacing w:line="240" w:lineRule="auto"/>
              <w:jc w:val="center"/>
              <w:rPr>
                <w:rFonts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经费控制情况</w:t>
            </w:r>
          </w:p>
        </w:tc>
        <w:tc>
          <w:tcPr>
            <w:tcW w:w="1870" w:type="dxa"/>
            <w:gridSpan w:val="2"/>
            <w:tcBorders>
              <w:top w:val="single" w:color="auto" w:sz="4" w:space="0"/>
              <w:left w:val="single" w:color="auto" w:sz="4" w:space="0"/>
            </w:tcBorders>
            <w:shd w:val="clear" w:color="auto" w:fill="FFFFFF"/>
            <w:vAlign w:val="bottom"/>
          </w:tcPr>
          <w:p>
            <w:pPr>
              <w:pStyle w:val="10"/>
              <w:spacing w:line="240" w:lineRule="auto"/>
              <w:jc w:val="center"/>
              <w:rPr>
                <w:rFonts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20</w:t>
            </w:r>
            <w:r>
              <w:rPr>
                <w:rFonts w:hint="eastAsia" w:ascii="仿宋_GB2312" w:hAnsi="仿宋_GB2312" w:eastAsia="仿宋_GB2312" w:cs="仿宋_GB2312"/>
                <w:b/>
                <w:bCs/>
                <w:color w:val="000000"/>
                <w:sz w:val="21"/>
                <w:szCs w:val="21"/>
                <w:lang w:val="en-US"/>
              </w:rPr>
              <w:t>21</w:t>
            </w:r>
            <w:r>
              <w:rPr>
                <w:rFonts w:hint="eastAsia" w:ascii="仿宋_GB2312" w:hAnsi="仿宋_GB2312" w:eastAsia="仿宋_GB2312" w:cs="仿宋_GB2312"/>
                <w:b/>
                <w:bCs/>
                <w:color w:val="000000"/>
                <w:sz w:val="21"/>
                <w:szCs w:val="21"/>
              </w:rPr>
              <w:t>年决算数</w:t>
            </w:r>
          </w:p>
        </w:tc>
        <w:tc>
          <w:tcPr>
            <w:tcW w:w="2314" w:type="dxa"/>
            <w:gridSpan w:val="2"/>
            <w:tcBorders>
              <w:top w:val="single" w:color="auto" w:sz="4" w:space="0"/>
              <w:left w:val="single" w:color="auto" w:sz="4" w:space="0"/>
            </w:tcBorders>
            <w:shd w:val="clear" w:color="auto" w:fill="FFFFFF"/>
            <w:vAlign w:val="bottom"/>
          </w:tcPr>
          <w:p>
            <w:pPr>
              <w:pStyle w:val="10"/>
              <w:spacing w:line="240" w:lineRule="auto"/>
              <w:jc w:val="center"/>
              <w:rPr>
                <w:rFonts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202</w:t>
            </w:r>
            <w:r>
              <w:rPr>
                <w:rFonts w:hint="eastAsia" w:ascii="仿宋_GB2312" w:hAnsi="仿宋_GB2312" w:eastAsia="仿宋_GB2312" w:cs="仿宋_GB2312"/>
                <w:b/>
                <w:bCs/>
                <w:color w:val="000000"/>
                <w:sz w:val="21"/>
                <w:szCs w:val="21"/>
                <w:lang w:val="en-US"/>
              </w:rPr>
              <w:t>2</w:t>
            </w:r>
            <w:r>
              <w:rPr>
                <w:rFonts w:hint="eastAsia" w:ascii="仿宋_GB2312" w:hAnsi="仿宋_GB2312" w:eastAsia="仿宋_GB2312" w:cs="仿宋_GB2312"/>
                <w:b/>
                <w:bCs/>
                <w:color w:val="000000"/>
                <w:sz w:val="21"/>
                <w:szCs w:val="21"/>
              </w:rPr>
              <w:t>年预算数</w:t>
            </w:r>
          </w:p>
        </w:tc>
        <w:tc>
          <w:tcPr>
            <w:tcW w:w="2306" w:type="dxa"/>
            <w:gridSpan w:val="2"/>
            <w:tcBorders>
              <w:top w:val="single" w:color="auto" w:sz="4" w:space="0"/>
              <w:left w:val="single" w:color="auto" w:sz="4" w:space="0"/>
              <w:right w:val="single" w:color="auto" w:sz="4" w:space="0"/>
            </w:tcBorders>
            <w:shd w:val="clear" w:color="auto" w:fill="FFFFFF"/>
            <w:vAlign w:val="bottom"/>
          </w:tcPr>
          <w:p>
            <w:pPr>
              <w:pStyle w:val="10"/>
              <w:spacing w:line="240" w:lineRule="auto"/>
              <w:jc w:val="center"/>
              <w:rPr>
                <w:rFonts w:ascii="仿宋_GB2312" w:hAnsi="仿宋_GB2312" w:eastAsia="仿宋_GB2312" w:cs="仿宋_GB2312"/>
                <w:b/>
                <w:bCs/>
                <w:sz w:val="21"/>
                <w:szCs w:val="21"/>
              </w:rPr>
            </w:pPr>
            <w:r>
              <w:rPr>
                <w:rFonts w:hint="eastAsia" w:ascii="仿宋_GB2312" w:hAnsi="仿宋_GB2312" w:eastAsia="仿宋_GB2312" w:cs="仿宋_GB2312"/>
                <w:b/>
                <w:bCs/>
                <w:color w:val="000000"/>
                <w:sz w:val="21"/>
                <w:szCs w:val="21"/>
              </w:rPr>
              <w:t>202</w:t>
            </w:r>
            <w:r>
              <w:rPr>
                <w:rFonts w:hint="eastAsia" w:ascii="仿宋_GB2312" w:hAnsi="仿宋_GB2312" w:eastAsia="仿宋_GB2312" w:cs="仿宋_GB2312"/>
                <w:b/>
                <w:bCs/>
                <w:color w:val="000000"/>
                <w:sz w:val="21"/>
                <w:szCs w:val="21"/>
                <w:lang w:val="en-US"/>
              </w:rPr>
              <w:t>2</w:t>
            </w:r>
            <w:r>
              <w:rPr>
                <w:rFonts w:hint="eastAsia" w:ascii="仿宋_GB2312" w:hAnsi="仿宋_GB2312" w:eastAsia="仿宋_GB2312" w:cs="仿宋_GB2312"/>
                <w:b/>
                <w:bCs/>
                <w:color w:val="000000"/>
                <w:sz w:val="21"/>
                <w:szCs w:val="21"/>
              </w:rPr>
              <w:t>年决算数</w:t>
            </w:r>
          </w:p>
        </w:tc>
      </w:tr>
      <w:tr>
        <w:tblPrEx>
          <w:tblCellMar>
            <w:top w:w="0" w:type="dxa"/>
            <w:left w:w="10" w:type="dxa"/>
            <w:bottom w:w="0" w:type="dxa"/>
            <w:right w:w="10" w:type="dxa"/>
          </w:tblCellMar>
        </w:tblPrEx>
        <w:trPr>
          <w:trHeight w:val="467" w:hRule="exact"/>
          <w:jc w:val="center"/>
        </w:trPr>
        <w:tc>
          <w:tcPr>
            <w:tcW w:w="2947" w:type="dxa"/>
            <w:tcBorders>
              <w:top w:val="single" w:color="auto" w:sz="4" w:space="0"/>
              <w:left w:val="single" w:color="auto" w:sz="4" w:space="0"/>
            </w:tcBorders>
            <w:shd w:val="clear" w:color="auto" w:fill="FFFFFF"/>
            <w:vAlign w:val="center"/>
          </w:tcPr>
          <w:p>
            <w:pPr>
              <w:pStyle w:val="1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三公经费</w:t>
            </w:r>
          </w:p>
        </w:tc>
        <w:tc>
          <w:tcPr>
            <w:tcW w:w="1870"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r>
              <w:rPr>
                <w:rFonts w:hint="eastAsia" w:ascii="仿宋_GB2312" w:hAnsi="仿宋_GB2312" w:eastAsia="仿宋_GB2312" w:cs="仿宋_GB2312"/>
                <w:szCs w:val="21"/>
              </w:rPr>
              <w:t>0.53</w:t>
            </w:r>
          </w:p>
        </w:tc>
        <w:tc>
          <w:tcPr>
            <w:tcW w:w="2314"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06"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eastAsia="仿宋_GB2312" w:cs="仿宋_GB2312"/>
                <w:szCs w:val="21"/>
              </w:rPr>
            </w:pPr>
            <w:r>
              <w:rPr>
                <w:rFonts w:hint="eastAsia"/>
              </w:rPr>
              <w:t>0.11</w:t>
            </w:r>
          </w:p>
        </w:tc>
      </w:tr>
      <w:tr>
        <w:tblPrEx>
          <w:tblCellMar>
            <w:top w:w="0" w:type="dxa"/>
            <w:left w:w="10" w:type="dxa"/>
            <w:bottom w:w="0" w:type="dxa"/>
            <w:right w:w="10" w:type="dxa"/>
          </w:tblCellMar>
        </w:tblPrEx>
        <w:trPr>
          <w:trHeight w:val="375" w:hRule="exact"/>
          <w:jc w:val="center"/>
        </w:trPr>
        <w:tc>
          <w:tcPr>
            <w:tcW w:w="2947" w:type="dxa"/>
            <w:tcBorders>
              <w:top w:val="single" w:color="auto" w:sz="4" w:space="0"/>
              <w:left w:val="single" w:color="auto" w:sz="4" w:space="0"/>
            </w:tcBorders>
            <w:shd w:val="clear" w:color="auto" w:fill="FFFFFF"/>
            <w:vAlign w:val="center"/>
          </w:tcPr>
          <w:p>
            <w:pPr>
              <w:pStyle w:val="10"/>
              <w:spacing w:line="240" w:lineRule="auto"/>
              <w:ind w:firstLine="200"/>
              <w:jc w:val="left"/>
              <w:rPr>
                <w:rFonts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1</w:t>
            </w:r>
            <w:r>
              <w:rPr>
                <w:rFonts w:hint="eastAsia" w:ascii="仿宋_GB2312" w:hAnsi="仿宋_GB2312" w:eastAsia="仿宋_GB2312" w:cs="仿宋_GB2312"/>
                <w:color w:val="000000"/>
                <w:sz w:val="21"/>
                <w:szCs w:val="21"/>
              </w:rPr>
              <w:t>、公务用车购置和维护经费</w:t>
            </w:r>
          </w:p>
        </w:tc>
        <w:tc>
          <w:tcPr>
            <w:tcW w:w="1870"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14"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06"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437" w:hRule="exact"/>
          <w:jc w:val="center"/>
        </w:trPr>
        <w:tc>
          <w:tcPr>
            <w:tcW w:w="2947" w:type="dxa"/>
            <w:tcBorders>
              <w:top w:val="single" w:color="auto" w:sz="4" w:space="0"/>
              <w:left w:val="single" w:color="auto" w:sz="4" w:space="0"/>
            </w:tcBorders>
            <w:shd w:val="clear" w:color="auto" w:fill="FFFFFF"/>
            <w:vAlign w:val="center"/>
          </w:tcPr>
          <w:p>
            <w:pPr>
              <w:pStyle w:val="10"/>
              <w:spacing w:line="240" w:lineRule="auto"/>
              <w:ind w:firstLine="520"/>
              <w:jc w:val="left"/>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其中：公车购置</w:t>
            </w:r>
          </w:p>
        </w:tc>
        <w:tc>
          <w:tcPr>
            <w:tcW w:w="1870"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14"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06"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432" w:hRule="exact"/>
          <w:jc w:val="center"/>
        </w:trPr>
        <w:tc>
          <w:tcPr>
            <w:tcW w:w="2947" w:type="dxa"/>
            <w:tcBorders>
              <w:top w:val="single" w:color="auto" w:sz="4" w:space="0"/>
              <w:left w:val="single" w:color="auto" w:sz="4" w:space="0"/>
            </w:tcBorders>
            <w:shd w:val="clear" w:color="auto" w:fill="FFFFFF"/>
            <w:vAlign w:val="bottom"/>
          </w:tcPr>
          <w:p>
            <w:pPr>
              <w:pStyle w:val="10"/>
              <w:spacing w:line="240" w:lineRule="auto"/>
              <w:ind w:left="1160"/>
              <w:jc w:val="left"/>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公车运行维护</w:t>
            </w:r>
          </w:p>
        </w:tc>
        <w:tc>
          <w:tcPr>
            <w:tcW w:w="1870"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14"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06"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437" w:hRule="exact"/>
          <w:jc w:val="center"/>
        </w:trPr>
        <w:tc>
          <w:tcPr>
            <w:tcW w:w="2947" w:type="dxa"/>
            <w:tcBorders>
              <w:top w:val="single" w:color="auto" w:sz="4" w:space="0"/>
              <w:left w:val="single" w:color="auto" w:sz="4" w:space="0"/>
            </w:tcBorders>
            <w:shd w:val="clear" w:color="auto" w:fill="FFFFFF"/>
            <w:vAlign w:val="center"/>
          </w:tcPr>
          <w:p>
            <w:pPr>
              <w:pStyle w:val="10"/>
              <w:spacing w:line="240" w:lineRule="auto"/>
              <w:ind w:firstLine="200"/>
              <w:jc w:val="left"/>
              <w:rPr>
                <w:rFonts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2</w:t>
            </w:r>
            <w:r>
              <w:rPr>
                <w:rFonts w:hint="eastAsia" w:ascii="仿宋_GB2312" w:hAnsi="仿宋_GB2312" w:eastAsia="仿宋_GB2312" w:cs="仿宋_GB2312"/>
                <w:color w:val="000000"/>
                <w:sz w:val="21"/>
                <w:szCs w:val="21"/>
              </w:rPr>
              <w:t>、出国经费</w:t>
            </w:r>
          </w:p>
        </w:tc>
        <w:tc>
          <w:tcPr>
            <w:tcW w:w="1870"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14"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06"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432" w:hRule="exact"/>
          <w:jc w:val="center"/>
        </w:trPr>
        <w:tc>
          <w:tcPr>
            <w:tcW w:w="2947" w:type="dxa"/>
            <w:tcBorders>
              <w:top w:val="single" w:color="auto" w:sz="4" w:space="0"/>
              <w:left w:val="single" w:color="auto" w:sz="4" w:space="0"/>
            </w:tcBorders>
            <w:shd w:val="clear" w:color="auto" w:fill="FFFFFF"/>
            <w:vAlign w:val="bottom"/>
          </w:tcPr>
          <w:p>
            <w:pPr>
              <w:pStyle w:val="10"/>
              <w:spacing w:line="240" w:lineRule="auto"/>
              <w:ind w:firstLine="200"/>
              <w:jc w:val="left"/>
              <w:rPr>
                <w:rFonts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3</w:t>
            </w:r>
            <w:r>
              <w:rPr>
                <w:rFonts w:hint="eastAsia" w:ascii="仿宋_GB2312" w:hAnsi="仿宋_GB2312" w:eastAsia="仿宋_GB2312" w:cs="仿宋_GB2312"/>
                <w:color w:val="000000"/>
                <w:sz w:val="21"/>
                <w:szCs w:val="21"/>
              </w:rPr>
              <w:t>、公务接待</w:t>
            </w:r>
          </w:p>
        </w:tc>
        <w:tc>
          <w:tcPr>
            <w:tcW w:w="1870"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r>
              <w:rPr>
                <w:rFonts w:hint="eastAsia" w:ascii="仿宋_GB2312" w:hAnsi="仿宋_GB2312" w:eastAsia="仿宋_GB2312" w:cs="仿宋_GB2312"/>
                <w:szCs w:val="21"/>
              </w:rPr>
              <w:t>0.53</w:t>
            </w:r>
          </w:p>
        </w:tc>
        <w:tc>
          <w:tcPr>
            <w:tcW w:w="2314"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06"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eastAsia="仿宋_GB2312" w:cs="仿宋_GB2312"/>
                <w:szCs w:val="21"/>
              </w:rPr>
            </w:pPr>
            <w:r>
              <w:rPr>
                <w:rFonts w:hint="eastAsia" w:ascii="仿宋_GB2312" w:hAnsi="仿宋_GB2312" w:eastAsia="仿宋_GB2312" w:cs="仿宋_GB2312"/>
                <w:szCs w:val="21"/>
              </w:rPr>
              <w:t>0.11</w:t>
            </w:r>
          </w:p>
        </w:tc>
      </w:tr>
      <w:tr>
        <w:tblPrEx>
          <w:tblCellMar>
            <w:top w:w="0" w:type="dxa"/>
            <w:left w:w="10" w:type="dxa"/>
            <w:bottom w:w="0" w:type="dxa"/>
            <w:right w:w="10" w:type="dxa"/>
          </w:tblCellMar>
        </w:tblPrEx>
        <w:trPr>
          <w:trHeight w:val="437" w:hRule="exact"/>
          <w:jc w:val="center"/>
        </w:trPr>
        <w:tc>
          <w:tcPr>
            <w:tcW w:w="2947" w:type="dxa"/>
            <w:tcBorders>
              <w:top w:val="single" w:color="auto" w:sz="4" w:space="0"/>
              <w:left w:val="single" w:color="auto" w:sz="4" w:space="0"/>
            </w:tcBorders>
            <w:shd w:val="clear" w:color="auto" w:fill="FFFFFF"/>
            <w:vAlign w:val="bottom"/>
          </w:tcPr>
          <w:p>
            <w:pPr>
              <w:pStyle w:val="1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项目支出：</w:t>
            </w:r>
          </w:p>
        </w:tc>
        <w:tc>
          <w:tcPr>
            <w:tcW w:w="1870"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14"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06"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eastAsia="仿宋_GB2312" w:cs="仿宋_GB2312"/>
                <w:szCs w:val="21"/>
              </w:rPr>
            </w:pPr>
            <w:r>
              <w:rPr>
                <w:rFonts w:hint="eastAsia" w:ascii="仿宋_GB2312" w:hAnsi="仿宋_GB2312" w:eastAsia="仿宋_GB2312" w:cs="仿宋_GB2312"/>
                <w:szCs w:val="21"/>
              </w:rPr>
              <w:t>6,204.47</w:t>
            </w:r>
          </w:p>
        </w:tc>
      </w:tr>
      <w:tr>
        <w:tblPrEx>
          <w:tblCellMar>
            <w:top w:w="0" w:type="dxa"/>
            <w:left w:w="10" w:type="dxa"/>
            <w:bottom w:w="0" w:type="dxa"/>
            <w:right w:w="10" w:type="dxa"/>
          </w:tblCellMar>
        </w:tblPrEx>
        <w:trPr>
          <w:trHeight w:val="437" w:hRule="exact"/>
          <w:jc w:val="center"/>
        </w:trPr>
        <w:tc>
          <w:tcPr>
            <w:tcW w:w="2947" w:type="dxa"/>
            <w:tcBorders>
              <w:top w:val="single" w:color="auto" w:sz="4" w:space="0"/>
              <w:left w:val="single" w:color="auto" w:sz="4" w:space="0"/>
            </w:tcBorders>
            <w:shd w:val="clear" w:color="auto" w:fill="FFFFFF"/>
            <w:vAlign w:val="center"/>
          </w:tcPr>
          <w:p>
            <w:pPr>
              <w:pStyle w:val="10"/>
              <w:spacing w:line="240" w:lineRule="auto"/>
              <w:ind w:firstLine="200"/>
              <w:jc w:val="left"/>
              <w:rPr>
                <w:rFonts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1</w:t>
            </w:r>
            <w:r>
              <w:rPr>
                <w:rFonts w:hint="eastAsia" w:ascii="仿宋_GB2312" w:hAnsi="仿宋_GB2312" w:eastAsia="仿宋_GB2312" w:cs="仿宋_GB2312"/>
                <w:color w:val="000000"/>
                <w:sz w:val="21"/>
                <w:szCs w:val="21"/>
              </w:rPr>
              <w:t>、业务工作专项</w:t>
            </w:r>
          </w:p>
        </w:tc>
        <w:tc>
          <w:tcPr>
            <w:tcW w:w="1870"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14"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06"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eastAsia="仿宋_GB2312" w:cs="仿宋_GB2312"/>
                <w:szCs w:val="21"/>
              </w:rPr>
            </w:pPr>
            <w:r>
              <w:rPr>
                <w:rFonts w:hint="eastAsia" w:ascii="仿宋_GB2312" w:hAnsi="仿宋_GB2312" w:eastAsia="仿宋_GB2312" w:cs="仿宋_GB2312"/>
                <w:szCs w:val="21"/>
              </w:rPr>
              <w:t>6,204.47</w:t>
            </w:r>
          </w:p>
        </w:tc>
      </w:tr>
      <w:tr>
        <w:tblPrEx>
          <w:tblCellMar>
            <w:top w:w="0" w:type="dxa"/>
            <w:left w:w="10" w:type="dxa"/>
            <w:bottom w:w="0" w:type="dxa"/>
            <w:right w:w="10" w:type="dxa"/>
          </w:tblCellMar>
        </w:tblPrEx>
        <w:trPr>
          <w:trHeight w:val="432" w:hRule="exact"/>
          <w:jc w:val="center"/>
        </w:trPr>
        <w:tc>
          <w:tcPr>
            <w:tcW w:w="2947" w:type="dxa"/>
            <w:tcBorders>
              <w:top w:val="single" w:color="auto" w:sz="4" w:space="0"/>
              <w:left w:val="single" w:color="auto" w:sz="4" w:space="0"/>
            </w:tcBorders>
            <w:shd w:val="clear" w:color="auto" w:fill="FFFFFF"/>
            <w:vAlign w:val="center"/>
          </w:tcPr>
          <w:p>
            <w:pPr>
              <w:pStyle w:val="10"/>
              <w:spacing w:line="240" w:lineRule="auto"/>
              <w:ind w:firstLine="200"/>
              <w:jc w:val="left"/>
              <w:rPr>
                <w:rFonts w:ascii="仿宋_GB2312" w:hAnsi="仿宋_GB2312" w:eastAsia="仿宋_GB2312" w:cs="仿宋_GB2312"/>
                <w:sz w:val="21"/>
                <w:szCs w:val="21"/>
              </w:rPr>
            </w:pPr>
            <w:r>
              <w:rPr>
                <w:rFonts w:hint="eastAsia" w:ascii="仿宋_GB2312" w:hAnsi="仿宋_GB2312" w:eastAsia="仿宋_GB2312" w:cs="仿宋_GB2312"/>
                <w:b/>
                <w:bCs/>
                <w:color w:val="000000"/>
                <w:sz w:val="21"/>
                <w:szCs w:val="21"/>
              </w:rPr>
              <w:t>2</w:t>
            </w:r>
            <w:r>
              <w:rPr>
                <w:rFonts w:hint="eastAsia" w:ascii="仿宋_GB2312" w:hAnsi="仿宋_GB2312" w:eastAsia="仿宋_GB2312" w:cs="仿宋_GB2312"/>
                <w:color w:val="000000"/>
                <w:sz w:val="21"/>
                <w:szCs w:val="21"/>
              </w:rPr>
              <w:t>、运行维护专项</w:t>
            </w:r>
          </w:p>
        </w:tc>
        <w:tc>
          <w:tcPr>
            <w:tcW w:w="1870"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14"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06"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eastAsia="仿宋_GB2312" w:cs="仿宋_GB2312"/>
                <w:szCs w:val="21"/>
              </w:rPr>
            </w:pPr>
          </w:p>
        </w:tc>
      </w:tr>
      <w:tr>
        <w:tblPrEx>
          <w:tblCellMar>
            <w:top w:w="0" w:type="dxa"/>
            <w:left w:w="10" w:type="dxa"/>
            <w:bottom w:w="0" w:type="dxa"/>
            <w:right w:w="10" w:type="dxa"/>
          </w:tblCellMar>
        </w:tblPrEx>
        <w:trPr>
          <w:trHeight w:val="437" w:hRule="exact"/>
          <w:jc w:val="center"/>
        </w:trPr>
        <w:tc>
          <w:tcPr>
            <w:tcW w:w="2947" w:type="dxa"/>
            <w:tcBorders>
              <w:top w:val="single" w:color="auto" w:sz="4" w:space="0"/>
              <w:left w:val="single" w:color="auto" w:sz="4" w:space="0"/>
            </w:tcBorders>
            <w:shd w:val="clear" w:color="auto" w:fill="FFFFFF"/>
            <w:vAlign w:val="center"/>
          </w:tcPr>
          <w:p>
            <w:pPr>
              <w:pStyle w:val="1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公用经费</w:t>
            </w:r>
          </w:p>
        </w:tc>
        <w:tc>
          <w:tcPr>
            <w:tcW w:w="1870"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r>
              <w:rPr>
                <w:rFonts w:hint="eastAsia" w:ascii="仿宋_GB2312" w:hAnsi="仿宋_GB2312" w:eastAsia="仿宋_GB2312" w:cs="仿宋_GB2312"/>
                <w:szCs w:val="21"/>
              </w:rPr>
              <w:t>622.24</w:t>
            </w:r>
          </w:p>
        </w:tc>
        <w:tc>
          <w:tcPr>
            <w:tcW w:w="2314"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r>
              <w:rPr>
                <w:rFonts w:hint="eastAsia" w:ascii="仿宋_GB2312" w:hAnsi="仿宋_GB2312" w:eastAsia="仿宋_GB2312" w:cs="仿宋_GB2312"/>
                <w:szCs w:val="21"/>
              </w:rPr>
              <w:t>31.8</w:t>
            </w:r>
          </w:p>
        </w:tc>
        <w:tc>
          <w:tcPr>
            <w:tcW w:w="2306" w:type="dxa"/>
            <w:gridSpan w:val="2"/>
            <w:tcBorders>
              <w:top w:val="single" w:color="auto" w:sz="4" w:space="0"/>
              <w:left w:val="single" w:color="auto" w:sz="4" w:space="0"/>
              <w:right w:val="single" w:color="auto" w:sz="4" w:space="0"/>
            </w:tcBorders>
            <w:shd w:val="clear" w:color="auto" w:fill="FFFFFF"/>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142.64</w:t>
            </w:r>
          </w:p>
        </w:tc>
      </w:tr>
      <w:tr>
        <w:tblPrEx>
          <w:tblCellMar>
            <w:top w:w="0" w:type="dxa"/>
            <w:left w:w="10" w:type="dxa"/>
            <w:bottom w:w="0" w:type="dxa"/>
            <w:right w:w="10" w:type="dxa"/>
          </w:tblCellMar>
        </w:tblPrEx>
        <w:trPr>
          <w:trHeight w:val="432" w:hRule="exact"/>
          <w:jc w:val="center"/>
        </w:trPr>
        <w:tc>
          <w:tcPr>
            <w:tcW w:w="2947" w:type="dxa"/>
            <w:tcBorders>
              <w:top w:val="single" w:color="auto" w:sz="4" w:space="0"/>
              <w:left w:val="single" w:color="auto" w:sz="4" w:space="0"/>
            </w:tcBorders>
            <w:shd w:val="clear" w:color="auto" w:fill="FFFFFF"/>
            <w:vAlign w:val="bottom"/>
          </w:tcPr>
          <w:p>
            <w:pPr>
              <w:pStyle w:val="10"/>
              <w:spacing w:line="240" w:lineRule="auto"/>
              <w:ind w:firstLine="300"/>
              <w:jc w:val="left"/>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其中：办公经费</w:t>
            </w:r>
          </w:p>
        </w:tc>
        <w:tc>
          <w:tcPr>
            <w:tcW w:w="1870"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r>
              <w:rPr>
                <w:rFonts w:hint="eastAsia" w:ascii="仿宋_GB2312" w:hAnsi="仿宋_GB2312" w:eastAsia="仿宋_GB2312" w:cs="仿宋_GB2312"/>
                <w:szCs w:val="21"/>
              </w:rPr>
              <w:t>10.60</w:t>
            </w:r>
          </w:p>
        </w:tc>
        <w:tc>
          <w:tcPr>
            <w:tcW w:w="2314"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06"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eastAsia="仿宋_GB2312" w:cs="仿宋_GB2312"/>
                <w:szCs w:val="21"/>
              </w:rPr>
            </w:pPr>
            <w:r>
              <w:rPr>
                <w:rFonts w:ascii="仿宋_GB2312" w:hAnsi="仿宋_GB2312" w:eastAsia="仿宋_GB2312" w:cs="仿宋_GB2312"/>
                <w:szCs w:val="21"/>
              </w:rPr>
              <w:t>24.04</w:t>
            </w:r>
          </w:p>
        </w:tc>
      </w:tr>
      <w:tr>
        <w:tblPrEx>
          <w:tblCellMar>
            <w:top w:w="0" w:type="dxa"/>
            <w:left w:w="10" w:type="dxa"/>
            <w:bottom w:w="0" w:type="dxa"/>
            <w:right w:w="10" w:type="dxa"/>
          </w:tblCellMar>
        </w:tblPrEx>
        <w:trPr>
          <w:trHeight w:val="437" w:hRule="exact"/>
          <w:jc w:val="center"/>
        </w:trPr>
        <w:tc>
          <w:tcPr>
            <w:tcW w:w="2947" w:type="dxa"/>
            <w:tcBorders>
              <w:top w:val="single" w:color="auto" w:sz="4" w:space="0"/>
              <w:left w:val="single" w:color="auto" w:sz="4" w:space="0"/>
            </w:tcBorders>
            <w:shd w:val="clear" w:color="auto" w:fill="FFFFFF"/>
            <w:vAlign w:val="center"/>
          </w:tcPr>
          <w:p>
            <w:pPr>
              <w:pStyle w:val="10"/>
              <w:spacing w:line="240" w:lineRule="auto"/>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水费、电费、差旅费</w:t>
            </w:r>
          </w:p>
        </w:tc>
        <w:tc>
          <w:tcPr>
            <w:tcW w:w="1870"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r>
              <w:rPr>
                <w:rFonts w:hint="eastAsia" w:ascii="仿宋_GB2312" w:hAnsi="仿宋_GB2312" w:eastAsia="仿宋_GB2312" w:cs="仿宋_GB2312"/>
                <w:szCs w:val="21"/>
              </w:rPr>
              <w:t>1.96</w:t>
            </w:r>
          </w:p>
        </w:tc>
        <w:tc>
          <w:tcPr>
            <w:tcW w:w="2314"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06"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eastAsia="仿宋_GB2312" w:cs="仿宋_GB2312"/>
                <w:szCs w:val="21"/>
              </w:rPr>
            </w:pPr>
            <w:r>
              <w:rPr>
                <w:rFonts w:ascii="仿宋_GB2312" w:hAnsi="仿宋_GB2312" w:eastAsia="仿宋_GB2312" w:cs="仿宋_GB2312"/>
                <w:szCs w:val="21"/>
              </w:rPr>
              <w:t>1.37</w:t>
            </w:r>
          </w:p>
        </w:tc>
      </w:tr>
      <w:tr>
        <w:tblPrEx>
          <w:tblCellMar>
            <w:top w:w="0" w:type="dxa"/>
            <w:left w:w="10" w:type="dxa"/>
            <w:bottom w:w="0" w:type="dxa"/>
            <w:right w:w="10" w:type="dxa"/>
          </w:tblCellMar>
        </w:tblPrEx>
        <w:trPr>
          <w:trHeight w:val="432" w:hRule="exact"/>
          <w:jc w:val="center"/>
        </w:trPr>
        <w:tc>
          <w:tcPr>
            <w:tcW w:w="2947" w:type="dxa"/>
            <w:tcBorders>
              <w:top w:val="single" w:color="auto" w:sz="4" w:space="0"/>
              <w:left w:val="single" w:color="auto" w:sz="4" w:space="0"/>
            </w:tcBorders>
            <w:shd w:val="clear" w:color="auto" w:fill="FFFFFF"/>
            <w:vAlign w:val="bottom"/>
          </w:tcPr>
          <w:p>
            <w:pPr>
              <w:pStyle w:val="10"/>
              <w:spacing w:line="240" w:lineRule="auto"/>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会议费、培训费</w:t>
            </w:r>
          </w:p>
        </w:tc>
        <w:tc>
          <w:tcPr>
            <w:tcW w:w="1870"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14"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06" w:type="dxa"/>
            <w:gridSpan w:val="2"/>
            <w:tcBorders>
              <w:top w:val="single" w:color="auto" w:sz="4" w:space="0"/>
              <w:left w:val="single" w:color="auto" w:sz="4" w:space="0"/>
              <w:right w:val="single" w:color="auto" w:sz="4" w:space="0"/>
            </w:tcBorders>
            <w:shd w:val="clear" w:color="auto" w:fill="FFFFFF"/>
          </w:tcPr>
          <w:p>
            <w:pPr>
              <w:jc w:val="center"/>
              <w:rPr>
                <w:rFonts w:ascii="仿宋_GB2312" w:hAnsi="仿宋_GB2312" w:eastAsia="仿宋_GB2312" w:cs="仿宋_GB2312"/>
                <w:szCs w:val="21"/>
              </w:rPr>
            </w:pPr>
            <w:r>
              <w:rPr>
                <w:rFonts w:hint="eastAsia" w:ascii="仿宋_GB2312" w:hAnsi="仿宋_GB2312" w:eastAsia="仿宋_GB2312" w:cs="仿宋_GB2312"/>
                <w:szCs w:val="21"/>
              </w:rPr>
              <w:t>0.62</w:t>
            </w:r>
          </w:p>
        </w:tc>
      </w:tr>
      <w:tr>
        <w:tblPrEx>
          <w:tblCellMar>
            <w:top w:w="0" w:type="dxa"/>
            <w:left w:w="10" w:type="dxa"/>
            <w:bottom w:w="0" w:type="dxa"/>
            <w:right w:w="10" w:type="dxa"/>
          </w:tblCellMar>
        </w:tblPrEx>
        <w:trPr>
          <w:trHeight w:val="437" w:hRule="exact"/>
          <w:jc w:val="center"/>
        </w:trPr>
        <w:tc>
          <w:tcPr>
            <w:tcW w:w="2947" w:type="dxa"/>
            <w:tcBorders>
              <w:top w:val="single" w:color="auto" w:sz="4" w:space="0"/>
              <w:left w:val="single" w:color="auto" w:sz="4" w:space="0"/>
            </w:tcBorders>
            <w:shd w:val="clear" w:color="auto" w:fill="FFFFFF"/>
            <w:vAlign w:val="center"/>
          </w:tcPr>
          <w:p>
            <w:pPr>
              <w:pStyle w:val="1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政府采购金额</w:t>
            </w:r>
          </w:p>
        </w:tc>
        <w:tc>
          <w:tcPr>
            <w:tcW w:w="1870" w:type="dxa"/>
            <w:gridSpan w:val="2"/>
            <w:tcBorders>
              <w:top w:val="single" w:color="auto" w:sz="4" w:space="0"/>
              <w:left w:val="single" w:color="auto" w:sz="4" w:space="0"/>
            </w:tcBorders>
            <w:shd w:val="clear" w:color="auto" w:fill="FFFFFF"/>
            <w:vAlign w:val="center"/>
          </w:tcPr>
          <w:p>
            <w:pPr>
              <w:pStyle w:val="1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p>
        </w:tc>
        <w:tc>
          <w:tcPr>
            <w:tcW w:w="2314"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06" w:type="dxa"/>
            <w:gridSpan w:val="2"/>
            <w:tcBorders>
              <w:top w:val="single" w:color="auto" w:sz="4" w:space="0"/>
              <w:left w:val="single" w:color="auto" w:sz="4" w:space="0"/>
              <w:right w:val="single" w:color="auto" w:sz="4" w:space="0"/>
            </w:tcBorders>
            <w:shd w:val="clear" w:color="auto" w:fill="FFFFFF"/>
          </w:tcPr>
          <w:p>
            <w:pPr>
              <w:rPr>
                <w:rFonts w:ascii="仿宋_GB2312" w:hAnsi="仿宋_GB2312" w:eastAsia="仿宋_GB2312" w:cs="仿宋_GB2312"/>
                <w:szCs w:val="21"/>
              </w:rPr>
            </w:pPr>
          </w:p>
        </w:tc>
      </w:tr>
      <w:tr>
        <w:tblPrEx>
          <w:tblCellMar>
            <w:top w:w="0" w:type="dxa"/>
            <w:left w:w="10" w:type="dxa"/>
            <w:bottom w:w="0" w:type="dxa"/>
            <w:right w:w="10" w:type="dxa"/>
          </w:tblCellMar>
        </w:tblPrEx>
        <w:trPr>
          <w:trHeight w:val="437" w:hRule="exact"/>
          <w:jc w:val="center"/>
        </w:trPr>
        <w:tc>
          <w:tcPr>
            <w:tcW w:w="2947" w:type="dxa"/>
            <w:tcBorders>
              <w:top w:val="single" w:color="auto" w:sz="4" w:space="0"/>
              <w:left w:val="single" w:color="auto" w:sz="4" w:space="0"/>
            </w:tcBorders>
            <w:shd w:val="clear" w:color="auto" w:fill="FFFFFF"/>
            <w:vAlign w:val="center"/>
          </w:tcPr>
          <w:p>
            <w:pPr>
              <w:pStyle w:val="1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部门整体支出预算调整</w:t>
            </w:r>
          </w:p>
        </w:tc>
        <w:tc>
          <w:tcPr>
            <w:tcW w:w="1870" w:type="dxa"/>
            <w:gridSpan w:val="2"/>
            <w:tcBorders>
              <w:top w:val="single" w:color="auto" w:sz="4" w:space="0"/>
              <w:left w:val="single" w:color="auto" w:sz="4" w:space="0"/>
            </w:tcBorders>
            <w:shd w:val="clear" w:color="auto" w:fill="FFFFFF"/>
            <w:vAlign w:val="center"/>
          </w:tcPr>
          <w:p>
            <w:pPr>
              <w:pStyle w:val="1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p>
        </w:tc>
        <w:tc>
          <w:tcPr>
            <w:tcW w:w="2314" w:type="dxa"/>
            <w:gridSpan w:val="2"/>
            <w:tcBorders>
              <w:top w:val="single" w:color="auto" w:sz="4" w:space="0"/>
              <w:left w:val="single" w:color="auto" w:sz="4" w:space="0"/>
            </w:tcBorders>
            <w:shd w:val="clear" w:color="auto" w:fill="FFFFFF"/>
          </w:tcPr>
          <w:p>
            <w:pPr>
              <w:jc w:val="center"/>
              <w:rPr>
                <w:rFonts w:ascii="仿宋_GB2312" w:hAnsi="仿宋_GB2312" w:eastAsia="仿宋_GB2312" w:cs="仿宋_GB2312"/>
                <w:szCs w:val="21"/>
              </w:rPr>
            </w:pPr>
          </w:p>
        </w:tc>
        <w:tc>
          <w:tcPr>
            <w:tcW w:w="2306" w:type="dxa"/>
            <w:gridSpan w:val="2"/>
            <w:tcBorders>
              <w:top w:val="single" w:color="auto" w:sz="4" w:space="0"/>
              <w:left w:val="single" w:color="auto" w:sz="4" w:space="0"/>
              <w:right w:val="single" w:color="auto" w:sz="4" w:space="0"/>
            </w:tcBorders>
            <w:shd w:val="clear" w:color="auto" w:fill="FFFFFF"/>
          </w:tcPr>
          <w:p>
            <w:pPr>
              <w:rPr>
                <w:rFonts w:ascii="仿宋_GB2312" w:hAnsi="仿宋_GB2312" w:eastAsia="仿宋_GB2312" w:cs="仿宋_GB2312"/>
                <w:szCs w:val="21"/>
              </w:rPr>
            </w:pPr>
          </w:p>
        </w:tc>
      </w:tr>
      <w:tr>
        <w:tblPrEx>
          <w:tblCellMar>
            <w:top w:w="0" w:type="dxa"/>
            <w:left w:w="10" w:type="dxa"/>
            <w:bottom w:w="0" w:type="dxa"/>
            <w:right w:w="10" w:type="dxa"/>
          </w:tblCellMar>
        </w:tblPrEx>
        <w:trPr>
          <w:trHeight w:val="782" w:hRule="exact"/>
          <w:jc w:val="center"/>
        </w:trPr>
        <w:tc>
          <w:tcPr>
            <w:tcW w:w="2947" w:type="dxa"/>
            <w:vMerge w:val="restart"/>
            <w:tcBorders>
              <w:top w:val="single" w:color="auto" w:sz="4" w:space="0"/>
              <w:left w:val="single" w:color="auto" w:sz="4" w:space="0"/>
            </w:tcBorders>
            <w:shd w:val="clear" w:color="auto" w:fill="FFFFFF"/>
            <w:vAlign w:val="center"/>
          </w:tcPr>
          <w:p>
            <w:pPr>
              <w:pStyle w:val="10"/>
              <w:spacing w:line="298" w:lineRule="exact"/>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楼堂馆所控制情况 （202</w:t>
            </w:r>
            <w:r>
              <w:rPr>
                <w:rFonts w:hint="eastAsia" w:ascii="仿宋_GB2312" w:hAnsi="仿宋_GB2312" w:eastAsia="仿宋_GB2312" w:cs="仿宋_GB2312"/>
                <w:color w:val="000000"/>
                <w:sz w:val="21"/>
                <w:szCs w:val="21"/>
                <w:lang w:val="en-US"/>
              </w:rPr>
              <w:t>2</w:t>
            </w:r>
            <w:r>
              <w:rPr>
                <w:rFonts w:hint="eastAsia" w:ascii="仿宋_GB2312" w:hAnsi="仿宋_GB2312" w:eastAsia="仿宋_GB2312" w:cs="仿宋_GB2312"/>
                <w:color w:val="000000"/>
                <w:sz w:val="21"/>
                <w:szCs w:val="21"/>
              </w:rPr>
              <w:t>年完工项目）</w:t>
            </w:r>
          </w:p>
        </w:tc>
        <w:tc>
          <w:tcPr>
            <w:tcW w:w="865" w:type="dxa"/>
            <w:tcBorders>
              <w:top w:val="single" w:color="auto" w:sz="4" w:space="0"/>
              <w:left w:val="single" w:color="auto" w:sz="4" w:space="0"/>
            </w:tcBorders>
            <w:shd w:val="clear" w:color="auto" w:fill="FFFFFF"/>
            <w:vAlign w:val="center"/>
          </w:tcPr>
          <w:p>
            <w:pPr>
              <w:pStyle w:val="10"/>
              <w:spacing w:line="298" w:lineRule="exact"/>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 xml:space="preserve">批复规模 </w:t>
            </w:r>
            <w:r>
              <w:rPr>
                <w:rFonts w:hint="eastAsia" w:ascii="仿宋_GB2312" w:hAnsi="仿宋_GB2312" w:eastAsia="仿宋_GB2312" w:cs="仿宋_GB2312"/>
                <w:color w:val="000000"/>
                <w:sz w:val="21"/>
                <w:szCs w:val="21"/>
                <w:lang w:val="en-US" w:eastAsia="en-US" w:bidi="en-US"/>
              </w:rPr>
              <w:t>（m</w:t>
            </w:r>
            <w:r>
              <w:rPr>
                <w:rFonts w:hint="eastAsia" w:ascii="仿宋_GB2312" w:hAnsi="仿宋_GB2312" w:eastAsia="仿宋_GB2312" w:cs="仿宋_GB2312"/>
                <w:color w:val="000000"/>
                <w:sz w:val="21"/>
                <w:szCs w:val="21"/>
                <w:vertAlign w:val="superscript"/>
                <w:lang w:val="en-US" w:eastAsia="en-US" w:bidi="en-US"/>
              </w:rPr>
              <w:t>1</w:t>
            </w:r>
            <w:r>
              <w:rPr>
                <w:rFonts w:hint="eastAsia" w:ascii="仿宋_GB2312" w:hAnsi="仿宋_GB2312" w:eastAsia="仿宋_GB2312" w:cs="仿宋_GB2312"/>
                <w:color w:val="000000"/>
                <w:sz w:val="21"/>
                <w:szCs w:val="21"/>
                <w:lang w:val="en-US" w:eastAsia="en-US" w:bidi="en-US"/>
              </w:rPr>
              <w:t>）</w:t>
            </w:r>
          </w:p>
        </w:tc>
        <w:tc>
          <w:tcPr>
            <w:tcW w:w="1005" w:type="dxa"/>
            <w:tcBorders>
              <w:top w:val="single" w:color="auto" w:sz="4" w:space="0"/>
              <w:left w:val="single" w:color="auto" w:sz="4" w:space="0"/>
            </w:tcBorders>
            <w:shd w:val="clear" w:color="auto" w:fill="FFFFFF"/>
            <w:vAlign w:val="center"/>
          </w:tcPr>
          <w:p>
            <w:pPr>
              <w:pStyle w:val="10"/>
              <w:spacing w:after="40" w:line="312" w:lineRule="exact"/>
              <w:jc w:val="left"/>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实际规模</w:t>
            </w:r>
          </w:p>
          <w:p>
            <w:pPr>
              <w:pStyle w:val="1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en-US" w:bidi="en-US"/>
              </w:rPr>
              <w:t>（m</w:t>
            </w:r>
            <w:r>
              <w:rPr>
                <w:rFonts w:hint="eastAsia" w:ascii="仿宋_GB2312" w:hAnsi="仿宋_GB2312" w:eastAsia="仿宋_GB2312" w:cs="仿宋_GB2312"/>
                <w:color w:val="000000"/>
                <w:sz w:val="21"/>
                <w:szCs w:val="21"/>
                <w:vertAlign w:val="superscript"/>
                <w:lang w:val="en-US" w:eastAsia="en-US" w:bidi="en-US"/>
              </w:rPr>
              <w:t>2</w:t>
            </w:r>
            <w:r>
              <w:rPr>
                <w:rFonts w:hint="eastAsia" w:ascii="仿宋_GB2312" w:hAnsi="仿宋_GB2312" w:eastAsia="仿宋_GB2312" w:cs="仿宋_GB2312"/>
                <w:color w:val="000000"/>
                <w:sz w:val="21"/>
                <w:szCs w:val="21"/>
                <w:lang w:val="en-US" w:eastAsia="en-US" w:bidi="en-US"/>
              </w:rPr>
              <w:t>）</w:t>
            </w:r>
          </w:p>
        </w:tc>
        <w:tc>
          <w:tcPr>
            <w:tcW w:w="1172" w:type="dxa"/>
            <w:tcBorders>
              <w:top w:val="single" w:color="auto" w:sz="4" w:space="0"/>
              <w:left w:val="single" w:color="auto" w:sz="4" w:space="0"/>
            </w:tcBorders>
            <w:shd w:val="clear" w:color="auto" w:fill="FFFFFF"/>
            <w:vAlign w:val="center"/>
          </w:tcPr>
          <w:p>
            <w:pPr>
              <w:pStyle w:val="10"/>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规模控制率</w:t>
            </w:r>
          </w:p>
        </w:tc>
        <w:tc>
          <w:tcPr>
            <w:tcW w:w="1142" w:type="dxa"/>
            <w:tcBorders>
              <w:top w:val="single" w:color="auto" w:sz="4" w:space="0"/>
              <w:left w:val="single" w:color="auto" w:sz="4" w:space="0"/>
            </w:tcBorders>
            <w:shd w:val="clear" w:color="auto" w:fill="FFFFFF"/>
            <w:vAlign w:val="center"/>
          </w:tcPr>
          <w:p>
            <w:pPr>
              <w:pStyle w:val="10"/>
              <w:spacing w:line="312" w:lineRule="exact"/>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预算投资</w:t>
            </w:r>
            <w:r>
              <w:rPr>
                <w:rFonts w:hint="eastAsia" w:ascii="仿宋_GB2312" w:hAnsi="仿宋_GB2312" w:eastAsia="仿宋_GB2312" w:cs="仿宋_GB2312"/>
                <w:color w:val="000000"/>
                <w:sz w:val="21"/>
                <w:szCs w:val="21"/>
                <w:lang w:val="en-US"/>
              </w:rPr>
              <w:t xml:space="preserve">     </w:t>
            </w:r>
            <w:r>
              <w:rPr>
                <w:rFonts w:hint="eastAsia" w:ascii="仿宋_GB2312" w:hAnsi="仿宋_GB2312" w:eastAsia="仿宋_GB2312" w:cs="仿宋_GB2312"/>
                <w:color w:val="000000"/>
                <w:sz w:val="21"/>
                <w:szCs w:val="21"/>
              </w:rPr>
              <w:t>（万元）</w:t>
            </w:r>
          </w:p>
        </w:tc>
        <w:tc>
          <w:tcPr>
            <w:tcW w:w="1255" w:type="dxa"/>
            <w:tcBorders>
              <w:top w:val="single" w:color="auto" w:sz="4" w:space="0"/>
              <w:left w:val="single" w:color="auto" w:sz="4" w:space="0"/>
            </w:tcBorders>
            <w:shd w:val="clear" w:color="auto" w:fill="FFFFFF"/>
            <w:vAlign w:val="center"/>
          </w:tcPr>
          <w:p>
            <w:pPr>
              <w:pStyle w:val="10"/>
              <w:spacing w:line="312" w:lineRule="exact"/>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实际投资 （万元）</w:t>
            </w:r>
          </w:p>
        </w:tc>
        <w:tc>
          <w:tcPr>
            <w:tcW w:w="1051" w:type="dxa"/>
            <w:tcBorders>
              <w:top w:val="single" w:color="auto" w:sz="4" w:space="0"/>
              <w:left w:val="single" w:color="auto" w:sz="4" w:space="0"/>
              <w:right w:val="single" w:color="auto" w:sz="4" w:space="0"/>
            </w:tcBorders>
            <w:shd w:val="clear" w:color="auto" w:fill="FFFFFF"/>
            <w:vAlign w:val="center"/>
          </w:tcPr>
          <w:p>
            <w:pPr>
              <w:pStyle w:val="10"/>
              <w:spacing w:line="283" w:lineRule="exact"/>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投资概算控制率</w:t>
            </w:r>
          </w:p>
        </w:tc>
      </w:tr>
      <w:tr>
        <w:tblPrEx>
          <w:tblCellMar>
            <w:top w:w="0" w:type="dxa"/>
            <w:left w:w="10" w:type="dxa"/>
            <w:bottom w:w="0" w:type="dxa"/>
            <w:right w:w="10" w:type="dxa"/>
          </w:tblCellMar>
        </w:tblPrEx>
        <w:trPr>
          <w:trHeight w:val="466" w:hRule="exact"/>
          <w:jc w:val="center"/>
        </w:trPr>
        <w:tc>
          <w:tcPr>
            <w:tcW w:w="2947" w:type="dxa"/>
            <w:vMerge w:val="continue"/>
            <w:tcBorders>
              <w:left w:val="single" w:color="auto" w:sz="4" w:space="0"/>
            </w:tcBorders>
            <w:shd w:val="clear" w:color="auto" w:fill="FFFFFF"/>
            <w:vAlign w:val="center"/>
          </w:tcPr>
          <w:p>
            <w:pPr>
              <w:rPr>
                <w:rFonts w:ascii="仿宋_GB2312" w:hAnsi="仿宋_GB2312" w:eastAsia="仿宋_GB2312" w:cs="仿宋_GB2312"/>
                <w:szCs w:val="21"/>
              </w:rPr>
            </w:pPr>
          </w:p>
        </w:tc>
        <w:tc>
          <w:tcPr>
            <w:tcW w:w="865" w:type="dxa"/>
            <w:tcBorders>
              <w:top w:val="single" w:color="auto" w:sz="4" w:space="0"/>
              <w:left w:val="single" w:color="auto" w:sz="4" w:space="0"/>
            </w:tcBorders>
            <w:shd w:val="clear" w:color="auto" w:fill="FFFFFF"/>
          </w:tcPr>
          <w:p>
            <w:pPr>
              <w:rPr>
                <w:rFonts w:ascii="仿宋_GB2312" w:hAnsi="仿宋_GB2312" w:eastAsia="仿宋_GB2312" w:cs="仿宋_GB2312"/>
                <w:szCs w:val="21"/>
              </w:rPr>
            </w:pPr>
          </w:p>
        </w:tc>
        <w:tc>
          <w:tcPr>
            <w:tcW w:w="1005" w:type="dxa"/>
            <w:tcBorders>
              <w:top w:val="single" w:color="auto" w:sz="4" w:space="0"/>
              <w:left w:val="single" w:color="auto" w:sz="4" w:space="0"/>
            </w:tcBorders>
            <w:shd w:val="clear" w:color="auto" w:fill="FFFFFF"/>
          </w:tcPr>
          <w:p>
            <w:pPr>
              <w:rPr>
                <w:rFonts w:ascii="仿宋_GB2312" w:hAnsi="仿宋_GB2312" w:eastAsia="仿宋_GB2312" w:cs="仿宋_GB2312"/>
                <w:szCs w:val="21"/>
              </w:rPr>
            </w:pPr>
          </w:p>
        </w:tc>
        <w:tc>
          <w:tcPr>
            <w:tcW w:w="1172" w:type="dxa"/>
            <w:tcBorders>
              <w:top w:val="single" w:color="auto" w:sz="4" w:space="0"/>
              <w:left w:val="single" w:color="auto" w:sz="4" w:space="0"/>
            </w:tcBorders>
            <w:shd w:val="clear" w:color="auto" w:fill="FFFFFF"/>
          </w:tcPr>
          <w:p>
            <w:pPr>
              <w:rPr>
                <w:rFonts w:ascii="仿宋_GB2312" w:hAnsi="仿宋_GB2312" w:eastAsia="仿宋_GB2312" w:cs="仿宋_GB2312"/>
                <w:szCs w:val="21"/>
              </w:rPr>
            </w:pPr>
          </w:p>
        </w:tc>
        <w:tc>
          <w:tcPr>
            <w:tcW w:w="1142" w:type="dxa"/>
            <w:tcBorders>
              <w:top w:val="single" w:color="auto" w:sz="4" w:space="0"/>
              <w:left w:val="single" w:color="auto" w:sz="4" w:space="0"/>
            </w:tcBorders>
            <w:shd w:val="clear" w:color="auto" w:fill="FFFFFF"/>
          </w:tcPr>
          <w:p>
            <w:pPr>
              <w:rPr>
                <w:rFonts w:ascii="仿宋_GB2312" w:hAnsi="仿宋_GB2312" w:eastAsia="仿宋_GB2312" w:cs="仿宋_GB2312"/>
                <w:szCs w:val="21"/>
              </w:rPr>
            </w:pPr>
          </w:p>
        </w:tc>
        <w:tc>
          <w:tcPr>
            <w:tcW w:w="1255" w:type="dxa"/>
            <w:tcBorders>
              <w:top w:val="single" w:color="auto" w:sz="4" w:space="0"/>
              <w:left w:val="single" w:color="auto" w:sz="4" w:space="0"/>
            </w:tcBorders>
            <w:shd w:val="clear" w:color="auto" w:fill="FFFFFF"/>
          </w:tcPr>
          <w:p>
            <w:pPr>
              <w:rPr>
                <w:rFonts w:ascii="仿宋_GB2312" w:hAnsi="仿宋_GB2312" w:eastAsia="仿宋_GB2312" w:cs="仿宋_GB2312"/>
                <w:szCs w:val="21"/>
              </w:rPr>
            </w:pPr>
          </w:p>
        </w:tc>
        <w:tc>
          <w:tcPr>
            <w:tcW w:w="1051" w:type="dxa"/>
            <w:tcBorders>
              <w:top w:val="single" w:color="auto" w:sz="4" w:space="0"/>
              <w:left w:val="single" w:color="auto" w:sz="4" w:space="0"/>
              <w:right w:val="single" w:color="auto" w:sz="4" w:space="0"/>
            </w:tcBorders>
            <w:shd w:val="clear" w:color="auto" w:fill="FFFFFF"/>
          </w:tcPr>
          <w:p>
            <w:pPr>
              <w:rPr>
                <w:rFonts w:ascii="仿宋_GB2312" w:hAnsi="仿宋_GB2312" w:eastAsia="仿宋_GB2312" w:cs="仿宋_GB2312"/>
                <w:szCs w:val="21"/>
              </w:rPr>
            </w:pPr>
          </w:p>
        </w:tc>
      </w:tr>
      <w:tr>
        <w:tblPrEx>
          <w:tblCellMar>
            <w:top w:w="0" w:type="dxa"/>
            <w:left w:w="10" w:type="dxa"/>
            <w:bottom w:w="0" w:type="dxa"/>
            <w:right w:w="10" w:type="dxa"/>
          </w:tblCellMar>
        </w:tblPrEx>
        <w:trPr>
          <w:trHeight w:val="1480" w:hRule="exact"/>
          <w:jc w:val="center"/>
        </w:trPr>
        <w:tc>
          <w:tcPr>
            <w:tcW w:w="2947" w:type="dxa"/>
            <w:tcBorders>
              <w:top w:val="single" w:color="auto" w:sz="4" w:space="0"/>
              <w:left w:val="single" w:color="auto" w:sz="4" w:space="0"/>
              <w:bottom w:val="single" w:color="auto" w:sz="4" w:space="0"/>
            </w:tcBorders>
            <w:shd w:val="clear" w:color="auto" w:fill="FFFFFF"/>
          </w:tcPr>
          <w:p>
            <w:pPr>
              <w:pStyle w:val="10"/>
              <w:spacing w:before="80" w:line="240" w:lineRule="auto"/>
              <w:ind w:firstLine="600"/>
              <w:jc w:val="left"/>
              <w:rPr>
                <w:rFonts w:ascii="仿宋_GB2312" w:hAnsi="仿宋_GB2312" w:eastAsia="仿宋_GB2312" w:cs="仿宋_GB2312"/>
                <w:color w:val="000000"/>
                <w:sz w:val="21"/>
                <w:szCs w:val="21"/>
              </w:rPr>
            </w:pPr>
          </w:p>
          <w:p>
            <w:pPr>
              <w:pStyle w:val="10"/>
              <w:spacing w:before="80" w:line="240" w:lineRule="auto"/>
              <w:ind w:firstLine="600"/>
              <w:jc w:val="left"/>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厉行节约保障措施</w:t>
            </w:r>
          </w:p>
        </w:tc>
        <w:tc>
          <w:tcPr>
            <w:tcW w:w="6490" w:type="dxa"/>
            <w:gridSpan w:val="6"/>
            <w:tcBorders>
              <w:top w:val="single" w:color="auto" w:sz="4" w:space="0"/>
              <w:left w:val="single" w:color="auto" w:sz="4" w:space="0"/>
              <w:bottom w:val="single" w:color="auto" w:sz="4" w:space="0"/>
              <w:right w:val="single" w:color="auto" w:sz="4" w:space="0"/>
            </w:tcBorders>
            <w:shd w:val="clear" w:color="auto" w:fill="FFFFFF"/>
          </w:tcPr>
          <w:p>
            <w:pPr>
              <w:rPr>
                <w:rFonts w:ascii="仿宋_GB2312" w:hAnsi="仿宋_GB2312" w:eastAsia="仿宋_GB2312" w:cs="仿宋_GB2312"/>
                <w:szCs w:val="21"/>
              </w:rPr>
            </w:pPr>
          </w:p>
        </w:tc>
      </w:tr>
    </w:tbl>
    <w:p>
      <w:pPr>
        <w:pStyle w:val="12"/>
        <w:jc w:val="left"/>
        <w:rPr>
          <w:color w:val="000000"/>
          <w:sz w:val="24"/>
          <w:szCs w:val="24"/>
        </w:rPr>
      </w:pPr>
    </w:p>
    <w:p>
      <w:pPr>
        <w:pStyle w:val="12"/>
        <w:jc w:val="left"/>
        <w:rPr>
          <w:sz w:val="32"/>
          <w:szCs w:val="32"/>
        </w:rPr>
        <w:sectPr>
          <w:footerReference r:id="rId3" w:type="default"/>
          <w:footerReference r:id="rId4" w:type="even"/>
          <w:pgSz w:w="11850" w:h="16783"/>
          <w:pgMar w:top="1440" w:right="1803" w:bottom="1440" w:left="1803" w:header="0" w:footer="850" w:gutter="0"/>
          <w:cols w:space="720" w:num="1"/>
          <w:docGrid w:linePitch="360" w:charSpace="0"/>
        </w:sectPr>
      </w:pPr>
      <w:r>
        <w:rPr>
          <w:rFonts w:hint="eastAsia"/>
          <w:color w:val="000000"/>
          <w:sz w:val="24"/>
          <w:szCs w:val="24"/>
        </w:rPr>
        <w:t>说明：“项目支出”需要填报基本支出以外的所有项目情况，包括业务工作项目、运行维护项目等；“公用经费”填报基本支出中的一般商品和服务支出。</w:t>
      </w:r>
    </w:p>
    <w:p>
      <w:pPr>
        <w:pStyle w:val="11"/>
        <w:ind w:firstLine="0"/>
        <w:jc w:val="left"/>
        <w:rPr>
          <w:color w:val="000000"/>
          <w:sz w:val="24"/>
          <w:lang w:val="en-US"/>
        </w:rPr>
      </w:pPr>
      <w:r>
        <w:rPr>
          <w:rFonts w:hint="eastAsia"/>
          <w:color w:val="000000"/>
          <w:sz w:val="24"/>
        </w:rPr>
        <w:t>附件</w:t>
      </w:r>
      <w:r>
        <w:rPr>
          <w:rFonts w:hint="eastAsia"/>
          <w:color w:val="000000"/>
          <w:sz w:val="24"/>
          <w:lang w:val="en-US"/>
        </w:rPr>
        <w:t>3</w:t>
      </w:r>
    </w:p>
    <w:p>
      <w:pPr>
        <w:pStyle w:val="8"/>
        <w:tabs>
          <w:tab w:val="left" w:pos="867"/>
        </w:tabs>
        <w:spacing w:line="560" w:lineRule="exact"/>
        <w:ind w:left="420" w:leftChars="200" w:firstLine="0"/>
        <w:jc w:val="center"/>
        <w:rPr>
          <w:rFonts w:hint="eastAsia"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部门整体支出绩效评价</w:t>
      </w:r>
      <w:r>
        <w:rPr>
          <w:rFonts w:hint="eastAsia" w:ascii="Times New Roman" w:hAnsi="Times New Roman" w:eastAsia="方正小标宋_GBK" w:cs="Times New Roman"/>
          <w:kern w:val="0"/>
          <w:sz w:val="36"/>
          <w:szCs w:val="36"/>
        </w:rPr>
        <w:t>报告</w:t>
      </w:r>
    </w:p>
    <w:p>
      <w:pPr>
        <w:pStyle w:val="5"/>
        <w:shd w:val="clear" w:color="auto" w:fill="FFFFFF"/>
        <w:spacing w:beforeAutospacing="0" w:afterAutospacing="0" w:line="600" w:lineRule="atLeast"/>
        <w:ind w:firstLine="640"/>
        <w:jc w:val="both"/>
        <w:rPr>
          <w:rFonts w:ascii="仿宋" w:hAnsi="仿宋" w:eastAsia="仿宋"/>
          <w:color w:val="000000"/>
          <w:sz w:val="32"/>
          <w:szCs w:val="32"/>
        </w:rPr>
      </w:pPr>
      <w:r>
        <w:rPr>
          <w:rFonts w:hint="eastAsia" w:ascii="仿宋" w:hAnsi="仿宋" w:eastAsia="仿宋"/>
          <w:color w:val="000000"/>
          <w:sz w:val="32"/>
          <w:szCs w:val="32"/>
        </w:rPr>
        <w:t>根据</w:t>
      </w: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kern w:val="2"/>
          <w:sz w:val="32"/>
          <w:szCs w:val="32"/>
        </w:rPr>
        <w:t>《中共衡阳市委办公室 衡阳市人民政府办公室关于印发衡阳市预算绩效管理实施办法的通知》（衡办发〔2021〕13号）</w:t>
      </w:r>
      <w:r>
        <w:rPr>
          <w:rFonts w:hint="eastAsia" w:ascii="仿宋_GB2312" w:hAnsi="仿宋_GB2312" w:eastAsia="仿宋_GB2312" w:cs="仿宋_GB2312"/>
          <w:color w:val="000000"/>
          <w:sz w:val="32"/>
          <w:szCs w:val="32"/>
        </w:rPr>
        <w:t>,《中共珠晖区委办公室 珠晖区人民政府办公室关于印发&lt;珠晖区预算绩效管理实施办法&gt;的通知》(珠办发〔2022〕24号)的</w:t>
      </w:r>
      <w:r>
        <w:rPr>
          <w:rFonts w:hint="eastAsia" w:ascii="仿宋" w:hAnsi="仿宋" w:eastAsia="仿宋" w:cs="仿宋"/>
          <w:color w:val="222222"/>
          <w:sz w:val="32"/>
          <w:szCs w:val="32"/>
          <w:shd w:val="clear" w:color="auto" w:fill="FFFFFF"/>
        </w:rPr>
        <w:t>要求，</w:t>
      </w:r>
      <w:r>
        <w:rPr>
          <w:rFonts w:hint="eastAsia" w:ascii="仿宋" w:hAnsi="仿宋" w:eastAsia="仿宋"/>
          <w:color w:val="000000"/>
          <w:sz w:val="32"/>
          <w:szCs w:val="32"/>
        </w:rPr>
        <w:t>我局对2022年度财政资金整体支出绩效进行了独立、客观、公正的评价。现将有关情况报告如下：</w:t>
      </w:r>
    </w:p>
    <w:p>
      <w:pPr>
        <w:pStyle w:val="8"/>
        <w:tabs>
          <w:tab w:val="left" w:pos="867"/>
        </w:tabs>
        <w:spacing w:line="560" w:lineRule="exact"/>
        <w:ind w:firstLine="643" w:firstLineChars="200"/>
        <w:rPr>
          <w:rFonts w:hint="eastAsia" w:asciiTheme="majorEastAsia" w:hAnsiTheme="majorEastAsia" w:eastAsiaTheme="majorEastAsia"/>
          <w:color w:val="333333"/>
          <w:sz w:val="32"/>
          <w:szCs w:val="32"/>
        </w:rPr>
      </w:pPr>
      <w:r>
        <w:rPr>
          <w:rFonts w:hint="eastAsia"/>
          <w:b/>
          <w:bCs/>
          <w:color w:val="333333"/>
          <w:sz w:val="32"/>
          <w:szCs w:val="32"/>
        </w:rPr>
        <w:t> </w:t>
      </w:r>
      <w:r>
        <w:rPr>
          <w:rFonts w:hint="eastAsia" w:cs="仿宋_GB2312" w:asciiTheme="majorEastAsia" w:hAnsiTheme="majorEastAsia" w:eastAsiaTheme="majorEastAsia"/>
          <w:b/>
          <w:bCs/>
          <w:color w:val="000000"/>
          <w:sz w:val="32"/>
          <w:szCs w:val="32"/>
        </w:rPr>
        <w:t>一、部门基本概况</w:t>
      </w:r>
    </w:p>
    <w:p>
      <w:pPr>
        <w:widowControl/>
        <w:numPr>
          <w:ilvl w:val="0"/>
          <w:numId w:val="1"/>
        </w:numPr>
        <w:shd w:val="clear" w:color="auto" w:fill="FFFFFF"/>
        <w:ind w:firstLine="630"/>
        <w:jc w:val="left"/>
        <w:rPr>
          <w:rFonts w:ascii="宋体" w:hAnsi="宋体" w:cs="宋体"/>
          <w:b/>
          <w:bCs/>
          <w:color w:val="000000"/>
          <w:kern w:val="0"/>
          <w:sz w:val="32"/>
          <w:szCs w:val="32"/>
          <w:shd w:val="clear" w:color="auto" w:fill="FFFFFF"/>
        </w:rPr>
      </w:pPr>
      <w:r>
        <w:rPr>
          <w:rFonts w:ascii="宋体" w:hAnsi="宋体" w:cs="宋体"/>
          <w:b/>
          <w:bCs/>
          <w:color w:val="000000"/>
          <w:kern w:val="0"/>
          <w:sz w:val="32"/>
          <w:szCs w:val="32"/>
          <w:shd w:val="clear" w:color="auto" w:fill="FFFFFF"/>
        </w:rPr>
        <w:t>职能职责</w:t>
      </w:r>
    </w:p>
    <w:p>
      <w:pPr>
        <w:widowControl/>
        <w:shd w:val="clear" w:color="auto" w:fill="FFFFFF"/>
        <w:ind w:firstLine="630"/>
        <w:jc w:val="left"/>
        <w:rPr>
          <w:rFonts w:ascii="仿宋" w:hAnsi="仿宋" w:eastAsia="仿宋" w:cs="仿宋"/>
          <w:color w:val="333333"/>
          <w:kern w:val="0"/>
          <w:sz w:val="32"/>
          <w:szCs w:val="32"/>
          <w:shd w:val="clear" w:color="auto" w:fill="FFFFFF"/>
          <w:lang w:val="zh-CN"/>
        </w:rPr>
      </w:pPr>
      <w:r>
        <w:rPr>
          <w:rFonts w:hint="eastAsia" w:ascii="仿宋" w:hAnsi="仿宋" w:eastAsia="仿宋" w:cs="仿宋"/>
          <w:color w:val="333333"/>
          <w:kern w:val="0"/>
          <w:sz w:val="32"/>
          <w:szCs w:val="32"/>
          <w:shd w:val="clear" w:color="auto" w:fill="FFFFFF"/>
        </w:rPr>
        <w:t>1、全区民政事业中、长期发展规划和年度计划，贯彻执行民政工作的管理办法和行政规章，并负责组织实施和监督检查。</w:t>
      </w:r>
    </w:p>
    <w:p>
      <w:pPr>
        <w:widowControl/>
        <w:shd w:val="clear" w:color="auto" w:fill="FFFFFF"/>
        <w:ind w:firstLine="630"/>
        <w:jc w:val="left"/>
        <w:rPr>
          <w:rFonts w:ascii="仿宋" w:hAnsi="仿宋" w:eastAsia="仿宋" w:cs="仿宋"/>
          <w:color w:val="333333"/>
          <w:kern w:val="0"/>
          <w:sz w:val="32"/>
          <w:szCs w:val="32"/>
          <w:shd w:val="clear" w:color="auto" w:fill="FFFFFF"/>
          <w:lang w:val="zh-CN"/>
        </w:rPr>
      </w:pPr>
      <w:r>
        <w:rPr>
          <w:rFonts w:hint="eastAsia" w:ascii="仿宋" w:hAnsi="仿宋" w:eastAsia="仿宋" w:cs="仿宋"/>
          <w:color w:val="333333"/>
          <w:kern w:val="0"/>
          <w:sz w:val="32"/>
          <w:szCs w:val="32"/>
          <w:shd w:val="clear" w:color="auto" w:fill="FFFFFF"/>
        </w:rPr>
        <w:t>2、主要工作任务是：全区社团的登记管理和年检工作，全区性民办非企业单位（利用非国有资产举办的）登记和年检工作。</w:t>
      </w:r>
    </w:p>
    <w:p>
      <w:pPr>
        <w:widowControl/>
        <w:shd w:val="clear" w:color="auto" w:fill="FFFFFF"/>
        <w:ind w:firstLine="630"/>
        <w:jc w:val="left"/>
        <w:rPr>
          <w:rFonts w:ascii="仿宋" w:hAnsi="仿宋" w:eastAsia="仿宋" w:cs="仿宋"/>
          <w:color w:val="333333"/>
          <w:kern w:val="0"/>
          <w:sz w:val="32"/>
          <w:szCs w:val="32"/>
          <w:shd w:val="clear" w:color="auto" w:fill="FFFFFF"/>
          <w:lang w:val="zh-CN"/>
        </w:rPr>
      </w:pPr>
      <w:r>
        <w:rPr>
          <w:rFonts w:hint="eastAsia" w:ascii="仿宋" w:hAnsi="仿宋" w:eastAsia="仿宋" w:cs="仿宋"/>
          <w:color w:val="333333"/>
          <w:kern w:val="0"/>
          <w:sz w:val="32"/>
          <w:szCs w:val="32"/>
          <w:shd w:val="clear" w:color="auto" w:fill="FFFFFF"/>
        </w:rPr>
        <w:t>3、建立和实施城市居民最低生活保障制度；组织对低保户上户核查；负责培训低保管理人员。</w:t>
      </w:r>
    </w:p>
    <w:p>
      <w:pPr>
        <w:widowControl/>
        <w:shd w:val="clear" w:color="auto" w:fill="FFFFFF"/>
        <w:ind w:firstLine="630"/>
        <w:jc w:val="left"/>
        <w:rPr>
          <w:rFonts w:ascii="仿宋" w:hAnsi="仿宋" w:eastAsia="仿宋" w:cs="仿宋"/>
          <w:color w:val="333333"/>
          <w:kern w:val="0"/>
          <w:sz w:val="32"/>
          <w:szCs w:val="32"/>
          <w:shd w:val="clear" w:color="auto" w:fill="FFFFFF"/>
          <w:lang w:val="zh-CN"/>
        </w:rPr>
      </w:pPr>
      <w:r>
        <w:rPr>
          <w:rFonts w:hint="eastAsia" w:ascii="仿宋" w:hAnsi="仿宋" w:eastAsia="仿宋" w:cs="仿宋"/>
          <w:color w:val="333333"/>
          <w:kern w:val="0"/>
          <w:sz w:val="32"/>
          <w:szCs w:val="32"/>
          <w:shd w:val="clear" w:color="auto" w:fill="FFFFFF"/>
        </w:rPr>
        <w:t>4、指导城乡基层政权建设工作；指导城市社区居委会建设和社区服务管理工作，推动社区建设。</w:t>
      </w:r>
    </w:p>
    <w:p>
      <w:pPr>
        <w:widowControl/>
        <w:shd w:val="clear" w:color="auto" w:fill="FFFFFF"/>
        <w:ind w:firstLine="630"/>
        <w:jc w:val="left"/>
        <w:rPr>
          <w:rFonts w:ascii="仿宋" w:hAnsi="仿宋" w:eastAsia="仿宋" w:cs="仿宋"/>
          <w:color w:val="333333"/>
          <w:kern w:val="0"/>
          <w:sz w:val="32"/>
          <w:szCs w:val="32"/>
          <w:shd w:val="clear" w:color="auto" w:fill="FFFFFF"/>
          <w:lang w:val="zh-CN"/>
        </w:rPr>
      </w:pPr>
      <w:r>
        <w:rPr>
          <w:rFonts w:hint="eastAsia" w:ascii="仿宋" w:hAnsi="仿宋" w:eastAsia="仿宋" w:cs="仿宋"/>
          <w:color w:val="333333"/>
          <w:kern w:val="0"/>
          <w:sz w:val="32"/>
          <w:szCs w:val="32"/>
          <w:shd w:val="clear" w:color="auto" w:fill="FFFFFF"/>
        </w:rPr>
        <w:t>5、负责婚姻登记和管理工作，倡导婚姻习俗改革。</w:t>
      </w:r>
    </w:p>
    <w:p>
      <w:pPr>
        <w:widowControl/>
        <w:shd w:val="clear" w:color="auto" w:fill="FFFFFF"/>
        <w:ind w:firstLine="630"/>
        <w:jc w:val="left"/>
        <w:rPr>
          <w:rFonts w:ascii="仿宋" w:hAnsi="仿宋" w:eastAsia="仿宋" w:cs="仿宋"/>
          <w:color w:val="333333"/>
          <w:kern w:val="0"/>
          <w:sz w:val="32"/>
          <w:szCs w:val="32"/>
          <w:shd w:val="clear" w:color="auto" w:fill="FFFFFF"/>
          <w:lang w:val="zh-CN"/>
        </w:rPr>
      </w:pPr>
      <w:r>
        <w:rPr>
          <w:rFonts w:hint="eastAsia" w:ascii="仿宋" w:hAnsi="仿宋" w:eastAsia="仿宋" w:cs="仿宋"/>
          <w:color w:val="333333"/>
          <w:kern w:val="0"/>
          <w:sz w:val="32"/>
          <w:szCs w:val="32"/>
          <w:shd w:val="clear" w:color="auto" w:fill="FFFFFF"/>
        </w:rPr>
        <w:t>6、拟定行政区划总体规划，负责全区乡镇、街道行政区划变更的审核、报批工作；承办与邻县、区行政区域边界的勘界及日常管理工作。承办规定权限内的地名命名，更名的审核报批等事项，协助规范全区地名标志的设置和管理；组织建立和管理地名资料档案。</w:t>
      </w:r>
    </w:p>
    <w:p>
      <w:pPr>
        <w:widowControl/>
        <w:shd w:val="clear" w:color="auto" w:fill="FFFFFF"/>
        <w:ind w:firstLine="630"/>
        <w:jc w:val="left"/>
        <w:rPr>
          <w:rFonts w:ascii="仿宋" w:hAnsi="仿宋" w:eastAsia="仿宋" w:cs="仿宋"/>
          <w:color w:val="333333"/>
          <w:kern w:val="0"/>
          <w:sz w:val="32"/>
          <w:szCs w:val="32"/>
          <w:shd w:val="clear" w:color="auto" w:fill="FFFFFF"/>
          <w:lang w:val="zh-CN"/>
        </w:rPr>
      </w:pPr>
      <w:r>
        <w:rPr>
          <w:rFonts w:hint="eastAsia" w:ascii="仿宋" w:hAnsi="仿宋" w:eastAsia="仿宋" w:cs="仿宋"/>
          <w:color w:val="333333"/>
          <w:kern w:val="0"/>
          <w:sz w:val="32"/>
          <w:szCs w:val="32"/>
          <w:shd w:val="clear" w:color="auto" w:fill="FFFFFF"/>
        </w:rPr>
        <w:t>7、拟定全区社会福利事业发展的规划；负责社会福利事业单位建设管理工作；负责对全区社会福利企业进行管理，协助做好退税减税工作；孤儿生活费的审核发放。</w:t>
      </w:r>
    </w:p>
    <w:p>
      <w:pPr>
        <w:widowControl/>
        <w:shd w:val="clear" w:color="auto" w:fill="FFFFFF"/>
        <w:ind w:firstLine="630"/>
        <w:jc w:val="left"/>
        <w:rPr>
          <w:rFonts w:ascii="仿宋" w:hAnsi="仿宋" w:eastAsia="仿宋" w:cs="仿宋"/>
          <w:color w:val="333333"/>
          <w:kern w:val="0"/>
          <w:sz w:val="32"/>
          <w:szCs w:val="32"/>
          <w:shd w:val="clear" w:color="auto" w:fill="FFFFFF"/>
          <w:lang w:val="zh-CN"/>
        </w:rPr>
      </w:pPr>
      <w:r>
        <w:rPr>
          <w:rFonts w:hint="eastAsia" w:ascii="仿宋" w:hAnsi="仿宋" w:eastAsia="仿宋" w:cs="仿宋"/>
          <w:color w:val="333333"/>
          <w:kern w:val="0"/>
          <w:sz w:val="32"/>
          <w:szCs w:val="32"/>
          <w:shd w:val="clear" w:color="auto" w:fill="FFFFFF"/>
        </w:rPr>
        <w:t>8、拟定福利彩票发行规划，发行额度和管理办法；组织发行福利彩票，管理本级福利资金。</w:t>
      </w:r>
    </w:p>
    <w:p>
      <w:pPr>
        <w:widowControl/>
        <w:shd w:val="clear" w:color="auto" w:fill="FFFFFF"/>
        <w:ind w:firstLine="630"/>
        <w:jc w:val="left"/>
        <w:rPr>
          <w:rFonts w:ascii="仿宋" w:hAnsi="仿宋" w:eastAsia="仿宋" w:cs="仿宋"/>
          <w:color w:val="333333"/>
          <w:kern w:val="0"/>
          <w:sz w:val="32"/>
          <w:szCs w:val="32"/>
          <w:shd w:val="clear" w:color="auto" w:fill="FFFFFF"/>
          <w:lang w:val="zh-CN"/>
        </w:rPr>
      </w:pPr>
      <w:r>
        <w:rPr>
          <w:rFonts w:hint="eastAsia" w:ascii="仿宋" w:hAnsi="仿宋" w:eastAsia="仿宋" w:cs="仿宋"/>
          <w:color w:val="333333"/>
          <w:kern w:val="0"/>
          <w:sz w:val="32"/>
          <w:szCs w:val="32"/>
          <w:shd w:val="clear" w:color="auto" w:fill="FFFFFF"/>
        </w:rPr>
        <w:t>9、监督实施有关殡葬改革法律、法规；推进殡葬改革。</w:t>
      </w:r>
    </w:p>
    <w:p>
      <w:pPr>
        <w:widowControl/>
        <w:shd w:val="clear" w:color="auto" w:fill="FFFFFF"/>
        <w:ind w:firstLine="630"/>
        <w:jc w:val="left"/>
        <w:rPr>
          <w:rFonts w:ascii="仿宋" w:hAnsi="仿宋" w:eastAsia="仿宋" w:cs="仿宋"/>
          <w:color w:val="333333"/>
          <w:kern w:val="0"/>
          <w:sz w:val="32"/>
          <w:szCs w:val="32"/>
          <w:shd w:val="clear" w:color="auto" w:fill="FFFFFF"/>
          <w:lang w:val="zh-CN"/>
        </w:rPr>
      </w:pPr>
      <w:r>
        <w:rPr>
          <w:rFonts w:hint="eastAsia" w:ascii="仿宋" w:hAnsi="仿宋" w:eastAsia="仿宋" w:cs="仿宋"/>
          <w:color w:val="333333"/>
          <w:kern w:val="0"/>
          <w:sz w:val="32"/>
          <w:szCs w:val="32"/>
          <w:shd w:val="clear" w:color="auto" w:fill="FFFFFF"/>
        </w:rPr>
        <w:t>10、负责民政事业财务、国有资产管理和统计工作，做好民政事业费的管理和使用工作。</w:t>
      </w:r>
    </w:p>
    <w:p>
      <w:pPr>
        <w:widowControl/>
        <w:shd w:val="clear" w:color="auto" w:fill="FFFFFF"/>
        <w:ind w:firstLine="630"/>
        <w:jc w:val="left"/>
        <w:rPr>
          <w:rFonts w:ascii="宋体" w:hAnsi="宋体" w:cs="宋体"/>
          <w:color w:val="000000"/>
          <w:sz w:val="16"/>
          <w:szCs w:val="16"/>
        </w:rPr>
      </w:pPr>
      <w:r>
        <w:rPr>
          <w:rFonts w:hint="eastAsia" w:ascii="仿宋" w:hAnsi="仿宋" w:eastAsia="仿宋" w:cs="仿宋"/>
          <w:color w:val="333333"/>
          <w:kern w:val="0"/>
          <w:sz w:val="32"/>
          <w:szCs w:val="32"/>
          <w:shd w:val="clear" w:color="auto" w:fill="FFFFFF"/>
        </w:rPr>
        <w:t>11、承办区委、区人民政府交办的其它事项。</w:t>
      </w:r>
    </w:p>
    <w:p>
      <w:pPr>
        <w:widowControl/>
        <w:shd w:val="clear" w:color="auto" w:fill="FFFFFF"/>
        <w:ind w:firstLine="630"/>
        <w:jc w:val="left"/>
        <w:rPr>
          <w:rFonts w:ascii="宋体" w:hAnsi="宋体" w:cs="宋体"/>
          <w:color w:val="000000"/>
          <w:sz w:val="16"/>
          <w:szCs w:val="16"/>
        </w:rPr>
      </w:pPr>
      <w:r>
        <w:rPr>
          <w:rFonts w:ascii="宋体" w:hAnsi="宋体" w:cs="宋体"/>
          <w:b/>
          <w:bCs/>
          <w:color w:val="000000"/>
          <w:kern w:val="0"/>
          <w:sz w:val="32"/>
          <w:szCs w:val="32"/>
          <w:shd w:val="clear" w:color="auto" w:fill="FFFFFF"/>
        </w:rPr>
        <w:t>（二）机构设置</w:t>
      </w:r>
    </w:p>
    <w:p>
      <w:pPr>
        <w:pStyle w:val="8"/>
        <w:tabs>
          <w:tab w:val="left" w:pos="1101"/>
        </w:tabs>
        <w:spacing w:line="560" w:lineRule="exact"/>
        <w:ind w:firstLine="800" w:firstLineChars="25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珠晖区民政局根据三定方案确定9个内设股室，分别是办公室、政策法规股、规划财务股、基层政权建设和社区治理股、区划地名股、社会事务股、养老服务股、儿童福利股、慈善事业事业促进和社会工作股。局机关行政编核定编制数为3个，实际在编人员为5人。</w:t>
      </w:r>
    </w:p>
    <w:p>
      <w:pPr>
        <w:pStyle w:val="8"/>
        <w:tabs>
          <w:tab w:val="left" w:pos="1101"/>
        </w:tabs>
        <w:spacing w:line="560" w:lineRule="exact"/>
        <w:ind w:firstLine="800" w:firstLineChars="25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珠晖区民政局下属二级事业单位6个，分别是城乡社会救助服务中心（副科级参公单位）、婚姻登记服务中心（副科级）、民间组织服务中心（副科级）、慈善会（副科级）、社区事务中心（正股级）、社会福利院（正股级）。事业编核定编制数为36个，实际在编人员为27人。</w:t>
      </w:r>
    </w:p>
    <w:p>
      <w:pPr>
        <w:pStyle w:val="8"/>
        <w:tabs>
          <w:tab w:val="left" w:pos="867"/>
        </w:tabs>
        <w:spacing w:line="560" w:lineRule="exact"/>
        <w:ind w:firstLine="643" w:firstLineChars="200"/>
        <w:rPr>
          <w:rFonts w:cs="仿宋_GB2312" w:asciiTheme="majorEastAsia" w:hAnsiTheme="majorEastAsia" w:eastAsiaTheme="majorEastAsia"/>
          <w:b/>
          <w:bCs/>
          <w:sz w:val="32"/>
          <w:szCs w:val="32"/>
        </w:rPr>
      </w:pPr>
      <w:bookmarkStart w:id="0" w:name="bookmark94"/>
      <w:r>
        <w:rPr>
          <w:rFonts w:hint="eastAsia" w:cs="仿宋_GB2312" w:asciiTheme="majorEastAsia" w:hAnsiTheme="majorEastAsia" w:eastAsiaTheme="majorEastAsia"/>
          <w:b/>
          <w:bCs/>
          <w:color w:val="000000"/>
          <w:sz w:val="32"/>
          <w:szCs w:val="32"/>
        </w:rPr>
        <w:t>二</w:t>
      </w:r>
      <w:bookmarkEnd w:id="0"/>
      <w:r>
        <w:rPr>
          <w:rFonts w:hint="eastAsia" w:cs="仿宋_GB2312" w:asciiTheme="majorEastAsia" w:hAnsiTheme="majorEastAsia" w:eastAsiaTheme="majorEastAsia"/>
          <w:b/>
          <w:bCs/>
          <w:color w:val="000000"/>
          <w:sz w:val="32"/>
          <w:szCs w:val="32"/>
        </w:rPr>
        <w:t>、部门整体支出管理及使用情况</w:t>
      </w:r>
    </w:p>
    <w:p>
      <w:pPr>
        <w:pStyle w:val="8"/>
        <w:tabs>
          <w:tab w:val="left" w:pos="1101"/>
        </w:tabs>
        <w:spacing w:line="560" w:lineRule="exact"/>
        <w:ind w:left="420" w:leftChars="200" w:firstLine="320" w:firstLineChars="100"/>
        <w:rPr>
          <w:rFonts w:ascii="仿宋" w:hAnsi="仿宋" w:eastAsia="仿宋" w:cs="仿宋"/>
          <w:color w:val="333333"/>
          <w:kern w:val="0"/>
          <w:sz w:val="32"/>
          <w:szCs w:val="32"/>
          <w:shd w:val="clear" w:color="auto" w:fill="FFFFFF"/>
          <w:lang w:val="en-US"/>
        </w:rPr>
      </w:pPr>
      <w:r>
        <w:rPr>
          <w:rFonts w:hint="eastAsia" w:ascii="仿宋" w:hAnsi="仿宋" w:eastAsia="仿宋" w:cs="仿宋"/>
          <w:color w:val="333333"/>
          <w:kern w:val="0"/>
          <w:sz w:val="32"/>
          <w:szCs w:val="32"/>
          <w:shd w:val="clear" w:color="auto" w:fill="FFFFFF"/>
          <w:lang w:val="en-US"/>
        </w:rPr>
        <w:t>部门整体支出6828.11万元，其中：基本支出623.64万元，</w:t>
      </w:r>
    </w:p>
    <w:p>
      <w:pPr>
        <w:pStyle w:val="8"/>
        <w:tabs>
          <w:tab w:val="left" w:pos="1101"/>
        </w:tabs>
        <w:spacing w:line="560" w:lineRule="exact"/>
        <w:ind w:firstLine="0"/>
        <w:rPr>
          <w:rFonts w:ascii="仿宋_GB2312" w:hAnsi="仿宋_GB2312" w:eastAsia="仿宋_GB2312" w:cs="仿宋_GB2312"/>
          <w:color w:val="000000"/>
          <w:sz w:val="32"/>
          <w:szCs w:val="32"/>
          <w:lang w:val="en-US"/>
        </w:rPr>
      </w:pPr>
      <w:r>
        <w:rPr>
          <w:rFonts w:hint="eastAsia" w:ascii="仿宋" w:hAnsi="仿宋" w:eastAsia="仿宋" w:cs="仿宋"/>
          <w:color w:val="333333"/>
          <w:kern w:val="0"/>
          <w:sz w:val="32"/>
          <w:szCs w:val="32"/>
          <w:shd w:val="clear" w:color="auto" w:fill="FFFFFF"/>
          <w:lang w:val="en-US"/>
        </w:rPr>
        <w:t>用于人员工资福利支出、办公经费支出；项目支出6204.47万元，主要用于202</w:t>
      </w:r>
      <w:r>
        <w:rPr>
          <w:rFonts w:hint="eastAsia" w:ascii="仿宋" w:hAnsi="仿宋" w:eastAsia="仿宋" w:cs="仿宋"/>
          <w:color w:val="333333"/>
          <w:kern w:val="0"/>
          <w:sz w:val="32"/>
          <w:szCs w:val="32"/>
          <w:shd w:val="clear" w:color="auto" w:fill="FFFFFF"/>
          <w:lang w:val="en-US" w:eastAsia="zh-CN"/>
        </w:rPr>
        <w:t>2</w:t>
      </w:r>
      <w:r>
        <w:rPr>
          <w:rFonts w:hint="eastAsia" w:ascii="仿宋" w:hAnsi="仿宋" w:eastAsia="仿宋" w:cs="仿宋"/>
          <w:color w:val="333333"/>
          <w:kern w:val="0"/>
          <w:sz w:val="32"/>
          <w:szCs w:val="32"/>
          <w:shd w:val="clear" w:color="auto" w:fill="FFFFFF"/>
          <w:lang w:val="en-US"/>
        </w:rPr>
        <w:t>年人力资源和社会保障经费、党建经费、2021年目标绩效考核奖（福利院）、2020年民办养老机构运营补贴、社区运转经费、社区退休人员2021年度生活补助、百岁老人长寿补助市级补助资金、专项商品和服务支出、婚俗改革试点资金、职业年金记实资金、一次性抚恤金、孤儿基本生活保障金、高龄老人长寿补贴、百岁老人长寿补助省级补助资金、乡镇敬老院经费、残疾人两项补贴市级补助资金、残疾人两补省级补助资金、残疾人两补区级资金、城市低保、农村低保、临时救助、农村特困人员救助供养、2022年度村干部工资</w:t>
      </w:r>
      <w:r>
        <w:rPr>
          <w:rFonts w:hint="eastAsia" w:ascii="仿宋" w:hAnsi="仿宋" w:eastAsia="仿宋" w:cs="仿宋"/>
          <w:color w:val="333333"/>
          <w:kern w:val="0"/>
          <w:sz w:val="32"/>
          <w:szCs w:val="32"/>
          <w:shd w:val="clear" w:color="auto" w:fill="FFFFFF"/>
          <w:lang w:val="en-US" w:eastAsia="zh-CN"/>
        </w:rPr>
        <w:t>、居家和社区养老服务改革试点地区中央补助资金、2</w:t>
      </w:r>
      <w:bookmarkStart w:id="7" w:name="_GoBack"/>
      <w:bookmarkEnd w:id="7"/>
      <w:r>
        <w:rPr>
          <w:rFonts w:hint="eastAsia" w:ascii="仿宋" w:hAnsi="仿宋" w:eastAsia="仿宋" w:cs="仿宋"/>
          <w:color w:val="333333"/>
          <w:kern w:val="0"/>
          <w:sz w:val="32"/>
          <w:szCs w:val="32"/>
          <w:shd w:val="clear" w:color="auto" w:fill="FFFFFF"/>
          <w:lang w:val="en-US" w:eastAsia="zh-CN"/>
        </w:rPr>
        <w:t>022年中央彩票公益金支持社会福利事业专项资金</w:t>
      </w:r>
      <w:r>
        <w:rPr>
          <w:rFonts w:hint="eastAsia" w:ascii="仿宋" w:hAnsi="仿宋" w:eastAsia="仿宋" w:cs="仿宋"/>
          <w:color w:val="333333"/>
          <w:kern w:val="0"/>
          <w:sz w:val="32"/>
          <w:szCs w:val="32"/>
          <w:shd w:val="clear" w:color="auto" w:fill="FFFFFF"/>
          <w:lang w:val="en-US"/>
        </w:rPr>
        <w:t>。</w:t>
      </w:r>
    </w:p>
    <w:p>
      <w:pPr>
        <w:pStyle w:val="8"/>
        <w:tabs>
          <w:tab w:val="left" w:pos="1111"/>
        </w:tabs>
        <w:spacing w:line="560" w:lineRule="exact"/>
        <w:ind w:firstLine="640" w:firstLineChars="200"/>
        <w:rPr>
          <w:rFonts w:ascii="仿宋_GB2312" w:hAnsi="仿宋_GB2312" w:eastAsia="仿宋_GB2312" w:cs="仿宋_GB2312"/>
          <w:sz w:val="32"/>
          <w:szCs w:val="32"/>
        </w:rPr>
      </w:pPr>
      <w:bookmarkStart w:id="1" w:name="bookmark95"/>
      <w:r>
        <w:rPr>
          <w:rFonts w:hint="eastAsia" w:ascii="仿宋_GB2312" w:hAnsi="仿宋_GB2312" w:eastAsia="仿宋_GB2312" w:cs="仿宋_GB2312"/>
          <w:color w:val="000000"/>
          <w:sz w:val="32"/>
          <w:szCs w:val="32"/>
        </w:rPr>
        <w:t>（</w:t>
      </w:r>
      <w:bookmarkEnd w:id="1"/>
      <w:r>
        <w:rPr>
          <w:rFonts w:hint="eastAsia" w:ascii="仿宋_GB2312" w:hAnsi="仿宋_GB2312" w:eastAsia="仿宋_GB2312" w:cs="仿宋_GB2312"/>
          <w:color w:val="000000"/>
          <w:sz w:val="32"/>
          <w:szCs w:val="32"/>
        </w:rPr>
        <w:t>一）基本支出</w:t>
      </w:r>
    </w:p>
    <w:p>
      <w:pPr>
        <w:pStyle w:val="8"/>
        <w:spacing w:line="560" w:lineRule="exact"/>
        <w:ind w:firstLine="640" w:firstLineChars="200"/>
        <w:rPr>
          <w:rFonts w:ascii="仿宋_GB2312" w:hAnsi="仿宋_GB2312" w:eastAsia="仿宋_GB2312" w:cs="仿宋_GB2312"/>
          <w:sz w:val="32"/>
          <w:szCs w:val="32"/>
          <w:lang w:val="en-US"/>
        </w:rPr>
      </w:pPr>
      <w:r>
        <w:rPr>
          <w:rFonts w:hint="eastAsia" w:ascii="仿宋" w:hAnsi="仿宋" w:eastAsia="仿宋" w:cs="仿宋"/>
          <w:color w:val="333333"/>
          <w:kern w:val="0"/>
          <w:sz w:val="32"/>
          <w:szCs w:val="32"/>
          <w:shd w:val="clear" w:color="auto" w:fill="FFFFFF"/>
          <w:lang w:val="en-US"/>
        </w:rPr>
        <w:t>基本支出623.64万元，主要用于工资福利支出445.24万元；对个人和家庭的补助35.76万元；资本性支出1.68万元；一般商品和服务支出140.96万元。主要为保障单位机构正常运转、完成日常工作任务而发生的各项支出，包括用于基本工资、津贴补贴等人员经费以及办公费、印刷费、水电费、办公设备购置等日常公用经费。 </w:t>
      </w:r>
    </w:p>
    <w:p>
      <w:pPr>
        <w:pStyle w:val="8"/>
        <w:tabs>
          <w:tab w:val="left" w:pos="1111"/>
        </w:tabs>
        <w:spacing w:line="560" w:lineRule="exact"/>
        <w:ind w:firstLine="640" w:firstLineChars="200"/>
        <w:rPr>
          <w:rFonts w:ascii="仿宋_GB2312" w:hAnsi="仿宋_GB2312" w:eastAsia="仿宋_GB2312" w:cs="仿宋_GB2312"/>
          <w:color w:val="000000"/>
          <w:sz w:val="32"/>
          <w:szCs w:val="32"/>
        </w:rPr>
      </w:pPr>
      <w:bookmarkStart w:id="2" w:name="bookmark96"/>
      <w:r>
        <w:rPr>
          <w:rFonts w:hint="eastAsia" w:ascii="仿宋_GB2312" w:hAnsi="仿宋_GB2312" w:eastAsia="仿宋_GB2312" w:cs="仿宋_GB2312"/>
          <w:color w:val="000000"/>
          <w:sz w:val="32"/>
          <w:szCs w:val="32"/>
        </w:rPr>
        <w:t>（</w:t>
      </w:r>
      <w:bookmarkEnd w:id="2"/>
      <w:r>
        <w:rPr>
          <w:rFonts w:hint="eastAsia" w:ascii="仿宋_GB2312" w:hAnsi="仿宋_GB2312" w:eastAsia="仿宋_GB2312" w:cs="仿宋_GB2312"/>
          <w:color w:val="000000"/>
          <w:sz w:val="32"/>
          <w:szCs w:val="32"/>
        </w:rPr>
        <w:t>二）项目支出</w:t>
      </w:r>
    </w:p>
    <w:p>
      <w:pPr>
        <w:pStyle w:val="8"/>
        <w:tabs>
          <w:tab w:val="left" w:pos="1111"/>
        </w:tabs>
        <w:spacing w:line="560" w:lineRule="exact"/>
        <w:rPr>
          <w:rFonts w:ascii="仿宋_GB2312" w:hAnsi="仿宋_GB2312" w:eastAsia="仿宋_GB2312" w:cs="仿宋_GB2312"/>
          <w:color w:val="000000"/>
          <w:sz w:val="32"/>
          <w:szCs w:val="32"/>
        </w:rPr>
      </w:pPr>
      <w:r>
        <w:rPr>
          <w:rFonts w:hint="eastAsia" w:ascii="仿宋" w:hAnsi="仿宋" w:eastAsia="仿宋" w:cs="仿宋"/>
          <w:color w:val="333333"/>
          <w:kern w:val="0"/>
          <w:sz w:val="32"/>
          <w:szCs w:val="32"/>
          <w:shd w:val="clear" w:color="auto" w:fill="FFFFFF"/>
          <w:lang w:val="en-US"/>
        </w:rPr>
        <w:t>项目支出6204.47万元，其中2021年人力资源和社会保障经费0.15万元;党建经费1.34万元;2021年目标绩效考核奖（福利院）22.65万元;2020年民办养老机构运营补贴27.34万元;社区运转经费2241.13万元;社区退休人员2021年度生活补助58.50万元;百岁老人长寿补助市级补助资金4.66万元;专项商品和服务支出1.20万元;婚俗改革试点资金5万元;职业年金记实资金0.73万元;一次性抚恤金7.62万元;孤儿基本生活保障金40万元;高龄老人长寿补贴106.68万元;百岁老人长寿补助省级补助资金1.69万元;乡镇敬老院经费8万元;残疾人两项补贴市级补助资金0.01万元;残疾人两补省级补助资金156.82万元;残疾人两补区级资金73.56万元;城市低保1751.18万元;农村低保1161.04万元;临时救助12万元;农村特困人员救助供养33.25万元;2022年度村干部工资489.94万元</w:t>
      </w:r>
      <w:r>
        <w:rPr>
          <w:rFonts w:hint="eastAsia" w:ascii="仿宋" w:hAnsi="仿宋" w:eastAsia="仿宋" w:cs="仿宋"/>
          <w:color w:val="333333"/>
          <w:kern w:val="0"/>
          <w:sz w:val="32"/>
          <w:szCs w:val="32"/>
          <w:shd w:val="clear" w:color="auto" w:fill="FFFFFF"/>
          <w:lang w:val="en-US" w:eastAsia="zh-CN"/>
        </w:rPr>
        <w:t>、居家和社区养老服务改革试点地区中央补助资金20</w:t>
      </w:r>
      <w:r>
        <w:rPr>
          <w:rFonts w:hint="eastAsia" w:ascii="仿宋" w:hAnsi="仿宋" w:eastAsia="仿宋" w:cs="仿宋"/>
          <w:color w:val="333333"/>
          <w:kern w:val="0"/>
          <w:sz w:val="32"/>
          <w:szCs w:val="32"/>
          <w:shd w:val="clear" w:color="auto" w:fill="FFFFFF"/>
          <w:lang w:val="en-US"/>
        </w:rPr>
        <w:t>万元</w:t>
      </w:r>
      <w:r>
        <w:rPr>
          <w:rFonts w:hint="eastAsia" w:ascii="仿宋" w:hAnsi="仿宋" w:eastAsia="仿宋" w:cs="仿宋"/>
          <w:color w:val="333333"/>
          <w:kern w:val="0"/>
          <w:sz w:val="32"/>
          <w:szCs w:val="32"/>
          <w:shd w:val="clear" w:color="auto" w:fill="FFFFFF"/>
          <w:lang w:val="en-US" w:eastAsia="zh-CN"/>
        </w:rPr>
        <w:t>、2022年中央彩票公益金支持社会福利事业专项资金152</w:t>
      </w:r>
      <w:r>
        <w:rPr>
          <w:rFonts w:hint="eastAsia" w:ascii="仿宋" w:hAnsi="仿宋" w:eastAsia="仿宋" w:cs="仿宋"/>
          <w:color w:val="333333"/>
          <w:kern w:val="0"/>
          <w:sz w:val="32"/>
          <w:szCs w:val="32"/>
          <w:shd w:val="clear" w:color="auto" w:fill="FFFFFF"/>
          <w:lang w:val="en-US"/>
        </w:rPr>
        <w:t>万元。</w:t>
      </w:r>
    </w:p>
    <w:p>
      <w:pPr>
        <w:pStyle w:val="8"/>
        <w:tabs>
          <w:tab w:val="left" w:pos="867"/>
        </w:tabs>
        <w:spacing w:line="560" w:lineRule="exact"/>
        <w:ind w:firstLine="643" w:firstLineChars="200"/>
        <w:rPr>
          <w:rFonts w:ascii="仿宋_GB2312" w:hAnsi="仿宋_GB2312" w:eastAsia="仿宋_GB2312" w:cs="仿宋_GB2312"/>
          <w:b/>
          <w:bCs/>
          <w:sz w:val="32"/>
          <w:szCs w:val="32"/>
        </w:rPr>
      </w:pPr>
      <w:bookmarkStart w:id="3" w:name="bookmark100"/>
      <w:r>
        <w:rPr>
          <w:rFonts w:hint="eastAsia" w:ascii="仿宋_GB2312" w:hAnsi="仿宋_GB2312" w:eastAsia="仿宋_GB2312" w:cs="仿宋_GB2312"/>
          <w:b/>
          <w:bCs/>
          <w:color w:val="000000"/>
          <w:sz w:val="32"/>
          <w:szCs w:val="32"/>
        </w:rPr>
        <w:t>三</w:t>
      </w:r>
      <w:bookmarkEnd w:id="3"/>
      <w:r>
        <w:rPr>
          <w:rFonts w:hint="eastAsia" w:ascii="仿宋_GB2312" w:hAnsi="仿宋_GB2312" w:eastAsia="仿宋_GB2312" w:cs="仿宋_GB2312"/>
          <w:b/>
          <w:bCs/>
          <w:color w:val="000000"/>
          <w:sz w:val="32"/>
          <w:szCs w:val="32"/>
        </w:rPr>
        <w:t>、部门项目组织实施情况</w:t>
      </w:r>
    </w:p>
    <w:p>
      <w:pPr>
        <w:pStyle w:val="8"/>
        <w:tabs>
          <w:tab w:val="left" w:pos="876"/>
        </w:tabs>
        <w:spacing w:line="560" w:lineRule="exact"/>
        <w:ind w:firstLine="640" w:firstLineChars="200"/>
        <w:rPr>
          <w:rFonts w:ascii="仿宋_GB2312" w:hAnsi="仿宋_GB2312" w:eastAsia="仿宋_GB2312" w:cs="仿宋_GB2312"/>
          <w:color w:val="000000"/>
          <w:sz w:val="32"/>
          <w:szCs w:val="32"/>
        </w:rPr>
      </w:pPr>
      <w:bookmarkStart w:id="4" w:name="bookmark101"/>
      <w:r>
        <w:rPr>
          <w:rFonts w:hint="eastAsia" w:ascii="仿宋_GB2312" w:hAnsi="仿宋_GB2312" w:eastAsia="仿宋_GB2312" w:cs="仿宋_GB2312"/>
          <w:color w:val="000000"/>
          <w:sz w:val="32"/>
          <w:szCs w:val="32"/>
        </w:rPr>
        <w:t>由绩效自评工作组根据部门实际情况，结合部门整体支出自评指标体系进行打分，得到绩效自评结论，形成部门整体支出绩效自评报告。</w:t>
      </w:r>
    </w:p>
    <w:p>
      <w:pPr>
        <w:pStyle w:val="8"/>
        <w:tabs>
          <w:tab w:val="left" w:pos="876"/>
        </w:tabs>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四</w:t>
      </w:r>
      <w:bookmarkEnd w:id="4"/>
      <w:r>
        <w:rPr>
          <w:rFonts w:hint="eastAsia" w:ascii="仿宋_GB2312" w:hAnsi="仿宋_GB2312" w:eastAsia="仿宋_GB2312" w:cs="仿宋_GB2312"/>
          <w:b/>
          <w:bCs/>
          <w:color w:val="000000"/>
          <w:sz w:val="32"/>
          <w:szCs w:val="32"/>
        </w:rPr>
        <w:t>、资产管理情况</w:t>
      </w:r>
    </w:p>
    <w:p>
      <w:pPr>
        <w:pStyle w:val="8"/>
        <w:tabs>
          <w:tab w:val="left" w:pos="876"/>
        </w:tabs>
        <w:spacing w:line="560" w:lineRule="exact"/>
        <w:ind w:firstLine="640" w:firstLineChars="200"/>
        <w:rPr>
          <w:rFonts w:ascii="仿宋_GB2312" w:hAnsi="仿宋_GB2312" w:eastAsia="仿宋_GB2312" w:cs="仿宋_GB2312"/>
          <w:color w:val="000000"/>
          <w:sz w:val="32"/>
          <w:szCs w:val="32"/>
        </w:rPr>
      </w:pPr>
      <w:bookmarkStart w:id="5" w:name="bookmark102"/>
      <w:r>
        <w:rPr>
          <w:rFonts w:hint="eastAsia" w:ascii="仿宋_GB2312" w:hAnsi="仿宋_GB2312" w:eastAsia="仿宋_GB2312" w:cs="仿宋_GB2312"/>
          <w:color w:val="000000"/>
          <w:sz w:val="32"/>
          <w:szCs w:val="32"/>
        </w:rPr>
        <w:t>我局严格按照《行政事业单位国有资产管理办法》、《政府采购法》等相关管理规定，做好固定资产采买、报废、调整等相关管理工作。部门资产录入固定资产管理系统，建资产管理卡片，及时更新资产管理信息系统数据，做到账实相符、账卡相符。</w:t>
      </w:r>
    </w:p>
    <w:bookmarkEnd w:id="5"/>
    <w:p>
      <w:pPr>
        <w:pStyle w:val="8"/>
        <w:tabs>
          <w:tab w:val="left" w:pos="876"/>
        </w:tabs>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五、部门整体支出绩效情况</w:t>
      </w:r>
    </w:p>
    <w:p>
      <w:pPr>
        <w:pStyle w:val="5"/>
        <w:widowControl/>
        <w:shd w:val="clear" w:color="auto" w:fill="FFFFFF"/>
        <w:spacing w:beforeAutospacing="0" w:afterAutospacing="0"/>
        <w:ind w:firstLine="420"/>
        <w:jc w:val="both"/>
        <w:rPr>
          <w:rFonts w:ascii="仿宋" w:hAnsi="仿宋" w:eastAsia="仿宋" w:cs="仿宋"/>
          <w:color w:val="333333"/>
          <w:sz w:val="32"/>
          <w:szCs w:val="32"/>
        </w:rPr>
      </w:pPr>
      <w:bookmarkStart w:id="6" w:name="bookmark103"/>
      <w:r>
        <w:rPr>
          <w:rFonts w:hint="eastAsia" w:ascii="仿宋" w:hAnsi="仿宋" w:eastAsia="仿宋" w:cs="仿宋"/>
          <w:color w:val="333333"/>
          <w:sz w:val="32"/>
          <w:szCs w:val="32"/>
          <w:shd w:val="clear" w:color="auto" w:fill="FFFFFF"/>
        </w:rPr>
        <w:t>1.预算编制的科学性和合理性。我局围绕部门职能，以预算资金管理为主线，统筹考虑资产和业务活动，设定了绩效目标，与相应的资金使用内容、范围、方向紧密相关。符合相关法规和总体规划，符合单位长期发展规划，与“三定方案”部门职责相吻合。</w:t>
      </w:r>
    </w:p>
    <w:p>
      <w:pPr>
        <w:pStyle w:val="5"/>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2.绩效目标填报的完整性和可行性。我局将项目支出做好了绩效目标的编制并及时录入项目库，加强了对立项依据、绩效目标、政府采购、基本建设等指标的审核。绩效目标指标填写完整可行。</w:t>
      </w:r>
    </w:p>
    <w:p>
      <w:pPr>
        <w:pStyle w:val="5"/>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3.绩效目标过程监控的规范性和长效性。我局在项目开展过程中，对照绩效目标、财政资金管理办法等规章制度，对绩效目标过程实施有效监控，达到了规范性和长效性。</w:t>
      </w:r>
    </w:p>
    <w:bookmarkEnd w:id="6"/>
    <w:p>
      <w:pPr>
        <w:pStyle w:val="8"/>
        <w:tabs>
          <w:tab w:val="left" w:pos="876"/>
        </w:tabs>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六、存在的主要问题</w:t>
      </w:r>
    </w:p>
    <w:p>
      <w:pPr>
        <w:pStyle w:val="8"/>
        <w:tabs>
          <w:tab w:val="left" w:pos="886"/>
        </w:tabs>
        <w:spacing w:line="560" w:lineRule="exact"/>
        <w:ind w:left="638" w:leftChars="304" w:firstLine="0"/>
        <w:rPr>
          <w:rFonts w:ascii="仿宋" w:hAnsi="仿宋" w:eastAsia="仿宋" w:cs="仿宋"/>
          <w:color w:val="333333"/>
          <w:sz w:val="25"/>
          <w:szCs w:val="25"/>
          <w:shd w:val="clear" w:color="auto" w:fill="FFFFFF"/>
        </w:rPr>
      </w:pPr>
      <w:r>
        <w:rPr>
          <w:rFonts w:hint="eastAsia" w:ascii="仿宋_GB2312" w:hAnsi="仿宋_GB2312" w:eastAsia="仿宋_GB2312" w:cs="仿宋_GB2312"/>
          <w:color w:val="000000"/>
          <w:sz w:val="32"/>
          <w:szCs w:val="32"/>
        </w:rPr>
        <w:t>一、部分项目预算执行进度较慢，推进力度有待进一步加强。二、部分项目绩效指标设置不够清晰。</w:t>
      </w:r>
    </w:p>
    <w:p>
      <w:pPr>
        <w:pStyle w:val="8"/>
        <w:tabs>
          <w:tab w:val="left" w:pos="886"/>
        </w:tabs>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七、改进措施和有关建议</w:t>
      </w:r>
    </w:p>
    <w:p>
      <w:pPr>
        <w:spacing w:line="560" w:lineRule="exact"/>
        <w:ind w:firstLine="640" w:firstLineChars="200"/>
        <w:rPr>
          <w:rFonts w:ascii="仿宋_GB2312" w:hAnsi="仿宋_GB2312" w:eastAsia="仿宋_GB2312" w:cs="仿宋_GB2312"/>
          <w:color w:val="000000"/>
          <w:sz w:val="32"/>
          <w:szCs w:val="32"/>
          <w:lang w:val="zh-CN" w:bidi="zh-CN"/>
        </w:rPr>
      </w:pPr>
      <w:r>
        <w:rPr>
          <w:rFonts w:hint="eastAsia" w:ascii="仿宋_GB2312" w:hAnsi="仿宋_GB2312" w:eastAsia="仿宋_GB2312" w:cs="仿宋_GB2312"/>
          <w:color w:val="000000"/>
          <w:sz w:val="32"/>
          <w:szCs w:val="32"/>
          <w:lang w:val="zh-CN" w:bidi="zh-CN"/>
        </w:rPr>
        <w:t>一、强化预算执行，加快项目实施进度，不断提高资金支付率，确保项目有序开展。</w:t>
      </w:r>
    </w:p>
    <w:p>
      <w:pPr>
        <w:spacing w:line="560" w:lineRule="exact"/>
        <w:ind w:firstLine="640" w:firstLineChars="200"/>
        <w:rPr>
          <w:rFonts w:ascii="仿宋_GB2312" w:hAnsi="仿宋_GB2312" w:eastAsia="仿宋_GB2312" w:cs="仿宋_GB2312"/>
          <w:color w:val="000000"/>
          <w:sz w:val="32"/>
          <w:szCs w:val="32"/>
          <w:lang w:val="zh-CN" w:bidi="zh-CN"/>
        </w:rPr>
      </w:pPr>
      <w:r>
        <w:rPr>
          <w:rFonts w:hint="eastAsia" w:ascii="仿宋_GB2312" w:hAnsi="仿宋_GB2312" w:eastAsia="仿宋_GB2312" w:cs="仿宋_GB2312"/>
          <w:color w:val="000000"/>
          <w:sz w:val="32"/>
          <w:szCs w:val="32"/>
          <w:lang w:val="zh-CN" w:bidi="zh-CN"/>
        </w:rPr>
        <w:t>二、加强学习，组织财务人员学习相关法规、制度、文件精神，从而提高对预算、绩效评价等财务工作的重视。</w:t>
      </w:r>
    </w:p>
    <w:p>
      <w:pPr>
        <w:spacing w:line="560" w:lineRule="exact"/>
        <w:ind w:firstLine="640" w:firstLineChars="200"/>
        <w:rPr>
          <w:rFonts w:ascii="仿宋_GB2312" w:hAnsi="仿宋_GB2312" w:eastAsia="仿宋_GB2312" w:cs="仿宋_GB2312"/>
          <w:color w:val="000000"/>
          <w:sz w:val="32"/>
          <w:szCs w:val="32"/>
          <w:lang w:val="zh-CN" w:bidi="zh-CN"/>
        </w:rPr>
      </w:pPr>
      <w:r>
        <w:rPr>
          <w:rFonts w:hint="eastAsia" w:ascii="仿宋_GB2312" w:hAnsi="仿宋_GB2312" w:eastAsia="仿宋_GB2312" w:cs="仿宋_GB2312"/>
          <w:color w:val="000000"/>
          <w:sz w:val="32"/>
          <w:szCs w:val="32"/>
          <w:lang w:val="zh-CN" w:bidi="zh-CN"/>
        </w:rPr>
        <w:t>三、加强项目资金管理，严格实行项目管理程序化，实现项目申报、实施、拨付、评价全流程监督与控制，规范专项资金管理，提高专项资金的使用效益。</w:t>
      </w:r>
    </w:p>
    <w:p>
      <w:pPr>
        <w:spacing w:line="560" w:lineRule="exact"/>
        <w:ind w:firstLine="420" w:firstLineChars="200"/>
        <w:rPr>
          <w:rFonts w:hint="eastAsia"/>
        </w:rPr>
      </w:pPr>
    </w:p>
    <w:p>
      <w:pPr>
        <w:pStyle w:val="2"/>
        <w:jc w:val="right"/>
        <w:rPr>
          <w:rFonts w:hint="eastAsia" w:ascii="仿宋_GB2312" w:hAnsi="仿宋_GB2312" w:eastAsia="仿宋_GB2312" w:cs="仿宋_GB2312"/>
          <w:color w:val="000000"/>
          <w:sz w:val="32"/>
          <w:szCs w:val="32"/>
          <w:lang w:val="zh-CN" w:bidi="zh-CN"/>
        </w:rPr>
      </w:pPr>
    </w:p>
    <w:sectPr>
      <w:pgSz w:w="11906" w:h="16838"/>
      <w:pgMar w:top="1383" w:right="1417" w:bottom="127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1027" o:spid="_x0000_s1027"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4wtzDYAAAADQEAAA8AAAAAAAAAAQAgAAAAIgAAAGRy&#10;cy9kb3ducmV2LnhtbFBLAQIUABQAAAAIAIdO4kDnejedzAEAAJsDAAAOAAAAAAAAAAEAIAAAACcB&#10;AABkcnMvZTJvRG9jLnhtbFBLBQYAAAAABgAGAFkBAABlBQAAAAA=&#10;">
          <v:path/>
          <v:fill on="f" focussize="0,0"/>
          <v:stroke on="f" joinstyle="miter"/>
          <v:imagedata o:title=""/>
          <o:lock v:ext="edit"/>
          <v:textbox inset="0mm,0mm,0mm,0mm" style="mso-fit-shape-to-text:t;">
            <w:txbxContent>
              <w:p>
                <w:pPr>
                  <w:pStyle w:val="15"/>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rPr>
                  <w:t xml:space="preserve"> </w:t>
                </w:r>
                <w:r>
                  <w:rPr>
                    <w:rFonts w:ascii="Courier New" w:hAnsi="Courier New" w:eastAsia="Courier New" w:cs="Courier New"/>
                    <w:color w:val="000000"/>
                    <w:sz w:val="24"/>
                    <w:szCs w:val="24"/>
                    <w:lang w:val="en-US" w:eastAsia="en-US" w:bidi="en-US"/>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9049D"/>
    <w:multiLevelType w:val="singleLevel"/>
    <w:tmpl w:val="A5E904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Y3Yzg4OTFkYzI1MGEyYWYzZmViN2M2MmI4YjdlYTMifQ=="/>
  </w:docVars>
  <w:rsids>
    <w:rsidRoot w:val="00FA40C0"/>
    <w:rsid w:val="0019652F"/>
    <w:rsid w:val="004E0863"/>
    <w:rsid w:val="005000FB"/>
    <w:rsid w:val="00745DFA"/>
    <w:rsid w:val="00A44674"/>
    <w:rsid w:val="00E43B0B"/>
    <w:rsid w:val="00FA40C0"/>
    <w:rsid w:val="01543C57"/>
    <w:rsid w:val="04425FE9"/>
    <w:rsid w:val="049329AF"/>
    <w:rsid w:val="06BC19D4"/>
    <w:rsid w:val="06DD4E9F"/>
    <w:rsid w:val="0C4C3AE9"/>
    <w:rsid w:val="0C77765A"/>
    <w:rsid w:val="0C967A01"/>
    <w:rsid w:val="0CE83494"/>
    <w:rsid w:val="0DC108C7"/>
    <w:rsid w:val="10120BD1"/>
    <w:rsid w:val="11744143"/>
    <w:rsid w:val="13F961B9"/>
    <w:rsid w:val="14136F7D"/>
    <w:rsid w:val="15A8039B"/>
    <w:rsid w:val="17280439"/>
    <w:rsid w:val="177C1819"/>
    <w:rsid w:val="17F65611"/>
    <w:rsid w:val="18A230A3"/>
    <w:rsid w:val="18DD6074"/>
    <w:rsid w:val="1A0B2E3F"/>
    <w:rsid w:val="1A9133CF"/>
    <w:rsid w:val="1BA3139C"/>
    <w:rsid w:val="1C0B1F5C"/>
    <w:rsid w:val="1F9D6C76"/>
    <w:rsid w:val="1FDD6465"/>
    <w:rsid w:val="21303941"/>
    <w:rsid w:val="228A52D3"/>
    <w:rsid w:val="22C708C4"/>
    <w:rsid w:val="24650CAD"/>
    <w:rsid w:val="259B61F1"/>
    <w:rsid w:val="27365FFB"/>
    <w:rsid w:val="296C0930"/>
    <w:rsid w:val="2A506E02"/>
    <w:rsid w:val="2A506E2C"/>
    <w:rsid w:val="2AA46AC1"/>
    <w:rsid w:val="2AAE4D9D"/>
    <w:rsid w:val="2CDA089C"/>
    <w:rsid w:val="2F462582"/>
    <w:rsid w:val="2FAE702D"/>
    <w:rsid w:val="30093CDB"/>
    <w:rsid w:val="30C67526"/>
    <w:rsid w:val="33356B95"/>
    <w:rsid w:val="337B2A5D"/>
    <w:rsid w:val="33CB74FA"/>
    <w:rsid w:val="35C27B62"/>
    <w:rsid w:val="35CD3B0F"/>
    <w:rsid w:val="36771D9B"/>
    <w:rsid w:val="36EE1376"/>
    <w:rsid w:val="3A654204"/>
    <w:rsid w:val="3BB32D4D"/>
    <w:rsid w:val="3E80523B"/>
    <w:rsid w:val="40B46DBA"/>
    <w:rsid w:val="40D13092"/>
    <w:rsid w:val="41F32A88"/>
    <w:rsid w:val="436E5EB8"/>
    <w:rsid w:val="437D5D7F"/>
    <w:rsid w:val="43A5238D"/>
    <w:rsid w:val="44AF7660"/>
    <w:rsid w:val="4527305F"/>
    <w:rsid w:val="45F56067"/>
    <w:rsid w:val="476D4362"/>
    <w:rsid w:val="477766D9"/>
    <w:rsid w:val="49892887"/>
    <w:rsid w:val="4A851990"/>
    <w:rsid w:val="4B4C19BE"/>
    <w:rsid w:val="4E2F0959"/>
    <w:rsid w:val="5022399A"/>
    <w:rsid w:val="5034787E"/>
    <w:rsid w:val="51A83C79"/>
    <w:rsid w:val="51F020D5"/>
    <w:rsid w:val="53A720AE"/>
    <w:rsid w:val="53E06252"/>
    <w:rsid w:val="53E53868"/>
    <w:rsid w:val="53F125DB"/>
    <w:rsid w:val="55256612"/>
    <w:rsid w:val="55755470"/>
    <w:rsid w:val="56A51B7C"/>
    <w:rsid w:val="571D7644"/>
    <w:rsid w:val="58086F50"/>
    <w:rsid w:val="5A6C2F58"/>
    <w:rsid w:val="5AAD2470"/>
    <w:rsid w:val="5C1B1F3A"/>
    <w:rsid w:val="5DC310BE"/>
    <w:rsid w:val="5EB92D09"/>
    <w:rsid w:val="5FE10357"/>
    <w:rsid w:val="601B65A9"/>
    <w:rsid w:val="611256A8"/>
    <w:rsid w:val="61AA12D8"/>
    <w:rsid w:val="61D15967"/>
    <w:rsid w:val="62D41677"/>
    <w:rsid w:val="652D7C77"/>
    <w:rsid w:val="656C65EA"/>
    <w:rsid w:val="661B54EF"/>
    <w:rsid w:val="661F0E5C"/>
    <w:rsid w:val="66E37E64"/>
    <w:rsid w:val="6779374A"/>
    <w:rsid w:val="67B55CA0"/>
    <w:rsid w:val="682B1D3A"/>
    <w:rsid w:val="68BF2A6F"/>
    <w:rsid w:val="6D587FEA"/>
    <w:rsid w:val="6E364F94"/>
    <w:rsid w:val="70BB5F76"/>
    <w:rsid w:val="72C619A7"/>
    <w:rsid w:val="72E40307"/>
    <w:rsid w:val="7395275D"/>
    <w:rsid w:val="74A60C5C"/>
    <w:rsid w:val="75A76FC6"/>
    <w:rsid w:val="75BF7C75"/>
    <w:rsid w:val="764C17F9"/>
    <w:rsid w:val="7AE70843"/>
    <w:rsid w:val="7B18614D"/>
    <w:rsid w:val="7CAD0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99"/>
    <w:pPr>
      <w:spacing w:beforeAutospacing="1" w:afterAutospacing="1"/>
      <w:jc w:val="left"/>
    </w:pPr>
    <w:rPr>
      <w:kern w:val="0"/>
      <w:sz w:val="24"/>
    </w:rPr>
  </w:style>
  <w:style w:type="paragraph" w:customStyle="1" w:styleId="8">
    <w:name w:val="Body text|1"/>
    <w:basedOn w:val="1"/>
    <w:qFormat/>
    <w:uiPriority w:val="0"/>
    <w:pPr>
      <w:spacing w:line="408" w:lineRule="auto"/>
      <w:ind w:firstLine="400"/>
    </w:pPr>
    <w:rPr>
      <w:rFonts w:ascii="宋体" w:hAnsi="宋体" w:cs="宋体"/>
      <w:sz w:val="19"/>
      <w:szCs w:val="19"/>
      <w:lang w:val="zh-CN" w:bidi="zh-CN"/>
    </w:rPr>
  </w:style>
  <w:style w:type="paragraph" w:customStyle="1" w:styleId="9">
    <w:name w:val="Body text|3"/>
    <w:basedOn w:val="1"/>
    <w:qFormat/>
    <w:uiPriority w:val="0"/>
    <w:pPr>
      <w:spacing w:before="220" w:after="720"/>
      <w:ind w:firstLine="520"/>
    </w:pPr>
    <w:rPr>
      <w:sz w:val="32"/>
      <w:szCs w:val="32"/>
    </w:rPr>
  </w:style>
  <w:style w:type="paragraph" w:customStyle="1" w:styleId="10">
    <w:name w:val="Other|1"/>
    <w:basedOn w:val="1"/>
    <w:qFormat/>
    <w:uiPriority w:val="0"/>
    <w:pPr>
      <w:spacing w:line="302" w:lineRule="exact"/>
    </w:pPr>
    <w:rPr>
      <w:rFonts w:ascii="宋体" w:hAnsi="宋体" w:cs="宋体"/>
      <w:sz w:val="19"/>
      <w:szCs w:val="19"/>
      <w:lang w:val="zh-CN" w:bidi="zh-CN"/>
    </w:rPr>
  </w:style>
  <w:style w:type="paragraph" w:customStyle="1" w:styleId="11">
    <w:name w:val="Body text|4"/>
    <w:basedOn w:val="1"/>
    <w:qFormat/>
    <w:uiPriority w:val="0"/>
    <w:pPr>
      <w:spacing w:after="60"/>
      <w:ind w:firstLine="320"/>
    </w:pPr>
    <w:rPr>
      <w:rFonts w:ascii="宋体" w:hAnsi="宋体" w:cs="宋体"/>
      <w:lang w:val="zh-CN" w:bidi="zh-CN"/>
    </w:rPr>
  </w:style>
  <w:style w:type="paragraph" w:customStyle="1" w:styleId="12">
    <w:name w:val="Table caption|1"/>
    <w:basedOn w:val="1"/>
    <w:qFormat/>
    <w:uiPriority w:val="0"/>
    <w:pPr>
      <w:spacing w:line="302" w:lineRule="exact"/>
      <w:jc w:val="right"/>
    </w:pPr>
    <w:rPr>
      <w:rFonts w:ascii="宋体" w:hAnsi="宋体" w:cs="宋体"/>
      <w:sz w:val="19"/>
      <w:szCs w:val="19"/>
      <w:lang w:val="zh-CN" w:bidi="zh-CN"/>
    </w:rPr>
  </w:style>
  <w:style w:type="paragraph" w:customStyle="1" w:styleId="13">
    <w:name w:val="Body text|2"/>
    <w:basedOn w:val="1"/>
    <w:qFormat/>
    <w:uiPriority w:val="0"/>
    <w:pPr>
      <w:spacing w:after="470"/>
    </w:pPr>
    <w:rPr>
      <w:b/>
      <w:bCs/>
      <w:sz w:val="19"/>
      <w:szCs w:val="19"/>
      <w:lang w:val="zh-CN" w:bidi="zh-CN"/>
    </w:rPr>
  </w:style>
  <w:style w:type="paragraph" w:customStyle="1" w:styleId="14">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15">
    <w:name w:val="Header or footer|2"/>
    <w:basedOn w:val="1"/>
    <w:qFormat/>
    <w:uiPriority w:val="0"/>
    <w:rPr>
      <w:sz w:val="20"/>
      <w:szCs w:val="20"/>
      <w:lang w:val="zh-CN" w:bidi="zh-CN"/>
    </w:rPr>
  </w:style>
  <w:style w:type="paragraph" w:customStyle="1" w:styleId="1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1262</Words>
  <Characters>7196</Characters>
  <Lines>59</Lines>
  <Paragraphs>16</Paragraphs>
  <TotalTime>1</TotalTime>
  <ScaleCrop>false</ScaleCrop>
  <LinksUpToDate>false</LinksUpToDate>
  <CharactersWithSpaces>8442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2023-07-28T03:34:00Z</dcterms:created>
  <dc:creator>Administrator</dc:creator>
  <cp:lastModifiedBy>棉花糖</cp:lastModifiedBy>
  <dcterms:modified xsi:type="dcterms:W3CDTF">2023-12-18T01:00:05Z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5012A075943246CF9A831A42BF3A5EEA_13</vt:lpwstr>
  </property>
</Properties>
</file>