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9AEB5">
      <w:pPr>
        <w:pStyle w:val="11"/>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bookmarkStart w:id="13" w:name="_GoBack"/>
      <w:bookmarkEnd w:id="13"/>
    </w:p>
    <w:p w14:paraId="09CD817B">
      <w:pPr>
        <w:jc w:val="center"/>
        <w:rPr>
          <w:rFonts w:hint="eastAsia" w:ascii="宋体" w:hAnsi="宋体" w:eastAsia="宋体" w:cs="宋体"/>
          <w:b/>
          <w:bCs/>
          <w:sz w:val="44"/>
          <w:szCs w:val="44"/>
          <w:lang w:val="en-US" w:eastAsia="zh-CN"/>
        </w:rPr>
      </w:pPr>
      <w:bookmarkStart w:id="0" w:name="bookmark90"/>
      <w:bookmarkStart w:id="1" w:name="bookmark88"/>
      <w:bookmarkStart w:id="2" w:name="bookmark89"/>
      <w:r>
        <w:rPr>
          <w:rFonts w:hint="eastAsia" w:ascii="宋体" w:hAnsi="宋体" w:eastAsia="宋体" w:cs="宋体"/>
          <w:b/>
          <w:bCs/>
          <w:sz w:val="44"/>
          <w:szCs w:val="44"/>
          <w:lang w:val="en-US" w:eastAsia="zh-CN"/>
        </w:rPr>
        <w:t>珠晖区文化旅游体育局2022年度整体支出</w:t>
      </w:r>
    </w:p>
    <w:p w14:paraId="015798D0">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绩效报告</w:t>
      </w:r>
      <w:bookmarkEnd w:id="0"/>
      <w:bookmarkEnd w:id="1"/>
      <w:bookmarkEnd w:id="2"/>
    </w:p>
    <w:p w14:paraId="508F6B82">
      <w:pPr>
        <w:jc w:val="both"/>
        <w:rPr>
          <w:rFonts w:hint="eastAsia" w:ascii="仿宋_GB2312" w:hAnsi="仿宋_GB2312" w:eastAsia="仿宋_GB2312" w:cs="仿宋_GB2312"/>
          <w:sz w:val="32"/>
          <w:szCs w:val="32"/>
          <w:lang w:val="en-US" w:eastAsia="zh-CN"/>
        </w:rPr>
      </w:pPr>
    </w:p>
    <w:p w14:paraId="53A4CEBF">
      <w:pPr>
        <w:pStyle w:val="8"/>
        <w:keepNext w:val="0"/>
        <w:keepLines w:val="0"/>
        <w:pageBreakBefore w:val="0"/>
        <w:widowControl w:val="0"/>
        <w:numPr>
          <w:ilvl w:val="0"/>
          <w:numId w:val="1"/>
        </w:numPr>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3" w:name="bookmark92"/>
    </w:p>
    <w:p w14:paraId="5ACD8201">
      <w:pPr>
        <w:ind w:firstLine="640"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bookmarkEnd w:id="3"/>
      <w:r>
        <w:rPr>
          <w:rFonts w:hint="eastAsia" w:ascii="仿宋_GB2312" w:hAnsi="仿宋_GB2312" w:eastAsia="仿宋_GB2312" w:cs="仿宋_GB2312"/>
          <w:color w:val="000000"/>
          <w:spacing w:val="0"/>
          <w:w w:val="100"/>
          <w:position w:val="0"/>
          <w:sz w:val="32"/>
          <w:szCs w:val="32"/>
        </w:rPr>
        <w:t>一）</w:t>
      </w:r>
      <w:r>
        <w:rPr>
          <w:rFonts w:hint="eastAsia" w:ascii="仿宋_GB2312" w:hAnsi="仿宋_GB2312" w:eastAsia="仿宋_GB2312" w:cs="仿宋_GB2312"/>
          <w:color w:val="auto"/>
          <w:spacing w:val="0"/>
          <w:w w:val="100"/>
          <w:position w:val="0"/>
          <w:sz w:val="32"/>
          <w:szCs w:val="32"/>
          <w:lang w:eastAsia="zh-CN"/>
        </w:rPr>
        <w:t>本部门机构由机关本级和</w:t>
      </w:r>
      <w:r>
        <w:rPr>
          <w:rFonts w:hint="eastAsia" w:ascii="仿宋_GB2312" w:hAnsi="仿宋_GB2312" w:eastAsia="仿宋_GB2312" w:cs="仿宋_GB2312"/>
          <w:color w:val="auto"/>
          <w:spacing w:val="0"/>
          <w:w w:val="100"/>
          <w:position w:val="0"/>
          <w:sz w:val="32"/>
          <w:szCs w:val="32"/>
          <w:lang w:val="en-US" w:eastAsia="zh-CN"/>
        </w:rPr>
        <w:t>4个财政拨款事业单位成,2022年度机构编制数为21人,实际在编在岗人数18人,退休6人。</w:t>
      </w:r>
    </w:p>
    <w:p w14:paraId="2D47A4BA">
      <w:pPr>
        <w:pStyle w:val="17"/>
        <w:spacing w:before="0" w:beforeAutospacing="0" w:after="1" w:afterAutospacing="0"/>
        <w:ind w:left="0" w:firstLine="641"/>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lang w:eastAsia="zh-CN"/>
        </w:rPr>
        <w:t>文旅体局的</w:t>
      </w:r>
      <w:r>
        <w:rPr>
          <w:rFonts w:hint="eastAsia" w:ascii="仿宋_GB2312" w:hAnsi="仿宋_GB2312" w:eastAsia="仿宋_GB2312" w:cs="仿宋_GB2312"/>
          <w:color w:val="auto"/>
          <w:kern w:val="0"/>
          <w:sz w:val="32"/>
          <w:szCs w:val="32"/>
        </w:rPr>
        <w:t>主要职责是：</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2"/>
          <w:sz w:val="32"/>
          <w:szCs w:val="32"/>
          <w:lang w:val="en-US" w:eastAsia="zh-CN" w:bidi="ar-SA"/>
        </w:rPr>
        <w:t>指导全区文化、旅游、体育市场发展，拟定实施市场开发战略，负责市场经营行业监管，规范市场经营行为，推进行业信用体系建设；加强市场推广，推进全域旅游。 2、管理全区性文化、旅游、体育重大活动，加强整体形象宣传推广，扩大活动影响力、辐射力，发挥活动示范带动效应。 3、指导艺术创作与艺术生产，扶持体现社会主义核心价值观和具有导向性、代表性、地方性、示范性文化艺术作品，推动各门类艺术发展。 4、协调和指导全区文物保护、管理和利用工作。依法组织协调重大文物违法案件的查处，申报、保护、监督管理世界文化遗产，协同有关部门保护、管理历史文化名城（镇、村、街区）以及传统村落，申报各级文物保护单位。 5、管理全区非物质文化遗产保护，传承优秀民族文化。 6、推进全民健身计划，指导群众性体育活动的开展和群众体育机构的队伍建设，监督实施国家体育锻炼标准，推动国民体质监测和社会体育指导工作队伍制度建设。 7、组织管理体育训练和体育竞赛活动，加强体育后备人才培养和运动员社会保障，指导青少年体育工作。拟定区直文化旅游体育系统人才队伍建设规划并组织实施，组织相关系列专业技术职称评审工作。 8、负责本行业、领域的应急管理工作，对本行业、领域的安全生产工作实施监督管理。 9、指导区直文化旅游体育系统党的建设，完成区委、区政府交办的其他事项。</w:t>
      </w:r>
    </w:p>
    <w:p w14:paraId="147CD9C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2022年重点工作是：</w:t>
      </w:r>
      <w:r>
        <w:rPr>
          <w:rFonts w:hint="eastAsia" w:ascii="仿宋_GB2312" w:hAnsi="仿宋_GB2312" w:eastAsia="仿宋_GB2312" w:cs="仿宋_GB2312"/>
          <w:color w:val="auto"/>
          <w:kern w:val="0"/>
          <w:sz w:val="32"/>
          <w:szCs w:val="32"/>
          <w:lang w:eastAsia="zh-CN"/>
        </w:rPr>
        <w:t>做好图书馆、</w:t>
      </w:r>
      <w:r>
        <w:rPr>
          <w:rFonts w:hint="eastAsia" w:ascii="仿宋_GB2312" w:hAnsi="仿宋_GB2312" w:eastAsia="仿宋_GB2312" w:cs="仿宋_GB2312"/>
          <w:color w:val="auto"/>
          <w:sz w:val="32"/>
          <w:szCs w:val="32"/>
          <w:lang w:val="en-US" w:eastAsia="zh-CN"/>
        </w:rPr>
        <w:t>文化馆免费开放及文化馆评估定级工作。</w:t>
      </w:r>
      <w:r>
        <w:rPr>
          <w:rFonts w:hint="eastAsia" w:ascii="仿宋_GB2312" w:hAnsi="仿宋_GB2312" w:eastAsia="仿宋_GB2312" w:cs="仿宋_GB2312"/>
          <w:b w:val="0"/>
          <w:bCs w:val="0"/>
          <w:sz w:val="32"/>
          <w:szCs w:val="32"/>
          <w:lang w:val="en-US" w:eastAsia="zh-CN"/>
        </w:rPr>
        <w:t>全力做好公共文化服务五年计划，</w:t>
      </w:r>
      <w:r>
        <w:rPr>
          <w:rFonts w:hint="eastAsia" w:ascii="仿宋_GB2312" w:hAnsi="仿宋_GB2312" w:eastAsia="仿宋_GB2312" w:cs="仿宋_GB2312"/>
          <w:sz w:val="32"/>
          <w:szCs w:val="32"/>
          <w:lang w:val="en-US" w:eastAsia="zh-CN"/>
        </w:rPr>
        <w:t>指导各文化站、乡村（社区）综合文化服务中心按照五年计划要求，推进场地标准化建设，完善服务项目，提升活动质量。</w:t>
      </w:r>
      <w:r>
        <w:rPr>
          <w:rFonts w:hint="eastAsia" w:ascii="仿宋_GB2312" w:hAnsi="仿宋_GB2312" w:eastAsia="仿宋_GB2312" w:cs="仿宋_GB2312"/>
          <w:color w:val="auto"/>
          <w:sz w:val="32"/>
          <w:szCs w:val="32"/>
          <w:lang w:val="en-US" w:eastAsia="zh-CN"/>
        </w:rPr>
        <w:t>组织开展“送戏曲下乡”“全民阅读”等群众文化活动，制定全域旅游计划，规范旅游市场，加强旅游宣传推广，制定体育规划，组织体育赛事及全民健身活动等。</w:t>
      </w:r>
    </w:p>
    <w:p w14:paraId="023C3923">
      <w:pPr>
        <w:pStyle w:val="8"/>
        <w:keepNext w:val="0"/>
        <w:keepLines w:val="0"/>
        <w:pageBreakBefore w:val="0"/>
        <w:widowControl w:val="0"/>
        <w:numPr>
          <w:ilvl w:val="0"/>
          <w:numId w:val="2"/>
        </w:numPr>
        <w:shd w:val="clear" w:color="auto" w:fill="auto"/>
        <w:tabs>
          <w:tab w:val="left" w:pos="110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部门整体支出规模、使用方向和主要内容、涉及范围等。</w:t>
      </w:r>
    </w:p>
    <w:p w14:paraId="76AC6237">
      <w:pPr>
        <w:pStyle w:val="8"/>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2022年局本级总收入为</w:t>
      </w:r>
      <w:r>
        <w:rPr>
          <w:rFonts w:hint="eastAsia" w:ascii="仿宋_GB2312" w:hAnsi="仿宋_GB2312" w:eastAsia="仿宋_GB2312" w:cs="仿宋_GB2312"/>
          <w:color w:val="auto"/>
          <w:spacing w:val="0"/>
          <w:w w:val="100"/>
          <w:position w:val="0"/>
          <w:sz w:val="32"/>
          <w:szCs w:val="32"/>
          <w:u w:val="single"/>
          <w:lang w:val="en-US" w:eastAsia="zh-CN"/>
        </w:rPr>
        <w:t>836.28</w:t>
      </w:r>
      <w:r>
        <w:rPr>
          <w:rFonts w:hint="eastAsia" w:ascii="仿宋_GB2312" w:hAnsi="仿宋_GB2312" w:eastAsia="仿宋_GB2312" w:cs="仿宋_GB2312"/>
          <w:color w:val="auto"/>
          <w:spacing w:val="0"/>
          <w:w w:val="100"/>
          <w:position w:val="0"/>
          <w:sz w:val="32"/>
          <w:szCs w:val="32"/>
          <w:lang w:val="en-US" w:eastAsia="zh-CN"/>
        </w:rPr>
        <w:t>万元，其中财政拨款收入</w:t>
      </w:r>
      <w:r>
        <w:rPr>
          <w:rFonts w:hint="eastAsia" w:ascii="仿宋_GB2312" w:hAnsi="仿宋_GB2312" w:eastAsia="仿宋_GB2312" w:cs="仿宋_GB2312"/>
          <w:color w:val="auto"/>
          <w:spacing w:val="0"/>
          <w:w w:val="100"/>
          <w:position w:val="0"/>
          <w:sz w:val="32"/>
          <w:szCs w:val="32"/>
          <w:u w:val="single"/>
          <w:lang w:val="en-US" w:eastAsia="zh-CN"/>
        </w:rPr>
        <w:t>836.28</w:t>
      </w:r>
      <w:r>
        <w:rPr>
          <w:rFonts w:hint="eastAsia" w:ascii="仿宋_GB2312" w:hAnsi="仿宋_GB2312" w:eastAsia="仿宋_GB2312" w:cs="仿宋_GB2312"/>
          <w:color w:val="auto"/>
          <w:spacing w:val="0"/>
          <w:w w:val="100"/>
          <w:position w:val="0"/>
          <w:sz w:val="32"/>
          <w:szCs w:val="32"/>
          <w:lang w:val="en-US" w:eastAsia="zh-CN"/>
        </w:rPr>
        <w:t>万元。总支出为</w:t>
      </w:r>
      <w:r>
        <w:rPr>
          <w:rFonts w:hint="eastAsia" w:ascii="仿宋_GB2312" w:hAnsi="仿宋_GB2312" w:eastAsia="仿宋_GB2312" w:cs="仿宋_GB2312"/>
          <w:color w:val="auto"/>
          <w:kern w:val="0"/>
          <w:sz w:val="32"/>
          <w:szCs w:val="32"/>
          <w:u w:val="single"/>
          <w:lang w:val="en-US" w:eastAsia="zh-CN" w:bidi="ar-SA"/>
        </w:rPr>
        <w:t>836.28</w:t>
      </w:r>
      <w:r>
        <w:rPr>
          <w:rFonts w:hint="eastAsia" w:ascii="仿宋_GB2312" w:hAnsi="仿宋_GB2312" w:eastAsia="仿宋_GB2312" w:cs="仿宋_GB2312"/>
          <w:color w:val="auto"/>
          <w:spacing w:val="0"/>
          <w:w w:val="100"/>
          <w:position w:val="0"/>
          <w:sz w:val="32"/>
          <w:szCs w:val="32"/>
          <w:lang w:val="en-US" w:eastAsia="zh-CN"/>
        </w:rPr>
        <w:t>万元，其中“基本支出”</w:t>
      </w:r>
      <w:r>
        <w:rPr>
          <w:rFonts w:hint="eastAsia" w:ascii="仿宋_GB2312" w:hAnsi="仿宋_GB2312" w:eastAsia="仿宋_GB2312" w:cs="仿宋_GB2312"/>
          <w:color w:val="auto"/>
          <w:kern w:val="0"/>
          <w:sz w:val="32"/>
          <w:szCs w:val="32"/>
          <w:u w:val="single"/>
          <w:lang w:val="en-US" w:eastAsia="zh-CN" w:bidi="ar-SA"/>
        </w:rPr>
        <w:t>309.84万</w:t>
      </w:r>
      <w:r>
        <w:rPr>
          <w:rFonts w:hint="eastAsia" w:ascii="仿宋_GB2312" w:hAnsi="仿宋_GB2312" w:eastAsia="仿宋_GB2312" w:cs="仿宋_GB2312"/>
          <w:color w:val="auto"/>
          <w:spacing w:val="0"/>
          <w:w w:val="100"/>
          <w:position w:val="0"/>
          <w:sz w:val="32"/>
          <w:szCs w:val="32"/>
          <w:lang w:val="en-US" w:eastAsia="zh-CN"/>
        </w:rPr>
        <w:t>元，项目支出</w:t>
      </w:r>
      <w:r>
        <w:rPr>
          <w:rFonts w:hint="eastAsia" w:ascii="仿宋_GB2312" w:hAnsi="仿宋_GB2312" w:eastAsia="仿宋_GB2312" w:cs="仿宋_GB2312"/>
          <w:color w:val="auto"/>
          <w:kern w:val="0"/>
          <w:sz w:val="32"/>
          <w:szCs w:val="32"/>
          <w:u w:val="single"/>
          <w:lang w:val="en-US" w:eastAsia="zh-CN" w:bidi="ar-SA"/>
        </w:rPr>
        <w:t>526.44</w:t>
      </w:r>
      <w:r>
        <w:rPr>
          <w:rFonts w:hint="eastAsia" w:ascii="仿宋_GB2312" w:hAnsi="仿宋_GB2312" w:eastAsia="仿宋_GB2312" w:cs="仿宋_GB2312"/>
          <w:color w:val="auto"/>
          <w:spacing w:val="0"/>
          <w:w w:val="100"/>
          <w:position w:val="0"/>
          <w:sz w:val="32"/>
          <w:szCs w:val="32"/>
          <w:lang w:val="en-US" w:eastAsia="zh-CN"/>
        </w:rPr>
        <w:t>万元。</w:t>
      </w:r>
    </w:p>
    <w:p w14:paraId="236A1BAF">
      <w:pPr>
        <w:pStyle w:val="8"/>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基本支出”核算的主要内容是人员工资、社会保障缴费、临时工工资以及保障机关正常运转、完成日常工作任务而发生的商品和服务支出及其他商品和服务支出。“项目支出”核算内容主要用于:1、保障基地训练正常，满足网球基地运动员训练所需，有效提高运动员竞技水平。2、组织2022年体育赛事，承办和参加省、市级体育赛事，公共体育设施建设。3、加强公共文化服务队伍健设、提升文化服务质量。4、创作文艺精品参加省、市各类群众文艺比赛。5、开展送戏下乡惠民文艺演出，丰富群众文化生活。6、开展文化旅游宣传推广，创建旅游项目品牌建设,承办湖南省旅游节会。7、加大文物保护力度。</w:t>
      </w:r>
    </w:p>
    <w:p w14:paraId="60A2361E">
      <w:pPr>
        <w:pStyle w:val="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4" w:name="bookmark94"/>
      <w:r>
        <w:rPr>
          <w:rFonts w:hint="eastAsia" w:ascii="仿宋_GB2312" w:hAnsi="仿宋_GB2312" w:eastAsia="仿宋_GB2312" w:cs="仿宋_GB2312"/>
          <w:b/>
          <w:bCs/>
          <w:color w:val="000000"/>
          <w:spacing w:val="0"/>
          <w:w w:val="100"/>
          <w:position w:val="0"/>
          <w:sz w:val="32"/>
          <w:szCs w:val="32"/>
        </w:rPr>
        <w:t>二</w:t>
      </w:r>
      <w:bookmarkEnd w:id="4"/>
      <w:r>
        <w:rPr>
          <w:rFonts w:hint="eastAsia" w:ascii="仿宋_GB2312" w:hAnsi="仿宋_GB2312" w:eastAsia="仿宋_GB2312" w:cs="仿宋_GB2312"/>
          <w:b/>
          <w:bCs/>
          <w:color w:val="000000"/>
          <w:spacing w:val="0"/>
          <w:w w:val="100"/>
          <w:position w:val="0"/>
          <w:sz w:val="32"/>
          <w:szCs w:val="32"/>
        </w:rPr>
        <w:t>、部门整体支出管理及使用情况</w:t>
      </w:r>
    </w:p>
    <w:p w14:paraId="136A0BEA">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5" w:name="bookmark95"/>
      <w:r>
        <w:rPr>
          <w:rFonts w:hint="eastAsia" w:ascii="仿宋_GB2312" w:hAnsi="仿宋_GB2312" w:eastAsia="仿宋_GB2312" w:cs="仿宋_GB2312"/>
          <w:color w:val="000000"/>
          <w:spacing w:val="0"/>
          <w:w w:val="100"/>
          <w:position w:val="0"/>
          <w:sz w:val="32"/>
          <w:szCs w:val="32"/>
        </w:rPr>
        <w:t>（</w:t>
      </w:r>
      <w:bookmarkEnd w:id="5"/>
      <w:r>
        <w:rPr>
          <w:rFonts w:hint="eastAsia" w:ascii="仿宋_GB2312" w:hAnsi="仿宋_GB2312" w:eastAsia="仿宋_GB2312" w:cs="仿宋_GB2312"/>
          <w:color w:val="000000"/>
          <w:spacing w:val="0"/>
          <w:w w:val="100"/>
          <w:position w:val="0"/>
          <w:sz w:val="32"/>
          <w:szCs w:val="32"/>
        </w:rPr>
        <w:t>一）基本支出</w:t>
      </w:r>
    </w:p>
    <w:p w14:paraId="501CAD35">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eastAsia="zh-CN"/>
        </w:rPr>
        <w:t>全年</w:t>
      </w:r>
      <w:r>
        <w:rPr>
          <w:rFonts w:hint="eastAsia" w:ascii="仿宋_GB2312" w:hAnsi="仿宋_GB2312" w:eastAsia="仿宋_GB2312" w:cs="仿宋_GB2312"/>
          <w:color w:val="auto"/>
          <w:spacing w:val="0"/>
          <w:w w:val="100"/>
          <w:position w:val="0"/>
          <w:sz w:val="32"/>
          <w:szCs w:val="32"/>
        </w:rPr>
        <w:t>基本支出</w:t>
      </w:r>
      <w:r>
        <w:rPr>
          <w:rFonts w:hint="eastAsia" w:ascii="仿宋_GB2312" w:hAnsi="仿宋_GB2312" w:eastAsia="仿宋_GB2312" w:cs="仿宋_GB2312"/>
          <w:color w:val="auto"/>
          <w:kern w:val="0"/>
          <w:sz w:val="32"/>
          <w:szCs w:val="32"/>
          <w:u w:val="single"/>
          <w:lang w:val="en-US" w:eastAsia="zh-CN" w:bidi="ar-SA"/>
        </w:rPr>
        <w:t>309.84</w:t>
      </w:r>
      <w:r>
        <w:rPr>
          <w:rFonts w:hint="eastAsia" w:ascii="仿宋_GB2312" w:hAnsi="仿宋_GB2312" w:eastAsia="仿宋_GB2312" w:cs="仿宋_GB2312"/>
          <w:color w:val="auto"/>
          <w:spacing w:val="0"/>
          <w:w w:val="100"/>
          <w:position w:val="0"/>
          <w:sz w:val="32"/>
          <w:szCs w:val="32"/>
          <w:lang w:val="en-US" w:eastAsia="zh-CN"/>
        </w:rPr>
        <w:t>万元，全年“基本公用”经费支出</w:t>
      </w:r>
      <w:r>
        <w:rPr>
          <w:rFonts w:hint="eastAsia" w:ascii="仿宋_GB2312" w:hAnsi="仿宋_GB2312" w:eastAsia="仿宋_GB2312" w:cs="仿宋_GB2312"/>
          <w:color w:val="auto"/>
          <w:spacing w:val="0"/>
          <w:w w:val="100"/>
          <w:position w:val="0"/>
          <w:sz w:val="32"/>
          <w:szCs w:val="32"/>
          <w:u w:val="single"/>
          <w:lang w:val="en-US" w:eastAsia="zh-CN"/>
        </w:rPr>
        <w:t>41.22</w:t>
      </w:r>
      <w:r>
        <w:rPr>
          <w:rFonts w:hint="eastAsia" w:ascii="仿宋_GB2312" w:hAnsi="仿宋_GB2312" w:eastAsia="仿宋_GB2312" w:cs="仿宋_GB2312"/>
          <w:color w:val="auto"/>
          <w:spacing w:val="0"/>
          <w:w w:val="100"/>
          <w:position w:val="0"/>
          <w:sz w:val="32"/>
          <w:szCs w:val="32"/>
          <w:lang w:val="en-US" w:eastAsia="zh-CN"/>
        </w:rPr>
        <w:t>万元，其中“三公”经费支出0万元（其中公务接待0万元）。</w:t>
      </w:r>
    </w:p>
    <w:p w14:paraId="3EA96B9A">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在支出管理方面，我们坚决贯彻落实省委省政府关于落实党政机关厉行节约工作的有关精神，严格执行中央“八项规定”的要求，严格控制单位行政运行基本支出，特别是“三公”经费的管理，改进文风会风，加强经费及资产管理，有效地降低了行政成本。</w:t>
      </w:r>
    </w:p>
    <w:p w14:paraId="00D1E14D">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6" w:name="bookmark96"/>
      <w:r>
        <w:rPr>
          <w:rFonts w:hint="eastAsia" w:ascii="仿宋_GB2312" w:hAnsi="仿宋_GB2312" w:eastAsia="仿宋_GB2312" w:cs="仿宋_GB2312"/>
          <w:color w:val="000000"/>
          <w:spacing w:val="0"/>
          <w:w w:val="100"/>
          <w:position w:val="0"/>
          <w:sz w:val="32"/>
          <w:szCs w:val="32"/>
        </w:rPr>
        <w:t>（</w:t>
      </w:r>
      <w:bookmarkEnd w:id="6"/>
      <w:r>
        <w:rPr>
          <w:rFonts w:hint="eastAsia" w:ascii="仿宋_GB2312" w:hAnsi="仿宋_GB2312" w:eastAsia="仿宋_GB2312" w:cs="仿宋_GB2312"/>
          <w:color w:val="000000"/>
          <w:spacing w:val="0"/>
          <w:w w:val="100"/>
          <w:position w:val="0"/>
          <w:sz w:val="32"/>
          <w:szCs w:val="32"/>
        </w:rPr>
        <w:t>二）项目支出</w:t>
      </w:r>
    </w:p>
    <w:p w14:paraId="4C0FAA6D">
      <w:pPr>
        <w:pStyle w:val="8"/>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sz w:val="32"/>
          <w:szCs w:val="32"/>
        </w:rPr>
      </w:pPr>
      <w:bookmarkStart w:id="7" w:name="bookmark97"/>
      <w:bookmarkStart w:id="8" w:name="bookmark100"/>
      <w:r>
        <w:rPr>
          <w:rFonts w:hint="eastAsia" w:ascii="仿宋_GB2312" w:hAnsi="仿宋_GB2312" w:eastAsia="仿宋_GB2312" w:cs="仿宋_GB2312"/>
          <w:b w:val="0"/>
          <w:bCs w:val="0"/>
          <w:color w:val="000000"/>
          <w:spacing w:val="0"/>
          <w:w w:val="100"/>
          <w:position w:val="0"/>
          <w:sz w:val="32"/>
          <w:szCs w:val="32"/>
        </w:rPr>
        <w:t>1</w:t>
      </w:r>
      <w:bookmarkEnd w:id="7"/>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lang w:val="en-US" w:eastAsia="zh-CN"/>
        </w:rPr>
        <w:t>2022年区本级完成各项文化旅游体育专</w:t>
      </w:r>
      <w:r>
        <w:rPr>
          <w:rFonts w:hint="eastAsia" w:ascii="仿宋_GB2312" w:hAnsi="仿宋_GB2312" w:eastAsia="仿宋_GB2312" w:cs="仿宋_GB2312"/>
          <w:color w:val="000000"/>
          <w:spacing w:val="0"/>
          <w:w w:val="100"/>
          <w:position w:val="0"/>
          <w:sz w:val="32"/>
          <w:szCs w:val="32"/>
        </w:rPr>
        <w:t>项</w:t>
      </w:r>
      <w:r>
        <w:rPr>
          <w:rFonts w:hint="eastAsia" w:ascii="仿宋_GB2312" w:hAnsi="仿宋_GB2312" w:eastAsia="仿宋_GB2312" w:cs="仿宋_GB2312"/>
          <w:color w:val="000000"/>
          <w:spacing w:val="0"/>
          <w:w w:val="100"/>
          <w:position w:val="0"/>
          <w:sz w:val="32"/>
          <w:szCs w:val="32"/>
          <w:lang w:eastAsia="zh-CN"/>
        </w:rPr>
        <w:t>工作而开支的项目支出</w:t>
      </w:r>
      <w:r>
        <w:rPr>
          <w:rFonts w:hint="eastAsia" w:ascii="仿宋_GB2312" w:hAnsi="仿宋_GB2312" w:eastAsia="仿宋_GB2312" w:cs="仿宋_GB2312"/>
          <w:color w:val="auto"/>
          <w:kern w:val="0"/>
          <w:sz w:val="32"/>
          <w:szCs w:val="32"/>
          <w:u w:val="single"/>
          <w:lang w:val="en-US" w:eastAsia="zh-CN" w:bidi="ar-SA"/>
        </w:rPr>
        <w:t>526.44</w:t>
      </w:r>
      <w:r>
        <w:rPr>
          <w:rFonts w:hint="eastAsia" w:ascii="仿宋_GB2312" w:hAnsi="仿宋_GB2312" w:eastAsia="仿宋_GB2312" w:cs="仿宋_GB2312"/>
          <w:color w:val="000000"/>
          <w:spacing w:val="0"/>
          <w:w w:val="100"/>
          <w:position w:val="0"/>
          <w:sz w:val="32"/>
          <w:szCs w:val="32"/>
          <w:lang w:val="en-US" w:eastAsia="zh-CN"/>
        </w:rPr>
        <w:t>万元，其中专项经费财政拨款</w:t>
      </w:r>
      <w:r>
        <w:rPr>
          <w:rFonts w:hint="eastAsia" w:ascii="仿宋_GB2312" w:hAnsi="仿宋_GB2312" w:eastAsia="仿宋_GB2312" w:cs="仿宋_GB2312"/>
          <w:color w:val="auto"/>
          <w:kern w:val="0"/>
          <w:sz w:val="32"/>
          <w:szCs w:val="32"/>
          <w:u w:val="single"/>
          <w:lang w:val="en-US" w:eastAsia="zh-CN" w:bidi="ar-SA"/>
        </w:rPr>
        <w:t>526.44</w:t>
      </w:r>
      <w:r>
        <w:rPr>
          <w:rFonts w:hint="eastAsia" w:ascii="仿宋_GB2312" w:hAnsi="仿宋_GB2312" w:eastAsia="仿宋_GB2312" w:cs="仿宋_GB2312"/>
          <w:color w:val="000000"/>
          <w:spacing w:val="0"/>
          <w:w w:val="100"/>
          <w:position w:val="0"/>
          <w:sz w:val="32"/>
          <w:szCs w:val="32"/>
          <w:lang w:val="en-US" w:eastAsia="zh-CN"/>
        </w:rPr>
        <w:t>万元。</w:t>
      </w:r>
    </w:p>
    <w:p w14:paraId="6DA0313A">
      <w:pPr>
        <w:pStyle w:val="8"/>
        <w:keepNext w:val="0"/>
        <w:keepLines w:val="0"/>
        <w:pageBreakBefore w:val="0"/>
        <w:widowControl w:val="0"/>
        <w:shd w:val="clear" w:color="auto" w:fill="auto"/>
        <w:tabs>
          <w:tab w:val="left" w:pos="765"/>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sz w:val="32"/>
          <w:szCs w:val="32"/>
          <w:lang w:val="en-US" w:eastAsia="zh-CN"/>
        </w:rPr>
      </w:pPr>
      <w:bookmarkStart w:id="9" w:name="bookmark98"/>
      <w:r>
        <w:rPr>
          <w:rFonts w:hint="eastAsia" w:ascii="仿宋_GB2312" w:hAnsi="仿宋_GB2312" w:eastAsia="仿宋_GB2312" w:cs="仿宋_GB2312"/>
          <w:b w:val="0"/>
          <w:bCs w:val="0"/>
          <w:color w:val="000000"/>
          <w:spacing w:val="0"/>
          <w:w w:val="100"/>
          <w:position w:val="0"/>
          <w:sz w:val="32"/>
          <w:szCs w:val="32"/>
        </w:rPr>
        <w:t>2</w:t>
      </w:r>
      <w:bookmarkEnd w:id="9"/>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lang w:val="en-US" w:eastAsia="zh-CN"/>
        </w:rPr>
        <w:t>2022年</w:t>
      </w:r>
      <w:r>
        <w:rPr>
          <w:rFonts w:hint="eastAsia" w:ascii="仿宋_GB2312" w:hAnsi="仿宋_GB2312" w:eastAsia="仿宋_GB2312" w:cs="仿宋_GB2312"/>
          <w:color w:val="000000"/>
          <w:spacing w:val="0"/>
          <w:w w:val="100"/>
          <w:position w:val="0"/>
          <w:sz w:val="32"/>
          <w:szCs w:val="32"/>
        </w:rPr>
        <w:t>项目资金</w:t>
      </w:r>
      <w:r>
        <w:rPr>
          <w:rFonts w:hint="eastAsia" w:ascii="仿宋_GB2312" w:hAnsi="仿宋_GB2312" w:eastAsia="仿宋_GB2312" w:cs="仿宋_GB2312"/>
          <w:color w:val="000000"/>
          <w:spacing w:val="0"/>
          <w:w w:val="100"/>
          <w:position w:val="0"/>
          <w:sz w:val="32"/>
          <w:szCs w:val="32"/>
          <w:lang w:eastAsia="zh-CN"/>
        </w:rPr>
        <w:t>支出项目有：</w:t>
      </w:r>
      <w:r>
        <w:rPr>
          <w:rFonts w:hint="eastAsia" w:ascii="仿宋_GB2312" w:hAnsi="仿宋_GB2312" w:eastAsia="仿宋_GB2312" w:cs="仿宋_GB2312"/>
          <w:color w:val="000000"/>
          <w:spacing w:val="0"/>
          <w:w w:val="100"/>
          <w:position w:val="0"/>
          <w:sz w:val="32"/>
          <w:szCs w:val="32"/>
          <w:lang w:val="en-US" w:eastAsia="zh-CN"/>
        </w:rPr>
        <w:t>“一品一县”实验小学网球基地专项训练经费20万元,用于保障体育训练正常开展；“送戏下乡”、“广场旬旬演”“非遗进社区”“4.23读书活动”“群众春晚”等群众文化活动经费17.58万元；乡镇文化站建设经费14万元；旅游宣传推广12.75万元；旅游品牌建设10万元；旅游奖补17万元；2022年湖南“红色旅游节会”275.61万元；十四运会网球训练、参赛费40.67万元；“三大球”及羽毛球赛事活动15万元；文物保护及“三甲总工校”修缮97.88万元；一区一特东州岛展销基地尾款5.95万元；</w:t>
      </w:r>
    </w:p>
    <w:p w14:paraId="768A703C">
      <w:pPr>
        <w:ind w:firstLine="660"/>
        <w:rPr>
          <w:rFonts w:hint="eastAsia" w:ascii="仿宋_GB2312" w:hAnsi="仿宋_GB2312" w:eastAsia="仿宋_GB2312" w:cs="仿宋_GB2312"/>
          <w:sz w:val="32"/>
          <w:szCs w:val="32"/>
          <w:lang w:val="en-US" w:eastAsia="zh-CN"/>
        </w:rPr>
      </w:pPr>
      <w:bookmarkStart w:id="10" w:name="bookmark99"/>
      <w:r>
        <w:rPr>
          <w:rFonts w:hint="eastAsia" w:ascii="仿宋_GB2312" w:hAnsi="仿宋_GB2312" w:eastAsia="仿宋_GB2312" w:cs="仿宋_GB2312"/>
          <w:b w:val="0"/>
          <w:bCs w:val="0"/>
          <w:color w:val="000000"/>
          <w:spacing w:val="0"/>
          <w:w w:val="100"/>
          <w:position w:val="0"/>
          <w:sz w:val="32"/>
          <w:szCs w:val="32"/>
        </w:rPr>
        <w:t>3</w:t>
      </w:r>
      <w:bookmarkEnd w:id="10"/>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项目资金管理情况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项目资金的管理严格执行《湖南省基层公共文化服务设施建设专项资金管理办法》等各项专项资金管理制度，坚持专款专用、追踪问效和绩效评价的原则，禁止任何单位和个人滞留、截留、挪用和挤占。</w:t>
      </w:r>
      <w:r>
        <w:rPr>
          <w:rFonts w:hint="eastAsia" w:ascii="仿宋_GB2312" w:hAnsi="仿宋_GB2312" w:eastAsia="仿宋_GB2312" w:cs="仿宋_GB2312"/>
          <w:color w:val="000000"/>
          <w:spacing w:val="0"/>
          <w:w w:val="100"/>
          <w:position w:val="0"/>
          <w:sz w:val="32"/>
          <w:szCs w:val="32"/>
          <w:lang w:eastAsia="zh-CN"/>
        </w:rPr>
        <w:t>为进一步加强机关财务管理，我局制定了《珠晖区文旅游体局项目支出管理制度》、《局机关内部控制基本制度》、《珠晖区文旅体局机关财务管理办法》、《公务接待制度》，对单位行政运行、内部控制、会议、差旅、培训等按政策新规进行了修订和细化，形成了比较完善系统的内部管理控制体系，基本得到有效执行。</w:t>
      </w:r>
    </w:p>
    <w:p w14:paraId="358A6FC4">
      <w:pPr>
        <w:pStyle w:val="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三</w:t>
      </w:r>
      <w:bookmarkEnd w:id="8"/>
      <w:r>
        <w:rPr>
          <w:rFonts w:hint="eastAsia" w:ascii="仿宋_GB2312" w:hAnsi="仿宋_GB2312" w:eastAsia="仿宋_GB2312" w:cs="仿宋_GB2312"/>
          <w:b/>
          <w:bCs/>
          <w:color w:val="000000"/>
          <w:spacing w:val="0"/>
          <w:w w:val="100"/>
          <w:position w:val="0"/>
          <w:sz w:val="32"/>
          <w:szCs w:val="32"/>
        </w:rPr>
        <w:t>、部门项目组织实施情况</w:t>
      </w:r>
    </w:p>
    <w:p w14:paraId="4EBC40CA">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（一）项目组织情况分析</w:t>
      </w:r>
    </w:p>
    <w:p w14:paraId="64311C7A">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一是明确职责。明确</w:t>
      </w:r>
      <w:r>
        <w:rPr>
          <w:rFonts w:hint="eastAsia" w:ascii="仿宋_GB2312" w:hAnsi="仿宋_GB2312" w:eastAsia="仿宋_GB2312" w:cs="仿宋_GB2312"/>
          <w:sz w:val="32"/>
          <w:szCs w:val="32"/>
          <w:lang w:eastAsia="zh-CN"/>
        </w:rPr>
        <w:t>珠晖区文化旅游体育局</w:t>
      </w:r>
      <w:r>
        <w:rPr>
          <w:rFonts w:hint="eastAsia" w:ascii="仿宋_GB2312" w:hAnsi="仿宋_GB2312" w:eastAsia="仿宋_GB2312" w:cs="仿宋_GB2312"/>
          <w:sz w:val="32"/>
          <w:szCs w:val="32"/>
        </w:rPr>
        <w:t>是项目建设和管理的责任主体，</w:t>
      </w:r>
      <w:r>
        <w:rPr>
          <w:rFonts w:hint="eastAsia" w:ascii="仿宋_GB2312" w:hAnsi="仿宋_GB2312" w:eastAsia="仿宋_GB2312" w:cs="仿宋_GB2312"/>
          <w:sz w:val="32"/>
          <w:szCs w:val="32"/>
          <w:lang w:eastAsia="zh-CN"/>
        </w:rPr>
        <w:t>各乡镇街道文化站、村级文化活动（室）</w:t>
      </w:r>
      <w:r>
        <w:rPr>
          <w:rFonts w:hint="eastAsia" w:ascii="仿宋_GB2312" w:hAnsi="仿宋_GB2312" w:eastAsia="仿宋_GB2312" w:cs="仿宋_GB2312"/>
          <w:sz w:val="32"/>
          <w:szCs w:val="32"/>
        </w:rPr>
        <w:t>等相关部门按各自职责开展工作，层层签订责任状，明确责任与目标任务；二是开展可行性调研论证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广泛征求</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、街道及居</w:t>
      </w:r>
      <w:r>
        <w:rPr>
          <w:rFonts w:hint="eastAsia" w:ascii="仿宋_GB2312" w:hAnsi="仿宋_GB2312" w:eastAsia="仿宋_GB2312" w:cs="仿宋_GB2312"/>
          <w:sz w:val="32"/>
          <w:szCs w:val="32"/>
        </w:rPr>
        <w:t>民意见，引导群众参与和监督；三是按要求组织</w:t>
      </w:r>
      <w:r>
        <w:rPr>
          <w:rFonts w:hint="eastAsia" w:ascii="仿宋_GB2312" w:hAnsi="仿宋_GB2312" w:eastAsia="仿宋_GB2312" w:cs="仿宋_GB2312"/>
          <w:sz w:val="32"/>
          <w:szCs w:val="32"/>
          <w:lang w:eastAsia="zh-CN"/>
        </w:rPr>
        <w:t>招投标工作开展。四是</w:t>
      </w:r>
      <w:r>
        <w:rPr>
          <w:rFonts w:hint="eastAsia" w:ascii="仿宋_GB2312" w:hAnsi="仿宋_GB2312" w:eastAsia="仿宋_GB2312" w:cs="仿宋_GB2312"/>
          <w:sz w:val="32"/>
          <w:szCs w:val="32"/>
        </w:rPr>
        <w:t>项目完工后，</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单位组织</w:t>
      </w:r>
      <w:r>
        <w:rPr>
          <w:rFonts w:hint="eastAsia" w:ascii="仿宋_GB2312" w:hAnsi="仿宋_GB2312" w:eastAsia="仿宋_GB2312" w:cs="仿宋_GB2312"/>
          <w:sz w:val="32"/>
          <w:szCs w:val="32"/>
          <w:lang w:eastAsia="zh-CN"/>
        </w:rPr>
        <w:t>专业机构</w:t>
      </w:r>
      <w:r>
        <w:rPr>
          <w:rFonts w:hint="eastAsia" w:ascii="仿宋_GB2312" w:hAnsi="仿宋_GB2312" w:eastAsia="仿宋_GB2312" w:cs="仿宋_GB2312"/>
          <w:sz w:val="32"/>
          <w:szCs w:val="32"/>
        </w:rPr>
        <w:t>对项目进行验收，组织开展审计，将审计结果作为项目结算依据；</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是妥善保管资料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对项目设计、申报、验收等相关资料及时整理，并归档保管。</w:t>
      </w:r>
    </w:p>
    <w:p w14:paraId="1E14ED9E">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（二）项目管理情况分析</w:t>
      </w:r>
    </w:p>
    <w:p w14:paraId="07D8EEA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sz w:val="32"/>
          <w:szCs w:val="32"/>
        </w:rPr>
        <w:t>加强管理</w:t>
      </w:r>
      <w:r>
        <w:rPr>
          <w:rFonts w:hint="eastAsia" w:ascii="仿宋_GB2312" w:hAnsi="仿宋_GB2312" w:eastAsia="仿宋_GB2312" w:cs="仿宋_GB2312"/>
          <w:sz w:val="32"/>
          <w:szCs w:val="32"/>
          <w:lang w:eastAsia="zh-CN"/>
        </w:rPr>
        <w:t>，项目主体</w:t>
      </w:r>
      <w:r>
        <w:rPr>
          <w:rFonts w:hint="eastAsia" w:ascii="仿宋_GB2312" w:hAnsi="仿宋_GB2312" w:eastAsia="仿宋_GB2312" w:cs="仿宋_GB2312"/>
          <w:sz w:val="32"/>
          <w:szCs w:val="32"/>
        </w:rPr>
        <w:t>单位聘请专业机构对项目进行</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计，并提交申报资料，对不符合质量要求的责令及时整改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同时，安排专人现场监督项目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实施程序基本规范，符合相关要求。</w:t>
      </w:r>
    </w:p>
    <w:p w14:paraId="30644F4E">
      <w:pPr>
        <w:pStyle w:val="8"/>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bookmarkStart w:id="11" w:name="bookmark101"/>
      <w:r>
        <w:rPr>
          <w:rFonts w:hint="eastAsia" w:ascii="仿宋_GB2312" w:hAnsi="仿宋_GB2312" w:eastAsia="仿宋_GB2312" w:cs="仿宋_GB2312"/>
          <w:b/>
          <w:bCs/>
          <w:color w:val="000000"/>
          <w:spacing w:val="0"/>
          <w:w w:val="100"/>
          <w:position w:val="0"/>
          <w:sz w:val="32"/>
          <w:szCs w:val="32"/>
        </w:rPr>
        <w:t>四</w:t>
      </w:r>
      <w:bookmarkEnd w:id="11"/>
      <w:r>
        <w:rPr>
          <w:rFonts w:hint="eastAsia" w:ascii="仿宋_GB2312" w:hAnsi="仿宋_GB2312" w:eastAsia="仿宋_GB2312" w:cs="仿宋_GB2312"/>
          <w:b/>
          <w:bCs/>
          <w:color w:val="000000"/>
          <w:spacing w:val="0"/>
          <w:w w:val="100"/>
          <w:position w:val="0"/>
          <w:sz w:val="32"/>
          <w:szCs w:val="32"/>
        </w:rPr>
        <w:t>、资产管理情况</w:t>
      </w:r>
    </w:p>
    <w:p w14:paraId="159371C5">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2" w:name="bookmark102"/>
      <w:r>
        <w:rPr>
          <w:rFonts w:hint="eastAsia" w:ascii="仿宋_GB2312" w:hAnsi="仿宋_GB2312" w:eastAsia="仿宋_GB2312" w:cs="仿宋_GB2312"/>
          <w:color w:val="000000"/>
          <w:spacing w:val="0"/>
          <w:w w:val="100"/>
          <w:position w:val="0"/>
          <w:sz w:val="32"/>
          <w:szCs w:val="32"/>
          <w:lang w:eastAsia="zh-CN"/>
        </w:rPr>
        <w:t>制定了资产管理办法，对资产申购、采购、分配、保管、处置以及责任赔偿等细则进行规定，资产配置按照“合法依规、保障需要、节约开支、从严控制、调剂优先、共享共用”的原则，严格执行《湖南省省级行政事业单位国有资产处置管理办法</w:t>
      </w:r>
      <w:r>
        <w:rPr>
          <w:rFonts w:hint="eastAsia" w:ascii="仿宋_GB2312" w:hAnsi="仿宋_GB2312" w:eastAsia="仿宋_GB2312" w:cs="仿宋_GB2312"/>
          <w:color w:val="000000"/>
          <w:spacing w:val="0"/>
          <w:w w:val="100"/>
          <w:position w:val="0"/>
          <w:sz w:val="32"/>
          <w:szCs w:val="32"/>
          <w:lang w:val="en-US" w:eastAsia="zh-CN"/>
        </w:rPr>
        <w:t>》的通知有关规定，完善了资产申购审批程序，确定了购置标准。凡是符合政府采购要求的资产及物品均按政府采购程序进行采购。同时，加强资产的管理，组织各部门定期对所属的固定资产进行清理，明确相应的责任人。</w:t>
      </w:r>
    </w:p>
    <w:bookmarkEnd w:id="12"/>
    <w:p w14:paraId="027E9210">
      <w:pPr>
        <w:pStyle w:val="8"/>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部门整体支出绩效情况</w:t>
      </w:r>
    </w:p>
    <w:p w14:paraId="2E0D6869">
      <w:pPr>
        <w:ind w:firstLine="640" w:firstLineChars="200"/>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绩珠晖区文化旅游体育局的工作效主要是社会效益，表现在以下方面：</w:t>
      </w:r>
    </w:p>
    <w:p w14:paraId="69976DE8">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（一）</w:t>
      </w:r>
      <w:r>
        <w:rPr>
          <w:rFonts w:hint="eastAsia" w:ascii="仿宋_GB2312" w:hAnsi="仿宋_GB2312" w:eastAsia="仿宋_GB2312" w:cs="仿宋_GB2312"/>
          <w:b/>
          <w:bCs/>
          <w:color w:val="000000"/>
          <w:spacing w:val="0"/>
          <w:w w:val="100"/>
          <w:kern w:val="2"/>
          <w:position w:val="0"/>
          <w:sz w:val="32"/>
          <w:szCs w:val="32"/>
          <w:u w:val="none"/>
          <w:shd w:val="clear" w:color="auto" w:fill="auto"/>
          <w:lang w:val="en-US" w:eastAsia="zh-CN" w:bidi="zh-CN"/>
        </w:rPr>
        <w:t>全面开展群众文化活动，常态化开展文化惠民</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通过购买服务，邀请区内地方特色戏曲演出团体，在辖区各乡镇开展“送戏下乡”16场，文艺演出2场。开设免费培训班3个，分别为书法、美术和戏曲培训班，参加培训人次210余人。图书馆开展“我们的节日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春节”、</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“2022年珠晖区新时代文明实践——喜迎冬奥会，建设副中心，春联送祝福，欢乐过大年”、“喜迎二十大·宣传二十大”珠晖区第三届美文经典诵读比赛等读书阅读推广活动5场。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努力创作文艺精品，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结合珠晖人文特色，创作歌曲《珠晖你我他》，参加市级比赛，成绩突出，并代表衡阳市参加省级比赛。</w:t>
      </w:r>
    </w:p>
    <w:p w14:paraId="235AAAA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spacing w:val="0"/>
          <w:w w:val="100"/>
          <w:position w:val="0"/>
          <w:sz w:val="32"/>
          <w:szCs w:val="32"/>
          <w:lang w:eastAsia="zh-CN"/>
        </w:rPr>
        <w:t>（二）</w:t>
      </w:r>
      <w:r>
        <w:rPr>
          <w:rFonts w:hint="eastAsia" w:ascii="楷体_GB2312" w:hAnsi="楷体_GB2312" w:eastAsia="楷体_GB2312" w:cs="楷体_GB2312"/>
          <w:b/>
          <w:bCs/>
          <w:sz w:val="32"/>
          <w:szCs w:val="32"/>
          <w:lang w:val="en-US" w:eastAsia="zh-CN"/>
        </w:rPr>
        <w:t>传承文化遗产，保护文物建筑。</w:t>
      </w:r>
      <w:r>
        <w:rPr>
          <w:rFonts w:hint="eastAsia" w:ascii="仿宋_GB2312" w:hAnsi="仿宋_GB2312" w:eastAsia="仿宋_GB2312" w:cs="仿宋_GB2312"/>
          <w:sz w:val="32"/>
          <w:szCs w:val="32"/>
          <w:lang w:val="en-US" w:eastAsia="zh-CN"/>
        </w:rPr>
        <w:t>通过个人（单位）申报、专家评审、会议认定等程序，雁峰酒业成功申报为非遗工坊；挖掘非遗传统项目三个（消结节水泛丸、锦灰堆传统制作技艺、草鱼丸子传统制作技艺），上报区政府审批。</w:t>
      </w:r>
      <w:r>
        <w:rPr>
          <w:rFonts w:hint="eastAsia" w:ascii="仿宋_GB2312" w:hAnsi="仿宋_GB2312" w:eastAsia="仿宋_GB2312" w:cs="仿宋_GB2312"/>
          <w:b w:val="0"/>
          <w:bCs w:val="0"/>
          <w:sz w:val="32"/>
          <w:szCs w:val="32"/>
          <w:lang w:val="en-US" w:eastAsia="zh-CN"/>
        </w:rPr>
        <w:t>做好文物保护工作。积极申请文物资金近2000万，先后对珠晖塔、湖南三甲种工业学校旧址、建湘柴油机械厂等文物进行修缮。下步将再次与省文物部门对接，拟争取珠晖塔、三甲种工校等文物点的专项经费，用于文物本体的防雷工程和三甲种工校的陈列布展。</w:t>
      </w:r>
    </w:p>
    <w:p w14:paraId="04F550C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lang w:val="en-US" w:eastAsia="zh-CN"/>
        </w:rPr>
        <w:t>创建旅游品牌，促进旅游发展。</w:t>
      </w:r>
      <w:r>
        <w:rPr>
          <w:rFonts w:hint="eastAsia" w:ascii="仿宋_GB2312" w:hAnsi="仿宋_GB2312" w:eastAsia="仿宋_GB2312" w:cs="仿宋_GB2312"/>
          <w:sz w:val="32"/>
          <w:szCs w:val="32"/>
        </w:rPr>
        <w:t>全年旅游接待国内外游客239.2809万人次，同比增长-11.99%，实现旅游综合收入24.6146亿元，同比增长-12.２9%。</w:t>
      </w:r>
      <w:r>
        <w:rPr>
          <w:rFonts w:hint="eastAsia" w:ascii="仿宋_GB2312" w:hAnsi="仿宋_GB2312" w:eastAsia="仿宋_GB2312" w:cs="仿宋_GB2312"/>
          <w:sz w:val="32"/>
          <w:szCs w:val="32"/>
          <w:lang w:val="en-US" w:eastAsia="zh-CN"/>
        </w:rPr>
        <w:t>建湘工业艺术园获评级工业旅游示范点。</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kern w:val="2"/>
          <w:sz w:val="32"/>
          <w:szCs w:val="32"/>
          <w:lang w:val="en-US" w:eastAsia="zh-CN" w:bidi="ar-SA"/>
        </w:rPr>
        <w:t>加强宣传推介，塑造旅游品牌。</w:t>
      </w:r>
      <w:r>
        <w:rPr>
          <w:rFonts w:hint="eastAsia" w:ascii="仿宋_GB2312" w:hAnsi="仿宋_GB2312" w:eastAsia="仿宋_GB2312" w:cs="仿宋_GB2312"/>
          <w:kern w:val="2"/>
          <w:sz w:val="32"/>
          <w:szCs w:val="32"/>
          <w:lang w:val="en-US" w:eastAsia="zh-CN" w:bidi="ar-SA"/>
        </w:rPr>
        <w:t>成功举办2022湖南红色旅游文化节，红色旅游文化节以“伟人故里、红遍湘南、青春珠晖”为主题，进一步促进全省特别是湘南地区红色文旅产业高质量发展；通过“政府主导、企业参与”的方式组织策划并成功举办了“金甲梨园踏春季——衡阳人游衡阳”活动，同时鼓励企业自主举办各类大小节庆活动；大力发挥“珠晖旅游”公众号宣传作用，</w:t>
      </w:r>
      <w:r>
        <w:rPr>
          <w:rFonts w:hint="eastAsia" w:ascii="仿宋_GB2312" w:hAnsi="仿宋_GB2312" w:eastAsia="仿宋_GB2312" w:cs="仿宋_GB2312"/>
          <w:sz w:val="32"/>
          <w:szCs w:val="32"/>
          <w:lang w:val="en-US" w:eastAsia="zh-CN"/>
        </w:rPr>
        <w:t>截至目前为止，“珠晖旅游”微信公众号共发布宣传文章400余篇，总阅读量53198条。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kern w:val="2"/>
          <w:sz w:val="32"/>
          <w:szCs w:val="32"/>
          <w:lang w:val="en-US" w:eastAsia="zh-CN" w:bidi="ar-SA"/>
        </w:rPr>
        <w:t>推进项目建设，促进旅游行业高质量发展。</w:t>
      </w:r>
      <w:r>
        <w:rPr>
          <w:rFonts w:hint="eastAsia" w:ascii="仿宋_GB2312" w:hAnsi="仿宋_GB2312" w:eastAsia="仿宋_GB2312" w:cs="仿宋_GB2312"/>
          <w:sz w:val="32"/>
          <w:szCs w:val="32"/>
          <w:lang w:val="en-US" w:eastAsia="zh-CN"/>
        </w:rPr>
        <w:t>在推动中国大雁文化园、力丰现代农业体验园、衡州酒文化博览园、建湘工业艺术园和铁路博物馆等项目建设的基础上，新增</w:t>
      </w:r>
      <w:r>
        <w:rPr>
          <w:rFonts w:hint="eastAsia" w:ascii="仿宋_GB2312" w:hAnsi="仿宋_GB2312" w:eastAsia="仿宋_GB2312" w:cs="仿宋_GB2312"/>
          <w:sz w:val="32"/>
          <w:szCs w:val="32"/>
        </w:rPr>
        <w:t>金甲梅花鹿园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金甲鹿莊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金甲鹿园</w:t>
      </w:r>
      <w:r>
        <w:rPr>
          <w:rFonts w:hint="eastAsia" w:ascii="仿宋_GB2312" w:hAnsi="仿宋_GB2312" w:eastAsia="仿宋_GB2312" w:cs="仿宋_GB2312"/>
          <w:sz w:val="32"/>
          <w:szCs w:val="32"/>
          <w:lang w:eastAsia="zh-CN"/>
        </w:rPr>
        <w:t>等项目，</w:t>
      </w:r>
      <w:r>
        <w:rPr>
          <w:rFonts w:hint="eastAsia" w:ascii="仿宋_GB2312" w:hAnsi="仿宋_GB2312" w:eastAsia="仿宋_GB2312" w:cs="仿宋_GB2312"/>
          <w:sz w:val="32"/>
          <w:szCs w:val="32"/>
          <w:lang w:val="en-US" w:eastAsia="zh-CN"/>
        </w:rPr>
        <w:t>充分发挥“旅游+”效能，打造珠晖旅游新特色。</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kern w:val="2"/>
          <w:sz w:val="32"/>
          <w:szCs w:val="32"/>
          <w:lang w:val="en-US" w:eastAsia="zh-CN" w:bidi="ar-SA"/>
        </w:rPr>
        <w:t>加强行业指导，促进旅游行业服务质量全面提升。</w:t>
      </w:r>
      <w:r>
        <w:rPr>
          <w:rFonts w:hint="eastAsia" w:ascii="仿宋_GB2312" w:hAnsi="仿宋_GB2312" w:eastAsia="仿宋_GB2312" w:cs="仿宋_GB2312"/>
          <w:sz w:val="32"/>
          <w:szCs w:val="32"/>
          <w:lang w:val="en-US" w:eastAsia="zh-CN"/>
        </w:rPr>
        <w:t>组织湘江宾馆等星级酒店参加2022年全省旅游饭店职业技能大赛，湘江宾馆荣获前台接待项目单项个人奖二等奖和优秀教练奖；指导</w:t>
      </w:r>
      <w:r>
        <w:rPr>
          <w:rFonts w:hint="eastAsia" w:ascii="仿宋" w:hAnsi="仿宋" w:eastAsia="仿宋" w:cs="仿宋"/>
          <w:sz w:val="32"/>
          <w:szCs w:val="32"/>
          <w:lang w:val="en-US" w:eastAsia="zh-CN"/>
        </w:rPr>
        <w:t>双水湾景区雁园民宿参评五星级旅游民宿、水师山庄拟评定为四星级旅游民宿。</w:t>
      </w:r>
    </w:p>
    <w:p w14:paraId="1D9EA8E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lang w:val="en-US" w:eastAsia="zh-CN"/>
        </w:rPr>
        <w:t>贯彻全民健身要求，丰富体育赛事活动开展</w:t>
      </w:r>
    </w:p>
    <w:p w14:paraId="05C050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一是认真组织全区体育场地调查。</w:t>
      </w:r>
      <w:r>
        <w:rPr>
          <w:rFonts w:hint="eastAsia" w:ascii="仿宋_GB2312" w:hAnsi="仿宋_GB2312" w:eastAsia="仿宋_GB2312" w:cs="仿宋_GB2312"/>
          <w:sz w:val="32"/>
          <w:szCs w:val="32"/>
          <w:lang w:val="en-US" w:eastAsia="zh-CN"/>
        </w:rPr>
        <w:t>全区常驻人口43.35万</w:t>
      </w:r>
      <w:r>
        <w:rPr>
          <w:rFonts w:hint="eastAsia" w:ascii="仿宋_GB2312" w:hAnsi="仿宋_GB2312" w:eastAsia="仿宋_GB2312" w:cs="仿宋_GB2312"/>
          <w:sz w:val="32"/>
          <w:szCs w:val="32"/>
          <w:lang w:val="en-US" w:eastAsia="zh-Hans"/>
        </w:rPr>
        <w:t>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共有体育场数量440个，体育馆数量8个，体育公园1个，乡镇数量4个拥有体育场地的乡镇数量达100%，街道7个拥有体育设施的场地达100%，行政村32个拥有体育设施的行政村30个百分比为93.75%，社区数量45个拥有体育设施达100%。同时争取上级资金，对珠晖区实验小学网球基地进行改造升级。</w:t>
      </w:r>
      <w:r>
        <w:rPr>
          <w:rFonts w:hint="eastAsia" w:ascii="仿宋_GB2312" w:hAnsi="仿宋_GB2312" w:eastAsia="仿宋_GB2312" w:cs="仿宋_GB2312"/>
          <w:b/>
          <w:bCs/>
          <w:sz w:val="32"/>
          <w:szCs w:val="32"/>
          <w:lang w:val="en-US" w:eastAsia="zh-CN"/>
        </w:rPr>
        <w:t>二是做好户外体育健身器材维修。</w:t>
      </w:r>
      <w:r>
        <w:rPr>
          <w:rFonts w:hint="eastAsia" w:ascii="仿宋_GB2312" w:hAnsi="仿宋_GB2312" w:eastAsia="仿宋_GB2312" w:cs="仿宋_GB2312"/>
          <w:sz w:val="32"/>
          <w:szCs w:val="32"/>
          <w:lang w:val="en-US" w:eastAsia="zh-CN"/>
        </w:rPr>
        <w:t>今年对东阳、广东路、粤汉、冶金、东风路、苗圃等6个街道的全民健身器材进行了维修，金额10万元。</w:t>
      </w:r>
      <w:r>
        <w:rPr>
          <w:rFonts w:hint="eastAsia" w:ascii="仿宋_GB2312" w:hAnsi="仿宋_GB2312" w:eastAsia="仿宋_GB2312" w:cs="仿宋_GB2312"/>
          <w:b/>
          <w:bCs/>
          <w:sz w:val="32"/>
          <w:szCs w:val="32"/>
          <w:lang w:val="en-US" w:eastAsia="zh-CN"/>
        </w:rPr>
        <w:t>三是全面开展群众体育活动。</w:t>
      </w:r>
      <w:r>
        <w:rPr>
          <w:rFonts w:hint="eastAsia" w:ascii="仿宋_GB2312" w:hAnsi="仿宋_GB2312" w:eastAsia="仿宋_GB2312" w:cs="仿宋_GB2312"/>
          <w:sz w:val="32"/>
          <w:szCs w:val="32"/>
          <w:lang w:val="en-US" w:eastAsia="zh-CN"/>
        </w:rPr>
        <w:t>举办了衡阳市珠晖区太极拳表演赛，2022年“开路先锋杯”珠晖区男子篮球赛。5月份组织队伍参加了衡阳市第三届“三大球”联赛气排球联赛（县市区赛），我区选派4支队伍参加比赛，获得了男子青年队冠军、女子青年队冠军，男子中年队亚军和女子中年队季军。11月组织开展珠晖区男子篮球邀请赛。</w:t>
      </w:r>
      <w:r>
        <w:rPr>
          <w:rFonts w:hint="eastAsia" w:ascii="仿宋_GB2312" w:hAnsi="仿宋_GB2312" w:eastAsia="仿宋_GB2312" w:cs="仿宋_GB2312"/>
          <w:b/>
          <w:bCs/>
          <w:sz w:val="32"/>
          <w:szCs w:val="32"/>
          <w:lang w:val="en-US" w:eastAsia="zh-CN"/>
        </w:rPr>
        <w:t>四是组织和参加</w:t>
      </w:r>
      <w:r>
        <w:rPr>
          <w:rFonts w:hint="eastAsia" w:ascii="仿宋_GB2312" w:hAnsi="仿宋_GB2312" w:eastAsia="仿宋_GB2312" w:cs="仿宋_GB2312"/>
          <w:b/>
          <w:bCs/>
          <w:sz w:val="32"/>
          <w:szCs w:val="32"/>
          <w:lang w:val="en-US" w:eastAsia="zh-Hans"/>
        </w:rPr>
        <w:t>竞技</w:t>
      </w:r>
      <w:r>
        <w:rPr>
          <w:rFonts w:hint="eastAsia" w:ascii="仿宋_GB2312" w:hAnsi="仿宋_GB2312" w:eastAsia="仿宋_GB2312" w:cs="仿宋_GB2312"/>
          <w:b/>
          <w:bCs/>
          <w:sz w:val="32"/>
          <w:szCs w:val="32"/>
          <w:lang w:val="en-US" w:eastAsia="zh-CN"/>
        </w:rPr>
        <w:t>体育赛事。</w:t>
      </w:r>
      <w:r>
        <w:rPr>
          <w:rFonts w:hint="eastAsia" w:ascii="仿宋_GB2312" w:hAnsi="仿宋_GB2312" w:eastAsia="仿宋_GB2312" w:cs="仿宋_GB2312"/>
          <w:sz w:val="32"/>
          <w:szCs w:val="32"/>
          <w:lang w:val="en-US" w:eastAsia="zh-CN"/>
        </w:rPr>
        <w:t>我区代表衡阳市，参加省十四运会网球项目比赛夺得网球项目金牌8枚。承办2022年衡阳市第三届青少年网球精英挑战赛，本次比赛有80名运动员参赛，分五个组别，珠晖基地荣获10块金牌中的6块。</w:t>
      </w:r>
    </w:p>
    <w:p w14:paraId="7F3EF612">
      <w:pPr>
        <w:bidi w:val="0"/>
        <w:ind w:firstLine="643" w:firstLineChars="200"/>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kern w:val="2"/>
          <w:position w:val="0"/>
          <w:sz w:val="32"/>
          <w:szCs w:val="32"/>
          <w:u w:val="none"/>
          <w:shd w:val="clear" w:color="auto" w:fill="auto"/>
          <w:lang w:val="en-US" w:eastAsia="zh-CN" w:bidi="zh-CN"/>
        </w:rPr>
        <w:t>（五）服务对象满意度。</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CN"/>
        </w:rPr>
        <w:t>通过项目实施，群众对我区公共文化体育服务满意率逐年提升，社会公众或服务对象整体满意率≥95%</w:t>
      </w:r>
    </w:p>
    <w:p w14:paraId="181C78F4">
      <w:pPr>
        <w:pStyle w:val="8"/>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存在的主要问题</w:t>
      </w:r>
    </w:p>
    <w:p w14:paraId="62977EF5">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3"/>
        <w:jc w:val="left"/>
        <w:textAlignment w:val="auto"/>
        <w:rPr>
          <w:rFonts w:hint="eastAsia" w:ascii="仿宋_GB2312" w:hAnsi="Times New Roman" w:eastAsia="仿宋_GB2312" w:cs="仿宋_GB2312"/>
          <w:kern w:val="0"/>
          <w:sz w:val="32"/>
          <w:szCs w:val="32"/>
          <w:shd w:val="clear" w:color="auto" w:fill="FFFFFF"/>
          <w:lang w:eastAsia="zh-CN" w:bidi="ar"/>
        </w:rPr>
      </w:pPr>
      <w:r>
        <w:rPr>
          <w:rFonts w:hint="eastAsia" w:ascii="仿宋_GB2312" w:hAnsi="Times New Roman" w:eastAsia="仿宋_GB2312" w:cs="仿宋_GB2312"/>
          <w:kern w:val="0"/>
          <w:sz w:val="32"/>
          <w:szCs w:val="32"/>
          <w:shd w:val="clear" w:color="auto" w:fill="FFFFFF"/>
          <w:lang w:eastAsia="zh-CN" w:bidi="ar"/>
        </w:rPr>
        <w:t>202</w:t>
      </w:r>
      <w:r>
        <w:rPr>
          <w:rFonts w:hint="eastAsia" w:ascii="仿宋_GB2312" w:hAnsi="Times New Roman" w:eastAsia="仿宋_GB2312" w:cs="仿宋_GB2312"/>
          <w:kern w:val="0"/>
          <w:sz w:val="32"/>
          <w:szCs w:val="32"/>
          <w:shd w:val="clear" w:color="auto" w:fill="FFFFFF"/>
          <w:lang w:val="en-US" w:eastAsia="zh-CN" w:bidi="ar"/>
        </w:rPr>
        <w:t>2</w:t>
      </w:r>
      <w:r>
        <w:rPr>
          <w:rFonts w:hint="eastAsia" w:ascii="仿宋_GB2312" w:hAnsi="Times New Roman" w:eastAsia="仿宋_GB2312" w:cs="仿宋_GB2312"/>
          <w:kern w:val="0"/>
          <w:sz w:val="32"/>
          <w:szCs w:val="32"/>
          <w:shd w:val="clear" w:color="auto" w:fill="FFFFFF"/>
          <w:lang w:eastAsia="zh-CN" w:bidi="ar"/>
        </w:rPr>
        <w:t>年，我局</w:t>
      </w:r>
      <w:r>
        <w:rPr>
          <w:rFonts w:hint="eastAsia" w:ascii="仿宋_GB2312" w:hAnsi="Times New Roman" w:eastAsia="仿宋_GB2312" w:cs="仿宋_GB2312"/>
          <w:kern w:val="0"/>
          <w:sz w:val="32"/>
          <w:szCs w:val="32"/>
          <w:shd w:val="clear" w:color="auto" w:fill="FFFFFF"/>
          <w:lang w:bidi="ar"/>
        </w:rPr>
        <w:t>整体支出</w:t>
      </w:r>
      <w:r>
        <w:rPr>
          <w:rFonts w:hint="eastAsia" w:ascii="仿宋_GB2312" w:hAnsi="Times New Roman" w:eastAsia="仿宋_GB2312" w:cs="仿宋_GB2312"/>
          <w:kern w:val="0"/>
          <w:sz w:val="32"/>
          <w:szCs w:val="32"/>
          <w:shd w:val="clear" w:color="auto" w:fill="FFFFFF"/>
          <w:lang w:eastAsia="zh-CN" w:bidi="ar"/>
        </w:rPr>
        <w:t>执行情况总体较好，与上年比较，预算完成率上升，但</w:t>
      </w:r>
      <w:r>
        <w:rPr>
          <w:rFonts w:hint="eastAsia" w:ascii="仿宋_GB2312" w:hAnsi="Times New Roman" w:eastAsia="仿宋_GB2312" w:cs="仿宋_GB2312"/>
          <w:kern w:val="0"/>
          <w:sz w:val="32"/>
          <w:szCs w:val="32"/>
          <w:shd w:val="clear" w:color="auto" w:fill="FFFFFF"/>
          <w:lang w:bidi="ar"/>
        </w:rPr>
        <w:t>在预算执行方面</w:t>
      </w:r>
      <w:r>
        <w:rPr>
          <w:rFonts w:hint="eastAsia" w:ascii="仿宋_GB2312" w:hAnsi="Times New Roman" w:eastAsia="仿宋_GB2312" w:cs="仿宋_GB2312"/>
          <w:kern w:val="0"/>
          <w:sz w:val="32"/>
          <w:szCs w:val="32"/>
          <w:shd w:val="clear" w:color="auto" w:fill="FFFFFF"/>
          <w:lang w:eastAsia="zh-CN" w:bidi="ar"/>
        </w:rPr>
        <w:t>也</w:t>
      </w:r>
      <w:r>
        <w:rPr>
          <w:rFonts w:hint="eastAsia" w:ascii="仿宋_GB2312" w:hAnsi="Times New Roman" w:eastAsia="仿宋_GB2312" w:cs="仿宋_GB2312"/>
          <w:kern w:val="0"/>
          <w:sz w:val="32"/>
          <w:szCs w:val="32"/>
          <w:shd w:val="clear" w:color="auto" w:fill="FFFFFF"/>
          <w:lang w:bidi="ar"/>
        </w:rPr>
        <w:t>还存在一些问题和不足</w:t>
      </w:r>
      <w:r>
        <w:rPr>
          <w:rFonts w:hint="eastAsia" w:ascii="仿宋_GB2312" w:hAnsi="Times New Roman" w:eastAsia="仿宋_GB2312" w:cs="仿宋_GB2312"/>
          <w:kern w:val="0"/>
          <w:sz w:val="32"/>
          <w:szCs w:val="32"/>
          <w:shd w:val="clear" w:color="auto" w:fill="FFFFFF"/>
          <w:lang w:eastAsia="zh-CN" w:bidi="ar"/>
        </w:rPr>
        <w:t>：</w:t>
      </w:r>
    </w:p>
    <w:p w14:paraId="7D4096F5">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eastAsia="仿宋_GB2312"/>
          <w:sz w:val="32"/>
          <w:szCs w:val="32"/>
          <w:lang w:eastAsia="zh-CN"/>
        </w:rPr>
        <w:t>由于部分上级经费下达时间较晚等因</w:t>
      </w:r>
      <w:r>
        <w:rPr>
          <w:rFonts w:hint="eastAsia" w:eastAsia="仿宋_GB2312" w:cs="Times New Roman"/>
          <w:sz w:val="32"/>
          <w:szCs w:val="32"/>
          <w:lang w:eastAsia="zh-CN"/>
        </w:rPr>
        <w:t>素</w:t>
      </w:r>
      <w:r>
        <w:rPr>
          <w:rFonts w:hint="eastAsia" w:eastAsia="仿宋_GB2312"/>
          <w:sz w:val="32"/>
          <w:szCs w:val="32"/>
          <w:lang w:eastAsia="zh-CN"/>
        </w:rPr>
        <w:t>影响</w:t>
      </w:r>
      <w:r>
        <w:rPr>
          <w:rFonts w:hint="eastAsia" w:eastAsia="仿宋_GB2312" w:cs="Times New Roman"/>
          <w:sz w:val="32"/>
          <w:szCs w:val="32"/>
          <w:lang w:eastAsia="zh-CN"/>
        </w:rPr>
        <w:t>，预算执行速度缓慢。我们将在下年加以重视，提前谋划，进一步提高预算执行率。</w:t>
      </w:r>
      <w:r>
        <w:rPr>
          <w:rFonts w:hint="eastAsia" w:eastAsia="仿宋_GB2312" w:cs="Times New Roman"/>
          <w:sz w:val="32"/>
          <w:szCs w:val="32"/>
          <w:lang w:val="en-US" w:eastAsia="zh-CN"/>
        </w:rPr>
        <w:t xml:space="preserve"> </w:t>
      </w:r>
    </w:p>
    <w:p w14:paraId="350E3C6B">
      <w:pPr>
        <w:pStyle w:val="8"/>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八、</w:t>
      </w:r>
      <w:r>
        <w:rPr>
          <w:rFonts w:hint="eastAsia" w:ascii="仿宋_GB2312" w:hAnsi="仿宋_GB2312" w:eastAsia="仿宋_GB2312" w:cs="仿宋_GB2312"/>
          <w:b/>
          <w:bCs/>
          <w:color w:val="000000"/>
          <w:spacing w:val="0"/>
          <w:w w:val="100"/>
          <w:position w:val="0"/>
          <w:sz w:val="32"/>
          <w:szCs w:val="32"/>
        </w:rPr>
        <w:t>改进措施和有关建议</w:t>
      </w:r>
    </w:p>
    <w:p w14:paraId="6670293A">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针对存在的问题及我局整体支出管理工作的需要，</w:t>
      </w:r>
      <w:r>
        <w:rPr>
          <w:rFonts w:hint="eastAsia" w:ascii="仿宋_GB2312" w:hAnsi="仿宋_GB2312" w:eastAsia="仿宋_GB2312" w:cs="仿宋_GB2312"/>
          <w:sz w:val="32"/>
          <w:szCs w:val="32"/>
          <w:lang w:val="en-US" w:eastAsia="zh-CN"/>
        </w:rPr>
        <w:t>加强对年度财务收支情况进行分析对比，按照</w:t>
      </w:r>
      <w:r>
        <w:rPr>
          <w:rFonts w:hint="eastAsia" w:ascii="仿宋_GB2312" w:hAnsi="仿宋_GB2312" w:eastAsia="仿宋_GB2312" w:cs="仿宋_GB2312"/>
          <w:b w:val="0"/>
          <w:bCs w:val="0"/>
          <w:kern w:val="2"/>
          <w:sz w:val="32"/>
          <w:szCs w:val="32"/>
          <w:lang w:val="en-US" w:eastAsia="zh-CN" w:bidi="ar-SA"/>
        </w:rPr>
        <w:t>财政部2022年出台的《中央财政预算管理一体化资金支付管理办法（试行）》的要求，</w:t>
      </w:r>
      <w:r>
        <w:rPr>
          <w:rFonts w:hint="eastAsia" w:ascii="Times New Roman" w:hAnsi="Times New Roman" w:eastAsia="仿宋_GB2312" w:cs="仿宋_GB2312"/>
          <w:color w:val="auto"/>
          <w:sz w:val="32"/>
          <w:szCs w:val="32"/>
          <w:lang w:val="en-US" w:eastAsia="zh-CN"/>
        </w:rPr>
        <w:t>严格预算执行，</w:t>
      </w:r>
      <w:r>
        <w:rPr>
          <w:rFonts w:hint="default" w:ascii="仿宋_GB2312" w:hAnsi="仿宋_GB2312" w:eastAsia="仿宋_GB2312" w:cs="仿宋_GB2312"/>
          <w:b w:val="0"/>
          <w:bCs w:val="0"/>
          <w:kern w:val="2"/>
          <w:sz w:val="32"/>
          <w:szCs w:val="32"/>
          <w:lang w:val="en-US" w:eastAsia="zh-CN" w:bidi="ar-SA"/>
        </w:rPr>
        <w:t>经济分类科目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类级</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支出功能分类科目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底级</w:t>
      </w:r>
      <w:r>
        <w:rPr>
          <w:rFonts w:hint="eastAsia" w:ascii="Times New Roman" w:hAnsi="Times New Roman" w:eastAsia="仿宋_GB2312" w:cs="仿宋_GB2312"/>
          <w:sz w:val="32"/>
          <w:szCs w:val="32"/>
          <w:lang w:val="en-US" w:eastAsia="zh-CN"/>
        </w:rPr>
        <w:t>，尽量做到一一对应，</w:t>
      </w:r>
      <w:r>
        <w:rPr>
          <w:rFonts w:hint="eastAsia" w:ascii="仿宋_GB2312" w:hAnsi="仿宋_GB2312" w:eastAsia="仿宋_GB2312" w:cs="仿宋_GB2312"/>
          <w:sz w:val="32"/>
          <w:szCs w:val="32"/>
          <w:lang w:val="en-US" w:eastAsia="zh-CN"/>
        </w:rPr>
        <w:t>进一步强化预算刚性约束。</w:t>
      </w:r>
    </w:p>
    <w:p w14:paraId="36CAF0E0"/>
    <w:sectPr>
      <w:footerReference r:id="rId3" w:type="default"/>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56CA">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08C008">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208C008">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9C8E2"/>
    <w:multiLevelType w:val="singleLevel"/>
    <w:tmpl w:val="F0F9C8E2"/>
    <w:lvl w:ilvl="0" w:tentative="0">
      <w:start w:val="2"/>
      <w:numFmt w:val="chineseCounting"/>
      <w:suff w:val="nothing"/>
      <w:lvlText w:val="（%1）"/>
      <w:lvlJc w:val="left"/>
      <w:rPr>
        <w:rFonts w:hint="eastAsia"/>
      </w:rPr>
    </w:lvl>
  </w:abstractNum>
  <w:abstractNum w:abstractNumId="1">
    <w:nsid w:val="0E813F1C"/>
    <w:multiLevelType w:val="singleLevel"/>
    <w:tmpl w:val="0E813F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OTYxY2U5NTkyYmM2MzM4MDBlNTM1ZjQwZWUwNTcifQ=="/>
  </w:docVars>
  <w:rsids>
    <w:rsidRoot w:val="00000000"/>
    <w:rsid w:val="0274786A"/>
    <w:rsid w:val="02A8645A"/>
    <w:rsid w:val="07674577"/>
    <w:rsid w:val="088274F0"/>
    <w:rsid w:val="099E0166"/>
    <w:rsid w:val="0A1070F3"/>
    <w:rsid w:val="0A902E71"/>
    <w:rsid w:val="0E77712A"/>
    <w:rsid w:val="1147476A"/>
    <w:rsid w:val="158E17FF"/>
    <w:rsid w:val="16F70A62"/>
    <w:rsid w:val="177419EA"/>
    <w:rsid w:val="19257F5C"/>
    <w:rsid w:val="1A0B2E3F"/>
    <w:rsid w:val="1BCF6D48"/>
    <w:rsid w:val="1C0B1F5C"/>
    <w:rsid w:val="1C8E5362"/>
    <w:rsid w:val="1DBB0E8E"/>
    <w:rsid w:val="209F23EA"/>
    <w:rsid w:val="22444303"/>
    <w:rsid w:val="22BA5407"/>
    <w:rsid w:val="24650CAD"/>
    <w:rsid w:val="277E36E4"/>
    <w:rsid w:val="27BF72CD"/>
    <w:rsid w:val="2A266AD9"/>
    <w:rsid w:val="2F7C760F"/>
    <w:rsid w:val="30FA195F"/>
    <w:rsid w:val="386641D6"/>
    <w:rsid w:val="43BC2E80"/>
    <w:rsid w:val="4876582E"/>
    <w:rsid w:val="49892887"/>
    <w:rsid w:val="4D5F304E"/>
    <w:rsid w:val="4E6D6E1A"/>
    <w:rsid w:val="542B01C1"/>
    <w:rsid w:val="55755470"/>
    <w:rsid w:val="57546757"/>
    <w:rsid w:val="59445C8D"/>
    <w:rsid w:val="5A5673CD"/>
    <w:rsid w:val="5FE332FB"/>
    <w:rsid w:val="70B30EE0"/>
    <w:rsid w:val="70F869CD"/>
    <w:rsid w:val="721C57FA"/>
    <w:rsid w:val="72E40307"/>
    <w:rsid w:val="74FD086C"/>
    <w:rsid w:val="7B0D1C94"/>
    <w:rsid w:val="7BD823A4"/>
    <w:rsid w:val="7E9A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qFormat/>
    <w:uiPriority w:val="0"/>
    <w:rPr>
      <w:rFonts w:eastAsia="Arial Unicode MS"/>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9">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10">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1">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2">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13">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14">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5">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1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4241</Words>
  <Characters>4430</Characters>
  <Lines>0</Lines>
  <Paragraphs>0</Paragraphs>
  <TotalTime>10</TotalTime>
  <ScaleCrop>false</ScaleCrop>
  <LinksUpToDate>false</LinksUpToDate>
  <CharactersWithSpaces>4441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2023-06-26T02:14:00Z</dcterms:created>
  <dc:creator>Administrator</dc:creator>
  <cp:lastModifiedBy>邓婷</cp:lastModifiedBy>
  <cp:lastPrinted>2023-07-25T08:48:00Z</cp:lastPrinted>
  <dcterms:modified xsi:type="dcterms:W3CDTF">2025-01-16T06:37:37Z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390C85C986B04A489127A520DFF0248E_13</vt:lpwstr>
  </property>
  <property fmtid="{D5CDD505-2E9C-101B-9397-08002B2CF9AE}" pid="4" name="KSOTemplateDocerSaveRecord">
    <vt:lpwstr>eyJoZGlkIjoiYjI3ZDJkMmNlYjY4NGYzMGFmNzM3Y2FhNWM3Zjc0Y2IiLCJ1c2VySWQiOiIxMDY5MjgzMDcxIn0=</vt:lpwstr>
  </property>
</Properties>
</file>