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/>
        <w:keepLines/>
        <w:spacing w:after="260"/>
        <w:rPr>
          <w:rFonts w:ascii="方正小标宋简体" w:hAnsi="方正小标宋简体" w:eastAsia="方正小标宋简体" w:cs="方正小标宋简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bookmarkStart w:id="0" w:name="bookmark88"/>
      <w:bookmarkStart w:id="1" w:name="bookmark89"/>
      <w:bookmarkStart w:id="2" w:name="bookmark90"/>
      <w:bookmarkStart w:id="3" w:name="bookmark91"/>
      <w:r>
        <w:rPr>
          <w:rFonts w:hint="eastAsia" w:ascii="方正小标宋简体" w:hAnsi="方正小标宋简体" w:eastAsia="方正小标宋简体" w:cs="方正小标宋简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珠晖区科学技术协会部门整体支出绩效报告</w:t>
      </w:r>
      <w:bookmarkEnd w:id="0"/>
      <w:bookmarkEnd w:id="1"/>
      <w:bookmarkEnd w:id="2"/>
    </w:p>
    <w:p>
      <w:pPr>
        <w:pStyle w:val="19"/>
        <w:tabs>
          <w:tab w:val="left" w:pos="867"/>
        </w:tabs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bookmarkEnd w:id="3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、部门概况</w:t>
      </w:r>
    </w:p>
    <w:p>
      <w:pPr>
        <w:pStyle w:val="19"/>
        <w:tabs>
          <w:tab w:val="left" w:pos="1113"/>
        </w:tabs>
        <w:spacing w:line="560" w:lineRule="exact"/>
        <w:ind w:firstLine="500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bookmark9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bookmarkEnd w:id="4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一）部门基本情况</w:t>
      </w:r>
    </w:p>
    <w:p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1.机构设置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协会下设：综合办公室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决算单位构成包括：包含单位本级。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职能职责。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开展科技教育、科技管理、科技交流、培训科技人员、开展青少年科技教育活动。</w:t>
      </w:r>
    </w:p>
    <w:p>
      <w:pPr>
        <w:pStyle w:val="19"/>
        <w:tabs>
          <w:tab w:val="left" w:pos="1113"/>
        </w:tabs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3.重点工作计划。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开展科技教育。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）积极探索科技管理、科技交流、培训科技人员。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）开展青少年科技教育活动。</w:t>
      </w:r>
    </w:p>
    <w:p>
      <w:pPr>
        <w:spacing w:line="560" w:lineRule="exact"/>
        <w:ind w:firstLine="645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）承办区委、区政府交办的其他事项。</w:t>
      </w:r>
    </w:p>
    <w:p>
      <w:pPr>
        <w:pStyle w:val="19"/>
        <w:tabs>
          <w:tab w:val="left" w:pos="1113"/>
        </w:tabs>
        <w:spacing w:line="560" w:lineRule="exact"/>
        <w:ind w:firstLine="5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部门整体支出规模、使用方向和主要内容、涉及范围等。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度收入总计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%。本年支出总计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9"/>
        <w:tabs>
          <w:tab w:val="left" w:pos="867"/>
        </w:tabs>
        <w:spacing w:line="560" w:lineRule="exact"/>
        <w:rPr>
          <w:rFonts w:ascii="Calibri" w:hAnsi="Calibri" w:eastAsia="仿宋_GB2312" w:cs="Times New Roman"/>
          <w:b/>
          <w:bCs/>
          <w:sz w:val="28"/>
          <w:szCs w:val="28"/>
          <w:lang w:val="en-US" w:bidi="ar-SA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28"/>
          <w:lang w:val="en-US" w:bidi="ar-SA"/>
        </w:rPr>
        <w:t>二、部门整体支出管理及使用情况</w:t>
      </w:r>
    </w:p>
    <w:p>
      <w:pPr>
        <w:spacing w:line="560" w:lineRule="exact"/>
        <w:ind w:firstLine="645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（一）基本支出</w:t>
      </w:r>
    </w:p>
    <w:p>
      <w:pPr>
        <w:spacing w:line="560" w:lineRule="exact"/>
        <w:ind w:firstLine="645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ascii="仿宋" w:hAnsi="仿宋" w:eastAsia="仿宋" w:cs="仿宋_GB2312"/>
          <w:kern w:val="0"/>
          <w:sz w:val="32"/>
          <w:szCs w:val="32"/>
        </w:rPr>
        <w:t>年度基本支出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102.7</w:t>
      </w:r>
      <w:r>
        <w:rPr>
          <w:rFonts w:ascii="仿宋" w:hAnsi="仿宋" w:eastAsia="仿宋" w:cs="仿宋_GB2312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主要是工资福利支出、对个人家庭的补助、商品和服务支出中公用经费支出。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无“三公”经费支出。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（二）项目支出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ascii="仿宋" w:hAnsi="仿宋" w:eastAsia="仿宋" w:cs="仿宋_GB2312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项目</w:t>
      </w:r>
      <w:r>
        <w:rPr>
          <w:rFonts w:ascii="仿宋" w:hAnsi="仿宋" w:eastAsia="仿宋" w:cs="仿宋_GB2312"/>
          <w:kern w:val="0"/>
          <w:sz w:val="32"/>
          <w:szCs w:val="32"/>
        </w:rPr>
        <w:t>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21.81</w:t>
      </w:r>
      <w:bookmarkStart w:id="5" w:name="_GoBack"/>
      <w:bookmarkEnd w:id="5"/>
      <w:r>
        <w:rPr>
          <w:rFonts w:ascii="仿宋" w:hAnsi="仿宋" w:eastAsia="仿宋" w:cs="仿宋_GB231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，其中专项工作经费支出。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三、部门项目组织实施情况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无建设性项目支出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四、资产管理情况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截至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12月31日，中共珠晖区委机构编制委员会办公室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五、部门整体支出绩效情况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执行了预算政策要求。工作经费安排严格按照年初预算来执行，有效防止了超预算；认真学习财经法规，严格执行财经纪律，防止了违法违纪行为的发生。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六、存在的主要问题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年初预算编制不够精细。预算编制不够明确和细化，预算编制的合理性需要提高。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七、改进措施和有关建议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推行政府机关绩效管理制度是推进政府职能转变、提高政府执行力和公信力的重要举措，是转变机关作风、加强政府勤政廉政建设的重要抓手。</w:t>
      </w:r>
    </w:p>
    <w:p>
      <w:pPr>
        <w:spacing w:line="560" w:lineRule="exact"/>
        <w:jc w:val="center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5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8BC12"/>
    <w:multiLevelType w:val="singleLevel"/>
    <w:tmpl w:val="74B8BC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DljYzJhODE2NTg1YjYyYzM1M2JjNTJjYTIwZTgifQ=="/>
  </w:docVars>
  <w:rsids>
    <w:rsidRoot w:val="56C81120"/>
    <w:rsid w:val="00022119"/>
    <w:rsid w:val="000E2572"/>
    <w:rsid w:val="001E6A76"/>
    <w:rsid w:val="00255182"/>
    <w:rsid w:val="00277548"/>
    <w:rsid w:val="0028176B"/>
    <w:rsid w:val="00353E5C"/>
    <w:rsid w:val="003640B9"/>
    <w:rsid w:val="00364891"/>
    <w:rsid w:val="00375D20"/>
    <w:rsid w:val="003825D1"/>
    <w:rsid w:val="00394F14"/>
    <w:rsid w:val="003D14D9"/>
    <w:rsid w:val="00425D76"/>
    <w:rsid w:val="0044465F"/>
    <w:rsid w:val="00493002"/>
    <w:rsid w:val="004A5F1B"/>
    <w:rsid w:val="004A6213"/>
    <w:rsid w:val="00520470"/>
    <w:rsid w:val="00533052"/>
    <w:rsid w:val="00556F33"/>
    <w:rsid w:val="00571E6B"/>
    <w:rsid w:val="00573AAE"/>
    <w:rsid w:val="005B2E8E"/>
    <w:rsid w:val="005D6012"/>
    <w:rsid w:val="00675FD5"/>
    <w:rsid w:val="0068178F"/>
    <w:rsid w:val="00684F93"/>
    <w:rsid w:val="006B2190"/>
    <w:rsid w:val="006D204B"/>
    <w:rsid w:val="0070013F"/>
    <w:rsid w:val="00744DFC"/>
    <w:rsid w:val="00796827"/>
    <w:rsid w:val="007A3F41"/>
    <w:rsid w:val="007C685D"/>
    <w:rsid w:val="007E7435"/>
    <w:rsid w:val="008323EB"/>
    <w:rsid w:val="00850A55"/>
    <w:rsid w:val="008E2FC6"/>
    <w:rsid w:val="0091667B"/>
    <w:rsid w:val="00964F12"/>
    <w:rsid w:val="00976964"/>
    <w:rsid w:val="009B13AB"/>
    <w:rsid w:val="009D1F30"/>
    <w:rsid w:val="009F58BA"/>
    <w:rsid w:val="00A750E9"/>
    <w:rsid w:val="00AE1CA9"/>
    <w:rsid w:val="00AE3025"/>
    <w:rsid w:val="00AF7D01"/>
    <w:rsid w:val="00B34AD4"/>
    <w:rsid w:val="00B6746C"/>
    <w:rsid w:val="00B97A81"/>
    <w:rsid w:val="00BB2492"/>
    <w:rsid w:val="00BC4176"/>
    <w:rsid w:val="00C17820"/>
    <w:rsid w:val="00C40095"/>
    <w:rsid w:val="00C40844"/>
    <w:rsid w:val="00C9786B"/>
    <w:rsid w:val="00CA7551"/>
    <w:rsid w:val="00CC5E81"/>
    <w:rsid w:val="00CD022B"/>
    <w:rsid w:val="00CD71DD"/>
    <w:rsid w:val="00CF7D17"/>
    <w:rsid w:val="00D9207F"/>
    <w:rsid w:val="00DD1846"/>
    <w:rsid w:val="00E14384"/>
    <w:rsid w:val="00E92E27"/>
    <w:rsid w:val="00EA18E8"/>
    <w:rsid w:val="00EC1026"/>
    <w:rsid w:val="00EF5AC8"/>
    <w:rsid w:val="00F36A18"/>
    <w:rsid w:val="00FB1121"/>
    <w:rsid w:val="02114413"/>
    <w:rsid w:val="02312FDE"/>
    <w:rsid w:val="030A3C3B"/>
    <w:rsid w:val="03737E75"/>
    <w:rsid w:val="04B87276"/>
    <w:rsid w:val="04E06069"/>
    <w:rsid w:val="07BF3E8E"/>
    <w:rsid w:val="0850536B"/>
    <w:rsid w:val="0A4516B6"/>
    <w:rsid w:val="0C505A2A"/>
    <w:rsid w:val="0C9216F5"/>
    <w:rsid w:val="0CA21281"/>
    <w:rsid w:val="0D0C314C"/>
    <w:rsid w:val="0D62788D"/>
    <w:rsid w:val="12190CA1"/>
    <w:rsid w:val="121F4CD5"/>
    <w:rsid w:val="14544B19"/>
    <w:rsid w:val="15224E9F"/>
    <w:rsid w:val="15532E0B"/>
    <w:rsid w:val="171836AF"/>
    <w:rsid w:val="1810076A"/>
    <w:rsid w:val="19FF692D"/>
    <w:rsid w:val="1B987654"/>
    <w:rsid w:val="1BCF3BF3"/>
    <w:rsid w:val="1CB55F50"/>
    <w:rsid w:val="1D6750ED"/>
    <w:rsid w:val="1DD94C26"/>
    <w:rsid w:val="1E425758"/>
    <w:rsid w:val="1F6E185C"/>
    <w:rsid w:val="1F772D76"/>
    <w:rsid w:val="1FFF65DD"/>
    <w:rsid w:val="203A3003"/>
    <w:rsid w:val="205265F0"/>
    <w:rsid w:val="20F86062"/>
    <w:rsid w:val="22DC6AEB"/>
    <w:rsid w:val="236639AE"/>
    <w:rsid w:val="23C93361"/>
    <w:rsid w:val="2628493F"/>
    <w:rsid w:val="26EB3A18"/>
    <w:rsid w:val="290A0FAD"/>
    <w:rsid w:val="2C8F18D7"/>
    <w:rsid w:val="33B015AE"/>
    <w:rsid w:val="34610381"/>
    <w:rsid w:val="3703625B"/>
    <w:rsid w:val="38EB31AB"/>
    <w:rsid w:val="38FD59EE"/>
    <w:rsid w:val="3B4B5943"/>
    <w:rsid w:val="3BE645DA"/>
    <w:rsid w:val="3C9C0270"/>
    <w:rsid w:val="3CD23BC8"/>
    <w:rsid w:val="3F577654"/>
    <w:rsid w:val="414A22A2"/>
    <w:rsid w:val="423B1DB6"/>
    <w:rsid w:val="43053055"/>
    <w:rsid w:val="470431D8"/>
    <w:rsid w:val="4999703E"/>
    <w:rsid w:val="4AF83934"/>
    <w:rsid w:val="4D1B156D"/>
    <w:rsid w:val="4D301426"/>
    <w:rsid w:val="4D4D6160"/>
    <w:rsid w:val="4D625F91"/>
    <w:rsid w:val="4D943B9D"/>
    <w:rsid w:val="51684CD7"/>
    <w:rsid w:val="527541A2"/>
    <w:rsid w:val="52E51199"/>
    <w:rsid w:val="53CE5D40"/>
    <w:rsid w:val="543732AE"/>
    <w:rsid w:val="54860AF5"/>
    <w:rsid w:val="55CE757F"/>
    <w:rsid w:val="56C81120"/>
    <w:rsid w:val="56F073BC"/>
    <w:rsid w:val="571455BF"/>
    <w:rsid w:val="5B2D7820"/>
    <w:rsid w:val="5B8411EC"/>
    <w:rsid w:val="5B8E7E9F"/>
    <w:rsid w:val="5B910F82"/>
    <w:rsid w:val="60E50CA3"/>
    <w:rsid w:val="616014D9"/>
    <w:rsid w:val="621D04B1"/>
    <w:rsid w:val="622E7613"/>
    <w:rsid w:val="62513BD9"/>
    <w:rsid w:val="63240D97"/>
    <w:rsid w:val="6325037A"/>
    <w:rsid w:val="636B3D8A"/>
    <w:rsid w:val="67070F80"/>
    <w:rsid w:val="68446E9F"/>
    <w:rsid w:val="688268EC"/>
    <w:rsid w:val="693C4DCD"/>
    <w:rsid w:val="69411140"/>
    <w:rsid w:val="6948031C"/>
    <w:rsid w:val="697C2CD5"/>
    <w:rsid w:val="6CB4144C"/>
    <w:rsid w:val="6D171BA3"/>
    <w:rsid w:val="6D6C1206"/>
    <w:rsid w:val="6D851631"/>
    <w:rsid w:val="714B3830"/>
    <w:rsid w:val="71FF272F"/>
    <w:rsid w:val="720D0C09"/>
    <w:rsid w:val="753C7FA5"/>
    <w:rsid w:val="754C4B72"/>
    <w:rsid w:val="75702B23"/>
    <w:rsid w:val="76DD63AE"/>
    <w:rsid w:val="770F50E9"/>
    <w:rsid w:val="7EAD4C52"/>
    <w:rsid w:val="7F3C4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20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1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2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3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4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5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6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7">
    <w:name w:val="bsharetext"/>
    <w:basedOn w:val="6"/>
    <w:qFormat/>
    <w:uiPriority w:val="0"/>
  </w:style>
  <w:style w:type="character" w:customStyle="1" w:styleId="2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hover4"/>
    <w:basedOn w:val="6"/>
    <w:qFormat/>
    <w:uiPriority w:val="0"/>
  </w:style>
  <w:style w:type="character" w:customStyle="1" w:styleId="30">
    <w:name w:val="hover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789</Words>
  <Characters>852</Characters>
  <Lines>8</Lines>
  <Paragraphs>2</Paragraphs>
  <TotalTime>4</TotalTime>
  <ScaleCrop>false</ScaleCrop>
  <LinksUpToDate>false</LinksUpToDate>
  <CharactersWithSpaces>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2020-05-18T02:11:00Z</cp:lastPrinted>
  <dcterms:modified xsi:type="dcterms:W3CDTF">2023-12-10T08:11:20Z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76D0CA20A8204717A51DA98F2735E47E</vt:lpwstr>
  </property>
</Properties>
</file>