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after="420"/>
        <w:ind w:firstLine="0"/>
        <w:jc w:val="center"/>
        <w:rPr>
          <w:rFonts w:ascii="宋体" w:hAnsi="宋体" w:cs="宋体"/>
          <w:color w:val="000000"/>
          <w:sz w:val="28"/>
          <w:szCs w:val="28"/>
          <w:lang w:val="zh-CN" w:bidi="zh-CN"/>
        </w:rPr>
      </w:pPr>
      <w:bookmarkStart w:id="0" w:name="bookmark87"/>
      <w:bookmarkStart w:id="1" w:name="bookmark86"/>
      <w:bookmarkStart w:id="2" w:name="bookmark85"/>
      <w:r>
        <w:rPr>
          <w:rFonts w:hint="eastAsia" w:ascii="宋体" w:hAnsi="宋体" w:cs="宋体"/>
          <w:color w:val="000000"/>
          <w:sz w:val="28"/>
          <w:szCs w:val="28"/>
          <w:lang w:val="zh-CN" w:bidi="zh-CN"/>
        </w:rPr>
        <w:t>区商务局</w:t>
      </w:r>
      <w:r>
        <w:rPr>
          <w:rFonts w:ascii="宋体" w:hAnsi="宋体" w:cs="宋体"/>
          <w:color w:val="000000"/>
          <w:sz w:val="28"/>
          <w:szCs w:val="28"/>
          <w:lang w:val="zh-CN" w:bidi="zh-CN"/>
        </w:rPr>
        <w:t>部门整体支出绩效评价基础数据表</w:t>
      </w:r>
      <w:bookmarkEnd w:id="0"/>
      <w:bookmarkEnd w:id="1"/>
      <w:bookmarkEnd w:id="2"/>
    </w:p>
    <w:p>
      <w:pPr>
        <w:pStyle w:val="18"/>
        <w:tabs>
          <w:tab w:val="left" w:pos="867"/>
        </w:tabs>
        <w:spacing w:line="360" w:lineRule="auto"/>
        <w:rPr>
          <w:sz w:val="28"/>
          <w:szCs w:val="28"/>
        </w:rPr>
      </w:pPr>
      <w:r>
        <w:rPr>
          <w:rFonts w:hint="eastAsia"/>
          <w:color w:val="000000"/>
          <w:sz w:val="28"/>
          <w:szCs w:val="28"/>
        </w:rPr>
        <w:t>一、部门概况</w:t>
      </w:r>
    </w:p>
    <w:p>
      <w:pPr>
        <w:pStyle w:val="18"/>
        <w:tabs>
          <w:tab w:val="left" w:pos="1113"/>
        </w:tabs>
        <w:spacing w:line="360" w:lineRule="auto"/>
        <w:ind w:firstLine="500"/>
        <w:rPr>
          <w:color w:val="000000"/>
          <w:sz w:val="28"/>
          <w:szCs w:val="28"/>
        </w:rPr>
      </w:pPr>
      <w:bookmarkStart w:id="3" w:name="bookmark92"/>
      <w:r>
        <w:rPr>
          <w:rFonts w:hint="eastAsia"/>
          <w:color w:val="000000"/>
          <w:sz w:val="28"/>
          <w:szCs w:val="28"/>
        </w:rPr>
        <w:t>（</w:t>
      </w:r>
      <w:bookmarkEnd w:id="3"/>
      <w:r>
        <w:rPr>
          <w:rFonts w:hint="eastAsia"/>
          <w:color w:val="000000"/>
          <w:sz w:val="28"/>
          <w:szCs w:val="28"/>
        </w:rPr>
        <w:t>一）部门基本情况</w:t>
      </w:r>
    </w:p>
    <w:p>
      <w:pPr>
        <w:spacing w:line="590" w:lineRule="exact"/>
        <w:ind w:firstLine="660"/>
        <w:rPr>
          <w:rFonts w:ascii="宋体" w:hAnsi="宋体" w:cs="宋体"/>
          <w:color w:val="000000"/>
          <w:sz w:val="28"/>
          <w:szCs w:val="28"/>
          <w:lang w:val="zh-CN" w:bidi="zh-CN"/>
        </w:rPr>
      </w:pPr>
      <w:r>
        <w:rPr>
          <w:rFonts w:hint="eastAsia" w:ascii="宋体" w:hAnsi="宋体" w:cs="宋体"/>
          <w:color w:val="000000"/>
          <w:sz w:val="28"/>
          <w:szCs w:val="28"/>
          <w:lang w:val="zh-CN" w:bidi="zh-CN"/>
        </w:rPr>
        <w:t>1.机构设置</w:t>
      </w:r>
    </w:p>
    <w:p>
      <w:pPr>
        <w:spacing w:line="590" w:lineRule="exact"/>
        <w:ind w:firstLine="660"/>
        <w:rPr>
          <w:color w:val="000000"/>
          <w:sz w:val="32"/>
          <w:szCs w:val="32"/>
        </w:rPr>
      </w:pPr>
      <w:r>
        <w:rPr>
          <w:rFonts w:hint="eastAsia" w:ascii="宋体" w:hAnsi="宋体" w:cs="宋体"/>
          <w:color w:val="000000"/>
          <w:sz w:val="28"/>
          <w:szCs w:val="28"/>
          <w:lang w:val="zh-CN" w:bidi="zh-CN"/>
        </w:rPr>
        <w:t>区商务</w:t>
      </w:r>
      <w:r>
        <w:rPr>
          <w:rFonts w:hint="eastAsia" w:ascii="宋体" w:hAnsi="宋体" w:cs="宋体"/>
          <w:color w:val="000000"/>
          <w:sz w:val="28"/>
          <w:szCs w:val="28"/>
          <w:lang w:val="en-US" w:bidi="zh-CN"/>
        </w:rPr>
        <w:t>局内设机构：</w:t>
      </w:r>
      <w:r>
        <w:rPr>
          <w:rFonts w:hint="eastAsia"/>
          <w:color w:val="000000"/>
          <w:sz w:val="28"/>
          <w:szCs w:val="28"/>
        </w:rPr>
        <w:t>办公室、综合法规与行政审批服务股、商贸流通股、投资管理股。</w:t>
      </w:r>
    </w:p>
    <w:p>
      <w:pPr>
        <w:spacing w:line="590" w:lineRule="exact"/>
        <w:ind w:firstLine="660"/>
        <w:rPr>
          <w:rFonts w:ascii="宋体" w:hAnsi="宋体" w:cs="宋体"/>
          <w:color w:val="000000"/>
          <w:sz w:val="28"/>
          <w:szCs w:val="28"/>
          <w:lang w:val="zh-CN" w:bidi="zh-CN"/>
        </w:rPr>
      </w:pPr>
      <w:r>
        <w:rPr>
          <w:rFonts w:hint="eastAsia" w:ascii="宋体" w:hAnsi="宋体" w:cs="宋体"/>
          <w:color w:val="000000"/>
          <w:sz w:val="28"/>
          <w:szCs w:val="28"/>
          <w:lang w:val="zh-CN" w:bidi="zh-CN"/>
        </w:rPr>
        <w:t>2.职能职责</w:t>
      </w:r>
    </w:p>
    <w:p>
      <w:pPr>
        <w:spacing w:line="590" w:lineRule="exact"/>
        <w:ind w:firstLine="660"/>
        <w:rPr>
          <w:rFonts w:hint="eastAsia" w:ascii="宋体" w:hAnsi="宋体" w:cs="宋体"/>
          <w:color w:val="000000"/>
          <w:sz w:val="28"/>
          <w:szCs w:val="28"/>
          <w:lang w:val="zh-CN" w:bidi="zh-CN"/>
        </w:rPr>
      </w:pPr>
      <w:r>
        <w:rPr>
          <w:rFonts w:hint="eastAsia" w:ascii="宋体" w:hAnsi="宋体" w:cs="宋体"/>
          <w:color w:val="000000"/>
          <w:sz w:val="28"/>
          <w:szCs w:val="28"/>
          <w:lang w:val="zh-CN" w:bidi="zh-CN"/>
        </w:rPr>
        <w:t xml:space="preserve">（一）贯彻执行有关国内外贸易、国际经济合作、区域经济合作宏观调控的发展战略、政策，拟订全区国内外贸易、招商引资、承接产业转移、对外援助、对外投资、对外经济合作和商贸流通业的中长期规划、政策措施和实施办法，研究提出经济全球化、区域经济合作、现代流通方式的发展趋势和流通体制改革的建议。 </w:t>
      </w:r>
    </w:p>
    <w:p>
      <w:pPr>
        <w:spacing w:line="590" w:lineRule="exact"/>
        <w:ind w:firstLine="660"/>
        <w:rPr>
          <w:rFonts w:hint="eastAsia" w:ascii="宋体" w:hAnsi="宋体" w:cs="宋体"/>
          <w:color w:val="000000"/>
          <w:sz w:val="28"/>
          <w:szCs w:val="28"/>
          <w:lang w:val="zh-CN" w:bidi="zh-CN"/>
        </w:rPr>
      </w:pPr>
      <w:r>
        <w:rPr>
          <w:rFonts w:hint="eastAsia" w:ascii="宋体" w:hAnsi="宋体" w:cs="宋体"/>
          <w:color w:val="000000"/>
          <w:sz w:val="28"/>
          <w:szCs w:val="28"/>
          <w:lang w:val="zh-CN" w:bidi="zh-CN"/>
        </w:rPr>
        <w:t>（二）推进流通产业结构调整，指导流通企业改革，促进商贸服务业、社区商业发展，研究提出促进商贸中小企业发展的政策建议，推动流通标准化和连锁经营、商业特许经营、物流配送、电子商务等现代流通方式的发展。</w:t>
      </w:r>
    </w:p>
    <w:p>
      <w:pPr>
        <w:spacing w:line="590" w:lineRule="exact"/>
        <w:ind w:firstLine="660"/>
        <w:rPr>
          <w:rFonts w:hint="eastAsia" w:ascii="宋体" w:hAnsi="宋体" w:cs="宋体"/>
          <w:color w:val="000000"/>
          <w:sz w:val="28"/>
          <w:szCs w:val="28"/>
          <w:lang w:val="zh-CN" w:bidi="zh-CN"/>
        </w:rPr>
      </w:pPr>
      <w:r>
        <w:rPr>
          <w:rFonts w:hint="eastAsia" w:ascii="宋体" w:hAnsi="宋体" w:cs="宋体"/>
          <w:color w:val="000000"/>
          <w:sz w:val="28"/>
          <w:szCs w:val="28"/>
          <w:lang w:val="zh-CN" w:bidi="zh-CN"/>
        </w:rPr>
        <w:t>（三）拟订全区国内贸易发展规划，促进城乡市场发展，研究提出引导国内外资金投向市场体系建设的政策建议，指导大宗产品批发市场规划和城市商业网点规划、商业体系建设工作，推进农村市场体系建设，组织实施农村现代流通网络工程。</w:t>
      </w:r>
    </w:p>
    <w:p>
      <w:pPr>
        <w:spacing w:line="590" w:lineRule="exact"/>
        <w:ind w:firstLine="660"/>
        <w:rPr>
          <w:rFonts w:hint="eastAsia" w:ascii="宋体" w:hAnsi="宋体" w:cs="宋体"/>
          <w:color w:val="000000"/>
          <w:sz w:val="28"/>
          <w:szCs w:val="28"/>
          <w:lang w:val="zh-CN" w:bidi="zh-CN"/>
        </w:rPr>
      </w:pPr>
      <w:r>
        <w:rPr>
          <w:rFonts w:hint="eastAsia" w:ascii="宋体" w:hAnsi="宋体" w:cs="宋体"/>
          <w:color w:val="000000"/>
          <w:sz w:val="28"/>
          <w:szCs w:val="28"/>
          <w:lang w:val="zh-CN" w:bidi="zh-CN"/>
        </w:rPr>
        <w:t xml:space="preserve">（四）推动商务领域信用建设，指导商业信用销售；按有关规定对特殊流通行业进行监督管理。 </w:t>
      </w:r>
    </w:p>
    <w:p>
      <w:pPr>
        <w:spacing w:line="590" w:lineRule="exact"/>
        <w:ind w:firstLine="660"/>
        <w:rPr>
          <w:rFonts w:hint="eastAsia" w:ascii="宋体" w:hAnsi="宋体" w:cs="宋体"/>
          <w:color w:val="000000"/>
          <w:sz w:val="28"/>
          <w:szCs w:val="28"/>
          <w:lang w:val="zh-CN" w:bidi="zh-CN"/>
        </w:rPr>
      </w:pPr>
      <w:r>
        <w:rPr>
          <w:rFonts w:hint="eastAsia" w:ascii="宋体" w:hAnsi="宋体" w:cs="宋体"/>
          <w:color w:val="000000"/>
          <w:sz w:val="28"/>
          <w:szCs w:val="28"/>
          <w:lang w:val="zh-CN" w:bidi="zh-CN"/>
        </w:rPr>
        <w:t>（五）承担组织实施重要消费品市场调控和重要生产资料流通管理的责任，负责建立健全生活必需品市场供应应急管理机制，监测分析市场运行、商品供求状况，调查分析商品价格信息，进行预测预警和信息引导；按分工负责重要消费品储备管理和市场调控工作；按权限对成品油流通进行监督管理。</w:t>
      </w:r>
    </w:p>
    <w:p>
      <w:pPr>
        <w:spacing w:line="590" w:lineRule="exact"/>
        <w:ind w:firstLine="660"/>
        <w:rPr>
          <w:rFonts w:hint="eastAsia" w:ascii="宋体" w:hAnsi="宋体" w:cs="宋体"/>
          <w:color w:val="000000"/>
          <w:sz w:val="28"/>
          <w:szCs w:val="28"/>
          <w:lang w:val="zh-CN" w:bidi="zh-CN"/>
        </w:rPr>
      </w:pPr>
      <w:r>
        <w:rPr>
          <w:rFonts w:hint="eastAsia" w:ascii="宋体" w:hAnsi="宋体" w:cs="宋体"/>
          <w:color w:val="000000"/>
          <w:sz w:val="28"/>
          <w:szCs w:val="28"/>
          <w:lang w:val="zh-CN" w:bidi="zh-CN"/>
        </w:rPr>
        <w:t>（六）贯彻执行国家进出口商品、加工贸易管理办法和进出口商品管理的技术目录。拟订促进外贸增长方式转变的政策措施；组织实施重要工业品、原材料和重要农产品进出口计划；指导、协调全区各类进出口企业的进出口业务和加工贸易业务，指导对外贸易促进活动和对外贸易促进体系建设。</w:t>
      </w:r>
    </w:p>
    <w:p>
      <w:pPr>
        <w:spacing w:line="590" w:lineRule="exact"/>
        <w:ind w:firstLine="660"/>
        <w:rPr>
          <w:rFonts w:hint="eastAsia" w:ascii="宋体" w:hAnsi="宋体" w:cs="宋体"/>
          <w:color w:val="000000"/>
          <w:sz w:val="28"/>
          <w:szCs w:val="28"/>
          <w:lang w:val="zh-CN" w:bidi="zh-CN"/>
        </w:rPr>
      </w:pPr>
      <w:r>
        <w:rPr>
          <w:rFonts w:hint="eastAsia" w:ascii="宋体" w:hAnsi="宋体" w:cs="宋体"/>
          <w:color w:val="000000"/>
          <w:sz w:val="28"/>
          <w:szCs w:val="28"/>
          <w:lang w:val="zh-CN" w:bidi="zh-CN"/>
        </w:rPr>
        <w:t>（七）贯彻执行国家对外技术贸易、出口管制以及鼓励技术和成套设备进出口的贸易政策；负责协调管理内外贸易科技发展和技术进出口，协调全区高新技术产品出口、出口市场的开拓和技术出口的管理工作；依法监督管理全区技术进出口工作。</w:t>
      </w:r>
    </w:p>
    <w:p>
      <w:pPr>
        <w:spacing w:line="590" w:lineRule="exact"/>
        <w:ind w:firstLine="660"/>
        <w:rPr>
          <w:rFonts w:hint="eastAsia" w:ascii="宋体" w:hAnsi="宋体" w:cs="宋体"/>
          <w:color w:val="000000"/>
          <w:sz w:val="28"/>
          <w:szCs w:val="28"/>
          <w:lang w:val="zh-CN" w:bidi="zh-CN"/>
        </w:rPr>
      </w:pPr>
      <w:r>
        <w:rPr>
          <w:rFonts w:hint="eastAsia" w:ascii="宋体" w:hAnsi="宋体" w:cs="宋体"/>
          <w:color w:val="000000"/>
          <w:sz w:val="28"/>
          <w:szCs w:val="28"/>
          <w:lang w:val="zh-CN" w:bidi="zh-CN"/>
        </w:rPr>
        <w:t xml:space="preserve">（八）牵头拟订服务贸易发展规划并开展相关工作；会同有关部门制定促进服务出口、服务外包的规划、政策并组织实施，推动服务外包平台建设。 </w:t>
      </w:r>
    </w:p>
    <w:p>
      <w:pPr>
        <w:spacing w:line="590" w:lineRule="exact"/>
        <w:ind w:firstLine="660"/>
        <w:rPr>
          <w:rFonts w:hint="eastAsia" w:ascii="宋体" w:hAnsi="宋体" w:cs="宋体"/>
          <w:color w:val="000000"/>
          <w:sz w:val="28"/>
          <w:szCs w:val="28"/>
          <w:lang w:val="zh-CN" w:bidi="zh-CN"/>
        </w:rPr>
      </w:pPr>
      <w:r>
        <w:rPr>
          <w:rFonts w:hint="eastAsia" w:ascii="宋体" w:hAnsi="宋体" w:cs="宋体"/>
          <w:color w:val="000000"/>
          <w:sz w:val="28"/>
          <w:szCs w:val="28"/>
          <w:lang w:val="zh-CN" w:bidi="zh-CN"/>
        </w:rPr>
        <w:t>（九）指导全区招商引资和承接产业转移工作，拟订并组织实施招商引资和承接产业转移政策；依法核准重大外商投资项目的合同章程及法律特别规定的重大变更事项；依法监督检查外商投资企业执行有关法律法规规章、合同章程的情况并协调解决有关问题；指导投资促进及全区外商投资企业备案登记工作，规范招商引资活动；指导园区有关工作。</w:t>
      </w:r>
    </w:p>
    <w:p>
      <w:pPr>
        <w:spacing w:line="590" w:lineRule="exact"/>
        <w:ind w:firstLine="660"/>
        <w:rPr>
          <w:rFonts w:hint="eastAsia" w:ascii="宋体" w:hAnsi="宋体" w:cs="宋体"/>
          <w:color w:val="000000"/>
          <w:sz w:val="28"/>
          <w:szCs w:val="28"/>
          <w:lang w:val="zh-CN" w:bidi="zh-CN"/>
        </w:rPr>
      </w:pPr>
      <w:r>
        <w:rPr>
          <w:rFonts w:hint="eastAsia" w:ascii="宋体" w:hAnsi="宋体" w:cs="宋体"/>
          <w:color w:val="000000"/>
          <w:sz w:val="28"/>
          <w:szCs w:val="28"/>
          <w:lang w:val="zh-CN" w:bidi="zh-CN"/>
        </w:rPr>
        <w:t>（十）负责组织参与商务部、省政府和市政府举办的内外贸易促销活动和招商引资、对外经济技术合作活动；负责组织、指导、协调以</w:t>
      </w:r>
      <w:r>
        <w:rPr>
          <w:rFonts w:hint="eastAsia" w:ascii="宋体" w:hAnsi="宋体" w:cs="宋体"/>
          <w:color w:val="000000"/>
          <w:sz w:val="28"/>
          <w:szCs w:val="28"/>
          <w:lang w:val="zh-CN" w:eastAsia="zh-CN" w:bidi="zh-CN"/>
        </w:rPr>
        <w:t>珠晖</w:t>
      </w:r>
      <w:r>
        <w:rPr>
          <w:rFonts w:hint="eastAsia" w:ascii="宋体" w:hAnsi="宋体" w:cs="宋体"/>
          <w:color w:val="000000"/>
          <w:sz w:val="28"/>
          <w:szCs w:val="28"/>
          <w:lang w:val="zh-CN" w:bidi="zh-CN"/>
        </w:rPr>
        <w:t xml:space="preserve">区名义在境内外举办的各种内外贸易交易会、展览会、展销会和招商引资等商务活动。 </w:t>
      </w:r>
    </w:p>
    <w:p>
      <w:pPr>
        <w:spacing w:line="590" w:lineRule="exact"/>
        <w:ind w:firstLine="660"/>
        <w:rPr>
          <w:rFonts w:hint="eastAsia" w:ascii="宋体" w:hAnsi="宋体" w:cs="宋体"/>
          <w:color w:val="000000"/>
          <w:sz w:val="28"/>
          <w:szCs w:val="28"/>
          <w:lang w:val="zh-CN" w:bidi="zh-CN"/>
        </w:rPr>
      </w:pPr>
      <w:r>
        <w:rPr>
          <w:rFonts w:hint="eastAsia" w:ascii="宋体" w:hAnsi="宋体" w:cs="宋体"/>
          <w:color w:val="000000"/>
          <w:sz w:val="28"/>
          <w:szCs w:val="28"/>
          <w:lang w:val="zh-CN" w:bidi="zh-CN"/>
        </w:rPr>
        <w:t>（十一）负责全区对外经济合作工作，</w:t>
      </w:r>
      <w:r>
        <w:rPr>
          <w:rFonts w:hint="eastAsia" w:ascii="宋体" w:hAnsi="宋体" w:cs="宋体"/>
          <w:color w:val="000000"/>
          <w:sz w:val="28"/>
          <w:szCs w:val="28"/>
          <w:lang w:val="zh-CN" w:eastAsia="zh-CN" w:bidi="zh-CN"/>
        </w:rPr>
        <w:t>协调配合</w:t>
      </w:r>
      <w:r>
        <w:rPr>
          <w:rFonts w:hint="eastAsia" w:ascii="宋体" w:hAnsi="宋体" w:cs="宋体"/>
          <w:color w:val="000000"/>
          <w:sz w:val="28"/>
          <w:szCs w:val="28"/>
          <w:lang w:val="zh-CN" w:bidi="zh-CN"/>
        </w:rPr>
        <w:t>对外承包工程、对外劳务合作等对外经济合作业务；负责牵头外派劳务和境外就业人员的权益保护工作；协调管理全区承担的对外援助项目等。</w:t>
      </w:r>
    </w:p>
    <w:p>
      <w:pPr>
        <w:spacing w:line="590" w:lineRule="exact"/>
        <w:ind w:firstLine="660"/>
        <w:rPr>
          <w:rFonts w:hint="eastAsia" w:ascii="宋体" w:hAnsi="宋体" w:cs="宋体"/>
          <w:color w:val="000000"/>
          <w:sz w:val="28"/>
          <w:szCs w:val="28"/>
          <w:lang w:val="zh-CN" w:bidi="zh-CN"/>
        </w:rPr>
      </w:pPr>
      <w:r>
        <w:rPr>
          <w:rFonts w:hint="eastAsia" w:ascii="宋体" w:hAnsi="宋体" w:cs="宋体"/>
          <w:color w:val="000000"/>
          <w:sz w:val="28"/>
          <w:szCs w:val="28"/>
          <w:lang w:val="zh-CN" w:bidi="zh-CN"/>
        </w:rPr>
        <w:t xml:space="preserve">（十二）贯彻执行国家对香港、澳门特别行政区和台湾地区的经贸规划、政策，指导我区对港、澳、台地区贸易和经贸合作活动，协调港、澳、台商投资管理工作。 </w:t>
      </w:r>
    </w:p>
    <w:p>
      <w:pPr>
        <w:spacing w:line="590" w:lineRule="exact"/>
        <w:ind w:firstLine="660"/>
        <w:rPr>
          <w:rFonts w:hint="eastAsia" w:ascii="宋体" w:hAnsi="宋体" w:cs="宋体"/>
          <w:color w:val="000000"/>
          <w:sz w:val="28"/>
          <w:szCs w:val="28"/>
          <w:lang w:val="zh-CN" w:bidi="zh-CN"/>
        </w:rPr>
      </w:pPr>
      <w:r>
        <w:rPr>
          <w:rFonts w:hint="eastAsia" w:ascii="宋体" w:hAnsi="宋体" w:cs="宋体"/>
          <w:color w:val="000000"/>
          <w:sz w:val="28"/>
          <w:szCs w:val="28"/>
          <w:lang w:val="zh-CN" w:bidi="zh-CN"/>
        </w:rPr>
        <w:t>（十三）承担全区商务系统统计及其信息发布工作，提供信息咨询服务，指导全区流通领域信息网络和电子商务建设。</w:t>
      </w:r>
    </w:p>
    <w:p>
      <w:pPr>
        <w:spacing w:line="590" w:lineRule="exact"/>
        <w:ind w:firstLine="660"/>
        <w:rPr>
          <w:rFonts w:hint="eastAsia" w:ascii="宋体" w:hAnsi="宋体" w:cs="宋体"/>
          <w:color w:val="000000"/>
          <w:sz w:val="28"/>
          <w:szCs w:val="28"/>
          <w:lang w:val="zh-CN" w:bidi="zh-CN"/>
        </w:rPr>
      </w:pPr>
      <w:r>
        <w:rPr>
          <w:rFonts w:hint="eastAsia" w:ascii="宋体" w:hAnsi="宋体" w:cs="宋体"/>
          <w:color w:val="000000"/>
          <w:sz w:val="28"/>
          <w:szCs w:val="28"/>
          <w:lang w:val="zh-CN" w:bidi="zh-CN"/>
        </w:rPr>
        <w:t>（十四）</w:t>
      </w:r>
      <w:r>
        <w:rPr>
          <w:rFonts w:hint="eastAsia" w:ascii="宋体" w:hAnsi="宋体" w:cs="宋体"/>
          <w:color w:val="000000"/>
          <w:sz w:val="28"/>
          <w:szCs w:val="28"/>
          <w:lang w:val="zh-CN" w:eastAsia="zh-CN" w:bidi="zh-CN"/>
        </w:rPr>
        <w:t>负责本行业、领域的应急管理工作；</w:t>
      </w:r>
      <w:r>
        <w:rPr>
          <w:rFonts w:hint="eastAsia" w:ascii="宋体" w:hAnsi="宋体" w:cs="宋体"/>
          <w:color w:val="000000"/>
          <w:sz w:val="28"/>
          <w:szCs w:val="28"/>
          <w:lang w:val="zh-CN" w:bidi="zh-CN"/>
        </w:rPr>
        <w:t>负责对全区商贸流通行业的安全生产工作实施监督管理。</w:t>
      </w:r>
    </w:p>
    <w:p>
      <w:pPr>
        <w:spacing w:line="590" w:lineRule="exact"/>
        <w:ind w:firstLine="660"/>
        <w:rPr>
          <w:rFonts w:hint="eastAsia" w:ascii="宋体" w:hAnsi="宋体" w:cs="宋体"/>
          <w:color w:val="000000"/>
          <w:sz w:val="28"/>
          <w:szCs w:val="28"/>
          <w:lang w:val="zh-CN" w:bidi="zh-CN"/>
        </w:rPr>
      </w:pPr>
      <w:r>
        <w:rPr>
          <w:rFonts w:hint="eastAsia" w:ascii="宋体" w:hAnsi="宋体" w:cs="宋体"/>
          <w:color w:val="000000"/>
          <w:sz w:val="28"/>
          <w:szCs w:val="28"/>
          <w:lang w:val="zh-CN" w:bidi="zh-CN"/>
        </w:rPr>
        <w:t>（十</w:t>
      </w:r>
      <w:r>
        <w:rPr>
          <w:rFonts w:hint="eastAsia" w:ascii="宋体" w:hAnsi="宋体" w:cs="宋体"/>
          <w:color w:val="000000"/>
          <w:sz w:val="28"/>
          <w:szCs w:val="28"/>
          <w:lang w:val="zh-CN" w:eastAsia="zh-CN" w:bidi="zh-CN"/>
        </w:rPr>
        <w:t>五</w:t>
      </w:r>
      <w:r>
        <w:rPr>
          <w:rFonts w:hint="eastAsia" w:ascii="宋体" w:hAnsi="宋体" w:cs="宋体"/>
          <w:color w:val="000000"/>
          <w:sz w:val="28"/>
          <w:szCs w:val="28"/>
          <w:lang w:val="zh-CN" w:bidi="zh-CN"/>
        </w:rPr>
        <w:t>）完成区委、区政府交办的其他任务。</w:t>
      </w:r>
    </w:p>
    <w:p>
      <w:pPr>
        <w:spacing w:line="590" w:lineRule="exact"/>
        <w:ind w:firstLine="660"/>
        <w:rPr>
          <w:rFonts w:ascii="宋体" w:hAnsi="宋体" w:cs="宋体"/>
          <w:color w:val="000000"/>
          <w:sz w:val="28"/>
          <w:szCs w:val="28"/>
          <w:lang w:val="zh-CN" w:bidi="zh-CN"/>
        </w:rPr>
      </w:pPr>
      <w:r>
        <w:rPr>
          <w:rFonts w:hint="eastAsia" w:ascii="宋体" w:hAnsi="宋体" w:cs="宋体"/>
          <w:color w:val="000000"/>
          <w:sz w:val="28"/>
          <w:szCs w:val="28"/>
          <w:lang w:val="zh-CN" w:bidi="zh-CN"/>
        </w:rPr>
        <w:t>3.重点工作计划。</w:t>
      </w:r>
    </w:p>
    <w:p>
      <w:pPr>
        <w:spacing w:line="590" w:lineRule="exact"/>
        <w:ind w:firstLine="660"/>
        <w:rPr>
          <w:rFonts w:hint="eastAsia" w:ascii="宋体" w:hAnsi="宋体" w:cs="宋体"/>
          <w:color w:val="000000"/>
          <w:sz w:val="28"/>
          <w:szCs w:val="28"/>
          <w:lang w:val="zh-CN" w:bidi="zh-CN"/>
        </w:rPr>
      </w:pPr>
      <w:r>
        <w:rPr>
          <w:rFonts w:hint="eastAsia" w:ascii="宋体" w:hAnsi="宋体" w:cs="宋体"/>
          <w:color w:val="000000"/>
          <w:sz w:val="28"/>
          <w:szCs w:val="28"/>
          <w:lang w:val="zh-CN" w:bidi="zh-CN"/>
        </w:rPr>
        <w:t>（一）瞄准重点产业，创新招商方式，精准推进招商引资新发展。发展外贸新业态，</w:t>
      </w:r>
      <w:r>
        <w:rPr>
          <w:rFonts w:hint="eastAsia" w:ascii="宋体" w:hAnsi="宋体" w:eastAsia="宋体" w:cs="宋体"/>
          <w:color w:val="000000"/>
          <w:sz w:val="28"/>
          <w:szCs w:val="28"/>
          <w:lang w:val="zh-CN" w:bidi="zh-CN"/>
        </w:rPr>
        <w:t>推动外向型经济新突破。</w:t>
      </w:r>
    </w:p>
    <w:p>
      <w:pPr>
        <w:spacing w:line="590" w:lineRule="exact"/>
        <w:ind w:firstLine="660"/>
        <w:rPr>
          <w:rFonts w:cs="宋体"/>
          <w:color w:val="000000"/>
          <w:sz w:val="28"/>
          <w:szCs w:val="28"/>
        </w:rPr>
      </w:pPr>
      <w:r>
        <w:rPr>
          <w:rFonts w:hint="eastAsia" w:ascii="宋体" w:hAnsi="宋体" w:cs="宋体"/>
          <w:color w:val="000000"/>
          <w:sz w:val="28"/>
          <w:szCs w:val="28"/>
          <w:lang w:val="zh-CN" w:bidi="zh-CN"/>
        </w:rPr>
        <w:t>（</w:t>
      </w:r>
      <w:r>
        <w:rPr>
          <w:rFonts w:hint="eastAsia" w:ascii="宋体" w:hAnsi="宋体" w:cs="宋体"/>
          <w:color w:val="000000"/>
          <w:sz w:val="28"/>
          <w:szCs w:val="28"/>
          <w:lang w:val="en-US" w:bidi="zh-CN"/>
        </w:rPr>
        <w:t>二</w:t>
      </w:r>
      <w:r>
        <w:rPr>
          <w:rFonts w:hint="eastAsia" w:ascii="宋体" w:hAnsi="宋体" w:cs="宋体"/>
          <w:color w:val="000000"/>
          <w:sz w:val="28"/>
          <w:szCs w:val="28"/>
          <w:lang w:val="zh-CN" w:bidi="zh-CN"/>
        </w:rPr>
        <w:t xml:space="preserve">）培育中小企业发展，推进“个转企”进度，抓好大商业资源，促进社零稳步增长。 </w:t>
      </w:r>
    </w:p>
    <w:p>
      <w:pPr>
        <w:spacing w:line="590" w:lineRule="exact"/>
        <w:ind w:firstLine="660"/>
        <w:rPr>
          <w:rFonts w:ascii="宋体" w:hAnsi="宋体" w:cs="宋体"/>
          <w:color w:val="000000"/>
          <w:sz w:val="28"/>
          <w:szCs w:val="28"/>
        </w:rPr>
      </w:pPr>
      <w:r>
        <w:rPr>
          <w:rFonts w:hint="eastAsia" w:cs="宋体"/>
          <w:color w:val="000000"/>
          <w:sz w:val="28"/>
          <w:szCs w:val="28"/>
        </w:rPr>
        <w:t>（三）聚焦安全生产，加强商贸流通领域监管</w:t>
      </w:r>
      <w:r>
        <w:rPr>
          <w:rFonts w:hint="eastAsia" w:cs="宋体"/>
          <w:color w:val="000000"/>
          <w:sz w:val="28"/>
          <w:szCs w:val="28"/>
          <w:lang w:eastAsia="zh-CN"/>
        </w:rPr>
        <w:t>，</w:t>
      </w:r>
      <w:r>
        <w:rPr>
          <w:rFonts w:hint="eastAsia" w:cs="宋体"/>
          <w:color w:val="000000"/>
          <w:sz w:val="28"/>
          <w:szCs w:val="28"/>
        </w:rPr>
        <w:t>做好“十四五”成品油零售网点规划和</w:t>
      </w:r>
      <w:r>
        <w:rPr>
          <w:rFonts w:hint="eastAsia" w:cs="宋体"/>
          <w:color w:val="000000"/>
          <w:sz w:val="28"/>
          <w:szCs w:val="28"/>
          <w:lang w:eastAsia="zh-CN"/>
        </w:rPr>
        <w:t>市场体系建设</w:t>
      </w:r>
      <w:r>
        <w:rPr>
          <w:rFonts w:hint="eastAsia" w:cs="宋体"/>
          <w:color w:val="000000"/>
          <w:sz w:val="28"/>
          <w:szCs w:val="28"/>
        </w:rPr>
        <w:t>。</w:t>
      </w:r>
    </w:p>
    <w:p>
      <w:pPr>
        <w:pStyle w:val="18"/>
        <w:tabs>
          <w:tab w:val="left" w:pos="867"/>
        </w:tabs>
        <w:spacing w:line="360" w:lineRule="auto"/>
        <w:rPr>
          <w:sz w:val="28"/>
          <w:szCs w:val="28"/>
        </w:rPr>
      </w:pPr>
      <w:bookmarkStart w:id="4" w:name="bookmark94"/>
      <w:r>
        <w:rPr>
          <w:rFonts w:hint="eastAsia"/>
          <w:color w:val="000000"/>
          <w:sz w:val="28"/>
          <w:szCs w:val="28"/>
        </w:rPr>
        <w:t>二</w:t>
      </w:r>
      <w:bookmarkEnd w:id="4"/>
      <w:r>
        <w:rPr>
          <w:rFonts w:hint="eastAsia"/>
          <w:color w:val="000000"/>
          <w:sz w:val="28"/>
          <w:szCs w:val="28"/>
        </w:rPr>
        <w:t>、部门整体支出管理及使用情况</w:t>
      </w:r>
    </w:p>
    <w:p>
      <w:pPr>
        <w:pStyle w:val="18"/>
        <w:tabs>
          <w:tab w:val="left" w:pos="1111"/>
        </w:tabs>
        <w:spacing w:line="360" w:lineRule="auto"/>
        <w:ind w:firstLine="500"/>
        <w:jc w:val="left"/>
        <w:rPr>
          <w:sz w:val="28"/>
          <w:szCs w:val="28"/>
        </w:rPr>
      </w:pPr>
      <w:bookmarkStart w:id="5" w:name="bookmark95"/>
      <w:r>
        <w:rPr>
          <w:rFonts w:hint="eastAsia"/>
          <w:color w:val="000000"/>
          <w:sz w:val="28"/>
          <w:szCs w:val="28"/>
        </w:rPr>
        <w:t>（</w:t>
      </w:r>
      <w:bookmarkEnd w:id="5"/>
      <w:r>
        <w:rPr>
          <w:rFonts w:hint="eastAsia"/>
          <w:color w:val="000000"/>
          <w:sz w:val="28"/>
          <w:szCs w:val="28"/>
        </w:rPr>
        <w:t>一）基本支出</w:t>
      </w:r>
    </w:p>
    <w:p>
      <w:pPr>
        <w:spacing w:line="560" w:lineRule="exact"/>
        <w:ind w:firstLine="645"/>
        <w:rPr>
          <w:rFonts w:ascii="宋体" w:hAnsi="宋体" w:cs="宋体"/>
          <w:color w:val="000000"/>
          <w:sz w:val="28"/>
          <w:szCs w:val="28"/>
          <w:lang w:bidi="zh-CN"/>
        </w:rPr>
      </w:pPr>
      <w:r>
        <w:rPr>
          <w:rFonts w:hint="eastAsia" w:ascii="宋体" w:hAnsi="宋体" w:cs="宋体"/>
          <w:color w:val="000000"/>
          <w:sz w:val="28"/>
          <w:szCs w:val="28"/>
          <w:lang w:bidi="zh-CN"/>
        </w:rPr>
        <w:t>2022</w:t>
      </w:r>
      <w:r>
        <w:rPr>
          <w:rFonts w:ascii="宋体" w:hAnsi="宋体" w:cs="宋体"/>
          <w:color w:val="000000"/>
          <w:sz w:val="28"/>
          <w:szCs w:val="28"/>
          <w:lang w:bidi="zh-CN"/>
        </w:rPr>
        <w:t>年度基本支出</w:t>
      </w:r>
      <w:r>
        <w:rPr>
          <w:rFonts w:hint="eastAsia" w:ascii="宋体" w:hAnsi="宋体" w:cs="宋体"/>
          <w:color w:val="000000"/>
          <w:sz w:val="28"/>
          <w:szCs w:val="28"/>
          <w:lang w:val="en-US" w:bidi="zh-CN"/>
        </w:rPr>
        <w:t>149.16</w:t>
      </w:r>
      <w:r>
        <w:rPr>
          <w:rFonts w:ascii="宋体" w:hAnsi="宋体" w:cs="宋体"/>
          <w:color w:val="000000"/>
          <w:sz w:val="28"/>
          <w:szCs w:val="28"/>
          <w:lang w:bidi="zh-CN"/>
        </w:rPr>
        <w:t>万元，</w:t>
      </w:r>
      <w:r>
        <w:rPr>
          <w:rFonts w:hint="eastAsia" w:ascii="宋体" w:hAnsi="宋体" w:cs="宋体"/>
          <w:color w:val="000000"/>
          <w:sz w:val="28"/>
          <w:szCs w:val="28"/>
          <w:lang w:bidi="zh-CN"/>
        </w:rPr>
        <w:t>主要是工资福利支出、对个人家庭的补助、商品和服务支出中公用经费支出。</w:t>
      </w:r>
    </w:p>
    <w:p>
      <w:pPr>
        <w:spacing w:line="590" w:lineRule="exact"/>
        <w:ind w:firstLine="660"/>
        <w:rPr>
          <w:rFonts w:ascii="宋体" w:hAnsi="宋体" w:cs="宋体"/>
          <w:color w:val="000000"/>
          <w:sz w:val="28"/>
          <w:szCs w:val="28"/>
        </w:rPr>
      </w:pPr>
      <w:r>
        <w:rPr>
          <w:rFonts w:hint="eastAsia" w:ascii="宋体" w:hAnsi="宋体" w:cs="宋体"/>
          <w:color w:val="000000"/>
          <w:sz w:val="28"/>
          <w:szCs w:val="28"/>
          <w:lang w:bidi="zh-CN"/>
        </w:rPr>
        <w:t>2022年“三公”经费支出为</w:t>
      </w:r>
      <w:r>
        <w:rPr>
          <w:rFonts w:hint="eastAsia" w:ascii="宋体" w:hAnsi="宋体" w:cs="宋体"/>
          <w:color w:val="000000"/>
          <w:sz w:val="28"/>
          <w:szCs w:val="28"/>
          <w:lang w:val="en-US" w:bidi="zh-CN"/>
        </w:rPr>
        <w:t>5</w:t>
      </w:r>
      <w:bookmarkStart w:id="9" w:name="_GoBack"/>
      <w:bookmarkEnd w:id="9"/>
      <w:r>
        <w:rPr>
          <w:rFonts w:hint="eastAsia" w:ascii="宋体" w:hAnsi="宋体" w:cs="宋体"/>
          <w:color w:val="000000"/>
          <w:sz w:val="28"/>
          <w:szCs w:val="28"/>
          <w:lang w:bidi="zh-CN"/>
        </w:rPr>
        <w:t>万元，为认真贯彻落实中央“八项规定”精神和厉行节约、反对铺张浪费要求，严格控制“三公”经费开支。</w:t>
      </w:r>
    </w:p>
    <w:p>
      <w:pPr>
        <w:pStyle w:val="18"/>
        <w:tabs>
          <w:tab w:val="left" w:pos="1111"/>
        </w:tabs>
        <w:spacing w:line="360" w:lineRule="auto"/>
        <w:ind w:firstLine="500"/>
        <w:jc w:val="left"/>
        <w:rPr>
          <w:sz w:val="28"/>
          <w:szCs w:val="28"/>
        </w:rPr>
      </w:pPr>
      <w:bookmarkStart w:id="6" w:name="bookmark96"/>
      <w:r>
        <w:rPr>
          <w:rFonts w:hint="eastAsia"/>
          <w:color w:val="000000"/>
          <w:sz w:val="28"/>
          <w:szCs w:val="28"/>
        </w:rPr>
        <w:t>（</w:t>
      </w:r>
      <w:bookmarkEnd w:id="6"/>
      <w:r>
        <w:rPr>
          <w:rFonts w:hint="eastAsia"/>
          <w:color w:val="000000"/>
          <w:sz w:val="28"/>
          <w:szCs w:val="28"/>
        </w:rPr>
        <w:t>二）项目支出</w:t>
      </w:r>
    </w:p>
    <w:p>
      <w:pPr>
        <w:pStyle w:val="18"/>
        <w:tabs>
          <w:tab w:val="left" w:pos="765"/>
        </w:tabs>
        <w:spacing w:line="360" w:lineRule="auto"/>
        <w:rPr>
          <w:sz w:val="28"/>
          <w:szCs w:val="28"/>
          <w:lang w:val="en-US" w:bidi="ar-SA"/>
        </w:rPr>
      </w:pPr>
      <w:r>
        <w:rPr>
          <w:rFonts w:hint="eastAsia"/>
          <w:color w:val="000000"/>
          <w:sz w:val="28"/>
          <w:szCs w:val="28"/>
          <w:lang w:val="en-US" w:eastAsia="zh-CN"/>
        </w:rPr>
        <w:t>2022</w:t>
      </w:r>
      <w:r>
        <w:rPr>
          <w:color w:val="000000"/>
          <w:sz w:val="28"/>
          <w:szCs w:val="28"/>
          <w:lang w:val="en-US"/>
        </w:rPr>
        <w:t>年度</w:t>
      </w:r>
      <w:r>
        <w:rPr>
          <w:rFonts w:hint="eastAsia"/>
          <w:color w:val="000000"/>
          <w:sz w:val="28"/>
          <w:szCs w:val="28"/>
          <w:lang w:val="en-US"/>
        </w:rPr>
        <w:t>项目</w:t>
      </w:r>
      <w:r>
        <w:rPr>
          <w:color w:val="000000"/>
          <w:sz w:val="28"/>
          <w:szCs w:val="28"/>
          <w:lang w:val="en-US"/>
        </w:rPr>
        <w:t>支出</w:t>
      </w:r>
      <w:r>
        <w:rPr>
          <w:rFonts w:hint="eastAsia"/>
          <w:color w:val="000000"/>
          <w:sz w:val="28"/>
          <w:szCs w:val="28"/>
          <w:lang w:val="en-US" w:eastAsia="zh-CN"/>
        </w:rPr>
        <w:t>102.85</w:t>
      </w:r>
      <w:r>
        <w:rPr>
          <w:color w:val="000000"/>
          <w:sz w:val="28"/>
          <w:szCs w:val="28"/>
          <w:lang w:val="en-US"/>
        </w:rPr>
        <w:t>万元</w:t>
      </w:r>
      <w:r>
        <w:rPr>
          <w:rFonts w:hint="eastAsia"/>
          <w:color w:val="000000"/>
          <w:sz w:val="28"/>
          <w:szCs w:val="28"/>
          <w:lang w:val="en-US"/>
        </w:rPr>
        <w:t>，主要是指单位为完成特定行政工作任务或事业发展目标而发生的支出</w:t>
      </w:r>
      <w:bookmarkStart w:id="7" w:name="bookmark98"/>
      <w:r>
        <w:rPr>
          <w:rFonts w:hint="eastAsia"/>
          <w:color w:val="000000"/>
          <w:sz w:val="28"/>
          <w:szCs w:val="28"/>
          <w:lang w:val="en-US"/>
        </w:rPr>
        <w:t>。</w:t>
      </w:r>
    </w:p>
    <w:bookmarkEnd w:id="7"/>
    <w:p>
      <w:pPr>
        <w:pStyle w:val="18"/>
        <w:tabs>
          <w:tab w:val="left" w:pos="876"/>
        </w:tabs>
        <w:spacing w:line="360" w:lineRule="auto"/>
        <w:ind w:firstLine="420"/>
        <w:rPr>
          <w:sz w:val="28"/>
          <w:szCs w:val="28"/>
        </w:rPr>
      </w:pPr>
      <w:r>
        <w:rPr>
          <w:rFonts w:hint="eastAsia"/>
          <w:color w:val="000000"/>
          <w:sz w:val="28"/>
          <w:szCs w:val="28"/>
        </w:rPr>
        <w:t>三、资产管理情况</w:t>
      </w:r>
    </w:p>
    <w:p>
      <w:pPr>
        <w:pStyle w:val="18"/>
        <w:tabs>
          <w:tab w:val="left" w:pos="886"/>
        </w:tabs>
        <w:spacing w:line="360" w:lineRule="auto"/>
        <w:ind w:firstLine="420"/>
        <w:rPr>
          <w:color w:val="000000"/>
          <w:sz w:val="28"/>
          <w:szCs w:val="28"/>
          <w:lang w:val="en-US"/>
        </w:rPr>
      </w:pPr>
      <w:bookmarkStart w:id="8" w:name="bookmark102"/>
      <w:r>
        <w:rPr>
          <w:rFonts w:hint="eastAsia"/>
          <w:color w:val="000000"/>
          <w:sz w:val="28"/>
          <w:szCs w:val="28"/>
          <w:lang w:val="en-US"/>
        </w:rPr>
        <w:t>截至</w:t>
      </w:r>
      <w:r>
        <w:rPr>
          <w:rFonts w:hint="eastAsia"/>
          <w:color w:val="000000"/>
          <w:sz w:val="28"/>
          <w:szCs w:val="28"/>
          <w:lang w:val="en-US" w:eastAsia="zh-CN"/>
        </w:rPr>
        <w:t>2022</w:t>
      </w:r>
      <w:r>
        <w:rPr>
          <w:rFonts w:hint="eastAsia"/>
          <w:color w:val="000000"/>
          <w:sz w:val="28"/>
          <w:szCs w:val="28"/>
          <w:lang w:val="en-US"/>
        </w:rPr>
        <w:t>年12月31日，衡阳市珠晖区商务局共有车辆0辆（台），其中：副部（省）级及以上领导用车0辆、主要领导干部用车0辆、机要通信用车0辆、应急保障用车0辆、执法执勤用车0辆、特种专业技术用车0辆、其他用车0辆；单价50万元（含）以上通用设备0台（套），单价100万元（含）以上专用设备0台（套）。</w:t>
      </w:r>
    </w:p>
    <w:p>
      <w:pPr>
        <w:pStyle w:val="18"/>
        <w:tabs>
          <w:tab w:val="left" w:pos="886"/>
        </w:tabs>
        <w:spacing w:line="360" w:lineRule="auto"/>
        <w:ind w:firstLine="420"/>
        <w:rPr>
          <w:sz w:val="28"/>
          <w:szCs w:val="28"/>
        </w:rPr>
      </w:pPr>
      <w:r>
        <w:rPr>
          <w:rFonts w:hint="eastAsia"/>
          <w:color w:val="000000"/>
          <w:sz w:val="28"/>
          <w:szCs w:val="28"/>
        </w:rPr>
        <w:t>五</w:t>
      </w:r>
      <w:bookmarkEnd w:id="8"/>
      <w:r>
        <w:rPr>
          <w:rFonts w:hint="eastAsia"/>
          <w:color w:val="000000"/>
          <w:sz w:val="28"/>
          <w:szCs w:val="28"/>
        </w:rPr>
        <w:t>、部门整体支出绩效情况</w:t>
      </w:r>
    </w:p>
    <w:p>
      <w:pPr>
        <w:spacing w:line="590" w:lineRule="exact"/>
        <w:ind w:firstLine="660"/>
        <w:rPr>
          <w:rFonts w:ascii="宋体" w:hAnsi="宋体" w:cs="宋体"/>
          <w:color w:val="000000"/>
          <w:sz w:val="28"/>
          <w:szCs w:val="28"/>
          <w:lang w:bidi="zh-CN"/>
        </w:rPr>
      </w:pPr>
      <w:r>
        <w:rPr>
          <w:rFonts w:hint="eastAsia" w:ascii="宋体" w:hAnsi="宋体" w:cs="宋体"/>
          <w:color w:val="000000"/>
          <w:sz w:val="28"/>
          <w:szCs w:val="28"/>
          <w:lang w:bidi="zh-CN"/>
        </w:rPr>
        <w:t>部门整体支出的经济性，本年预算支出总额控制在预算总额内。</w:t>
      </w:r>
    </w:p>
    <w:p>
      <w:pPr>
        <w:spacing w:line="590" w:lineRule="exact"/>
        <w:ind w:firstLine="560" w:firstLineChars="200"/>
        <w:rPr>
          <w:rFonts w:ascii="宋体" w:hAnsi="宋体" w:cs="宋体"/>
          <w:color w:val="000000"/>
          <w:sz w:val="28"/>
          <w:szCs w:val="28"/>
          <w:lang w:bidi="zh-CN"/>
        </w:rPr>
      </w:pPr>
      <w:r>
        <w:rPr>
          <w:rFonts w:hint="eastAsia" w:ascii="宋体" w:hAnsi="宋体" w:cs="宋体"/>
          <w:color w:val="000000"/>
          <w:sz w:val="28"/>
          <w:szCs w:val="28"/>
          <w:lang w:bidi="zh-CN"/>
        </w:rPr>
        <w:t>部门整体支出的效率性，本年度各项工作、专项完成进度正常，完成质量高。</w:t>
      </w:r>
    </w:p>
    <w:p>
      <w:pPr>
        <w:spacing w:line="590" w:lineRule="exact"/>
        <w:ind w:firstLine="660"/>
        <w:rPr>
          <w:rFonts w:ascii="宋体" w:hAnsi="宋体" w:cs="宋体"/>
          <w:color w:val="000000"/>
          <w:sz w:val="28"/>
          <w:szCs w:val="28"/>
          <w:lang w:bidi="zh-CN"/>
        </w:rPr>
      </w:pPr>
      <w:r>
        <w:rPr>
          <w:rFonts w:hint="eastAsia" w:ascii="宋体" w:hAnsi="宋体" w:cs="宋体"/>
          <w:color w:val="000000"/>
          <w:sz w:val="28"/>
          <w:szCs w:val="28"/>
          <w:lang w:bidi="zh-CN"/>
        </w:rPr>
        <w:t>部门整体支出的有效性，贯彻执行国家、省、市商务工作的方针、政策和法律法规；完成上级安排的商务各项工作目标，推动全区商务事业快速发展。</w:t>
      </w:r>
    </w:p>
    <w:p>
      <w:pPr>
        <w:spacing w:line="590" w:lineRule="exact"/>
        <w:ind w:firstLine="660"/>
        <w:rPr>
          <w:rFonts w:ascii="宋体" w:hAnsi="宋体" w:cs="宋体"/>
          <w:color w:val="000000"/>
          <w:sz w:val="28"/>
          <w:szCs w:val="28"/>
          <w:lang w:bidi="zh-CN"/>
        </w:rPr>
      </w:pPr>
      <w:r>
        <w:rPr>
          <w:rFonts w:hint="eastAsia" w:ascii="宋体" w:hAnsi="宋体" w:cs="宋体"/>
          <w:color w:val="000000"/>
          <w:sz w:val="28"/>
          <w:szCs w:val="28"/>
          <w:lang w:bidi="zh-CN"/>
        </w:rPr>
        <w:t>部门整体支出的可持续性，基本满足工作要求，逐步提高服务水平，增加人民的满意度。</w:t>
      </w:r>
    </w:p>
    <w:p>
      <w:pPr>
        <w:numPr>
          <w:ilvl w:val="0"/>
          <w:numId w:val="1"/>
        </w:numPr>
        <w:spacing w:line="590" w:lineRule="exact"/>
        <w:ind w:firstLine="560" w:firstLineChars="200"/>
        <w:rPr>
          <w:rFonts w:ascii="宋体" w:hAnsi="宋体" w:cs="宋体"/>
          <w:color w:val="000000"/>
          <w:sz w:val="28"/>
          <w:szCs w:val="28"/>
          <w:lang w:bidi="zh-CN"/>
        </w:rPr>
      </w:pPr>
      <w:r>
        <w:rPr>
          <w:rFonts w:hint="eastAsia" w:ascii="宋体" w:hAnsi="宋体" w:cs="宋体"/>
          <w:color w:val="000000"/>
          <w:sz w:val="28"/>
          <w:szCs w:val="28"/>
          <w:lang w:bidi="zh-CN"/>
        </w:rPr>
        <w:t>改进措施和有关建议</w:t>
      </w:r>
    </w:p>
    <w:p>
      <w:pPr>
        <w:spacing w:line="590" w:lineRule="exact"/>
        <w:ind w:firstLine="660"/>
        <w:rPr>
          <w:rFonts w:ascii="宋体" w:hAnsi="宋体" w:cs="宋体"/>
          <w:sz w:val="28"/>
          <w:szCs w:val="28"/>
        </w:rPr>
      </w:pPr>
      <w:r>
        <w:rPr>
          <w:rFonts w:hint="eastAsia" w:ascii="宋体" w:hAnsi="宋体" w:cs="宋体"/>
          <w:color w:val="000000"/>
          <w:sz w:val="28"/>
          <w:szCs w:val="28"/>
          <w:lang w:val="zh-CN" w:bidi="zh-CN"/>
        </w:rPr>
        <w:t>细化预算编制工作，认真做好预算的编制。进一步加强内部机构的预算管理意识，严格按照预算编制的相关制度和要求，本着“勤俭节约、保障运转”的原则进行预算的编制;编制范围尽可能地全面、不漏项，进一步提高预算编制的科学性、合理性、严谨性和可控性。在日常预算管理过程中，进一步加强预算支出的审核、跟踪及预算执行情况分析。加强管理，严格执行单位财务制度。</w:t>
      </w:r>
    </w:p>
    <w:p>
      <w:pPr>
        <w:spacing w:line="1" w:lineRule="exact"/>
        <w:jc w:val="center"/>
        <w:rPr>
          <w:rFonts w:ascii="宋体" w:hAnsi="宋体" w:cs="宋体"/>
          <w:sz w:val="18"/>
          <w:szCs w:val="18"/>
        </w:rPr>
      </w:pPr>
    </w:p>
    <w:sectPr>
      <w:footerReference r:id="rId3" w:type="default"/>
      <w:footerReference r:id="rId4" w:type="even"/>
      <w:pgSz w:w="11906" w:h="16838"/>
      <w:pgMar w:top="1383" w:right="1701" w:bottom="127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1010920</wp:posOffset>
              </wp:positionH>
              <wp:positionV relativeFrom="page">
                <wp:posOffset>9731375</wp:posOffset>
              </wp:positionV>
              <wp:extent cx="603250" cy="106680"/>
              <wp:effectExtent l="0" t="0" r="0" b="0"/>
              <wp:wrapNone/>
              <wp:docPr id="30" name="Shape 30"/>
              <wp:cNvGraphicFramePr/>
              <a:graphic xmlns:a="http://schemas.openxmlformats.org/drawingml/2006/main">
                <a:graphicData uri="http://schemas.microsoft.com/office/word/2010/wordprocessingShape">
                  <wps:wsp>
                    <wps:cNvSpPr txBox="1"/>
                    <wps:spPr>
                      <a:xfrm>
                        <a:off x="0" y="0"/>
                        <a:ext cx="603250" cy="106680"/>
                      </a:xfrm>
                      <a:prstGeom prst="rect">
                        <a:avLst/>
                      </a:prstGeom>
                      <a:noFill/>
                      <a:ln>
                        <a:noFill/>
                      </a:ln>
                      <a:effectLst/>
                    </wps:spPr>
                    <wps:txbx>
                      <w:txbxContent>
                        <w:p>
                          <w:pPr>
                            <w:pStyle w:val="24"/>
                            <w:jc w:val="left"/>
                            <w:rPr>
                              <w:sz w:val="24"/>
                              <w:szCs w:val="24"/>
                            </w:rPr>
                          </w:pPr>
                          <w:r>
                            <w:rPr>
                              <w:rFonts w:ascii="Courier New" w:hAnsi="Courier New" w:eastAsia="Courier New" w:cs="Courier New"/>
                              <w:color w:val="00000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z w:val="24"/>
                              <w:szCs w:val="24"/>
                            </w:rPr>
                            <w:t>#</w:t>
                          </w:r>
                          <w:r>
                            <w:rPr>
                              <w:rFonts w:ascii="Courier New" w:hAnsi="Courier New" w:eastAsia="Courier New" w:cs="Courier New"/>
                              <w:color w:val="000000"/>
                              <w:sz w:val="24"/>
                              <w:szCs w:val="24"/>
                            </w:rPr>
                            <w:fldChar w:fldCharType="end"/>
                          </w:r>
                          <w:r>
                            <w:rPr>
                              <w:rFonts w:ascii="Courier New" w:hAnsi="Courier New" w:eastAsia="Courier New" w:cs="Courier New"/>
                              <w:color w:val="000000"/>
                              <w:sz w:val="24"/>
                              <w:szCs w:val="24"/>
                            </w:rPr>
                            <w:t xml:space="preserve"> </w:t>
                          </w:r>
                          <w:r>
                            <w:rPr>
                              <w:rFonts w:ascii="Courier New" w:hAnsi="Courier New" w:eastAsia="Courier New" w:cs="Courier New"/>
                              <w:color w:val="000000"/>
                              <w:sz w:val="24"/>
                              <w:szCs w:val="24"/>
                              <w:lang w:val="en-US" w:eastAsia="en-US" w:bidi="en-US"/>
                            </w:rPr>
                            <w:t>—</w:t>
                          </w:r>
                        </w:p>
                      </w:txbxContent>
                    </wps:txbx>
                    <wps:bodyPr wrap="none" lIns="0" tIns="0" rIns="0" bIns="0">
                      <a:spAutoFit/>
                    </wps:bodyPr>
                  </wps:wsp>
                </a:graphicData>
              </a:graphic>
            </wp:anchor>
          </w:drawing>
        </mc:Choice>
        <mc:Fallback>
          <w:pict>
            <v:shape id="Shape 30" o:spid="_x0000_s1026" o:spt="202" type="#_x0000_t202" style="position:absolute;left:0pt;margin-left:79.6pt;margin-top:766.25pt;height:8.4pt;width:47.5pt;mso-position-horizontal-relative:page;mso-position-vertical-relative:page;mso-wrap-style:none;z-index:-251657216;mso-width-relative:page;mso-height-relative:page;" filled="f" stroked="f" coordsize="21600,21600" o:gfxdata="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4wtzDYAAAADQEAAA8AAAAAAAAAAQAgAAAAIgAAAGRycy9kb3ducmV2LnhtbFBLAQIU&#10;ABQAAAAIAIdO4kAtT8IzugEAAJcDAAAOAAAAAAAAAAEAIAAAACcBAABkcnMvZTJvRG9jLnhtbFBL&#10;BQYAAAAABgAGAFkBAABTBQAAAAA=&#10;">
              <v:fill on="f" focussize="0,0"/>
              <v:stroke on="f"/>
              <v:imagedata o:title=""/>
              <o:lock v:ext="edit" aspectratio="f"/>
              <v:textbox inset="0mm,0mm,0mm,0mm" style="mso-fit-shape-to-text:t;">
                <w:txbxContent>
                  <w:p>
                    <w:pPr>
                      <w:pStyle w:val="24"/>
                      <w:jc w:val="left"/>
                      <w:rPr>
                        <w:sz w:val="24"/>
                        <w:szCs w:val="24"/>
                      </w:rPr>
                    </w:pPr>
                    <w:r>
                      <w:rPr>
                        <w:rFonts w:ascii="Courier New" w:hAnsi="Courier New" w:eastAsia="Courier New" w:cs="Courier New"/>
                        <w:color w:val="00000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z w:val="24"/>
                        <w:szCs w:val="24"/>
                      </w:rPr>
                      <w:t>#</w:t>
                    </w:r>
                    <w:r>
                      <w:rPr>
                        <w:rFonts w:ascii="Courier New" w:hAnsi="Courier New" w:eastAsia="Courier New" w:cs="Courier New"/>
                        <w:color w:val="000000"/>
                        <w:sz w:val="24"/>
                        <w:szCs w:val="24"/>
                      </w:rPr>
                      <w:fldChar w:fldCharType="end"/>
                    </w:r>
                    <w:r>
                      <w:rPr>
                        <w:rFonts w:ascii="Courier New" w:hAnsi="Courier New" w:eastAsia="Courier New" w:cs="Courier New"/>
                        <w:color w:val="000000"/>
                        <w:sz w:val="24"/>
                        <w:szCs w:val="24"/>
                      </w:rPr>
                      <w:t xml:space="preserve"> </w:t>
                    </w:r>
                    <w:r>
                      <w:rPr>
                        <w:rFonts w:ascii="Courier New" w:hAnsi="Courier New" w:eastAsia="Courier New" w:cs="Courier New"/>
                        <w:color w:val="000000"/>
                        <w:sz w:val="24"/>
                        <w:szCs w:val="24"/>
                        <w:lang w:val="en-US" w:eastAsia="en-US" w:bidi="en-US"/>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CD18C5"/>
    <w:multiLevelType w:val="singleLevel"/>
    <w:tmpl w:val="A5CD18C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xODljYzJhODE2NTg1YjYyYzM1M2JjNTJjYTIwZTgifQ=="/>
  </w:docVars>
  <w:rsids>
    <w:rsidRoot w:val="56C81120"/>
    <w:rsid w:val="000D7AA4"/>
    <w:rsid w:val="00160BD0"/>
    <w:rsid w:val="00225E73"/>
    <w:rsid w:val="00230F1B"/>
    <w:rsid w:val="00251D0B"/>
    <w:rsid w:val="002D14A8"/>
    <w:rsid w:val="0034356B"/>
    <w:rsid w:val="003C46AF"/>
    <w:rsid w:val="003F77EF"/>
    <w:rsid w:val="00455E1B"/>
    <w:rsid w:val="004D64CA"/>
    <w:rsid w:val="0053729E"/>
    <w:rsid w:val="005547EF"/>
    <w:rsid w:val="00693623"/>
    <w:rsid w:val="007419C3"/>
    <w:rsid w:val="007B0252"/>
    <w:rsid w:val="00851F67"/>
    <w:rsid w:val="00874DB9"/>
    <w:rsid w:val="00877331"/>
    <w:rsid w:val="008B28E0"/>
    <w:rsid w:val="009072EF"/>
    <w:rsid w:val="00914AB3"/>
    <w:rsid w:val="00924FC0"/>
    <w:rsid w:val="00A20BC7"/>
    <w:rsid w:val="00C339A6"/>
    <w:rsid w:val="00C50694"/>
    <w:rsid w:val="00C63A40"/>
    <w:rsid w:val="00D9723F"/>
    <w:rsid w:val="00DC0E0B"/>
    <w:rsid w:val="00E15FCC"/>
    <w:rsid w:val="00E6776C"/>
    <w:rsid w:val="00E72009"/>
    <w:rsid w:val="00ED51D3"/>
    <w:rsid w:val="00EF5A9E"/>
    <w:rsid w:val="00F321FC"/>
    <w:rsid w:val="00F36F04"/>
    <w:rsid w:val="01CF307A"/>
    <w:rsid w:val="02312FDE"/>
    <w:rsid w:val="030A3C3B"/>
    <w:rsid w:val="03737E75"/>
    <w:rsid w:val="04953461"/>
    <w:rsid w:val="05D961AC"/>
    <w:rsid w:val="071F2805"/>
    <w:rsid w:val="07853A0B"/>
    <w:rsid w:val="0BB81BC8"/>
    <w:rsid w:val="0C505A2A"/>
    <w:rsid w:val="0D4E4030"/>
    <w:rsid w:val="0F3C6536"/>
    <w:rsid w:val="1085426C"/>
    <w:rsid w:val="111D7620"/>
    <w:rsid w:val="142B3C43"/>
    <w:rsid w:val="14A65964"/>
    <w:rsid w:val="15224E9F"/>
    <w:rsid w:val="16022E63"/>
    <w:rsid w:val="18041186"/>
    <w:rsid w:val="1810076A"/>
    <w:rsid w:val="1AFF4480"/>
    <w:rsid w:val="1B9762D5"/>
    <w:rsid w:val="1C290127"/>
    <w:rsid w:val="1CB55F50"/>
    <w:rsid w:val="1CC85446"/>
    <w:rsid w:val="1D277482"/>
    <w:rsid w:val="1E2E2E1E"/>
    <w:rsid w:val="1F6E185C"/>
    <w:rsid w:val="1F7E147F"/>
    <w:rsid w:val="205265F0"/>
    <w:rsid w:val="205438DB"/>
    <w:rsid w:val="23054AE4"/>
    <w:rsid w:val="236639AE"/>
    <w:rsid w:val="248336F8"/>
    <w:rsid w:val="262507F8"/>
    <w:rsid w:val="279B23C3"/>
    <w:rsid w:val="281A0EAC"/>
    <w:rsid w:val="28E26A4A"/>
    <w:rsid w:val="290A0FAD"/>
    <w:rsid w:val="2C8F18D7"/>
    <w:rsid w:val="2E3D50D8"/>
    <w:rsid w:val="31692A6E"/>
    <w:rsid w:val="31EC420F"/>
    <w:rsid w:val="32151E1A"/>
    <w:rsid w:val="33341AE4"/>
    <w:rsid w:val="33A969D6"/>
    <w:rsid w:val="33B015AE"/>
    <w:rsid w:val="3BDB363C"/>
    <w:rsid w:val="3BE645DA"/>
    <w:rsid w:val="3F577654"/>
    <w:rsid w:val="3F6B28A6"/>
    <w:rsid w:val="40B95CD0"/>
    <w:rsid w:val="423B1DB6"/>
    <w:rsid w:val="44E26451"/>
    <w:rsid w:val="466124A7"/>
    <w:rsid w:val="48370BF5"/>
    <w:rsid w:val="48B10ADA"/>
    <w:rsid w:val="4999703E"/>
    <w:rsid w:val="49AB294A"/>
    <w:rsid w:val="49E8163E"/>
    <w:rsid w:val="4D301426"/>
    <w:rsid w:val="4D625F91"/>
    <w:rsid w:val="506D5864"/>
    <w:rsid w:val="527541A2"/>
    <w:rsid w:val="52E51199"/>
    <w:rsid w:val="534E6B21"/>
    <w:rsid w:val="54365D91"/>
    <w:rsid w:val="54866D41"/>
    <w:rsid w:val="54A2746E"/>
    <w:rsid w:val="56C81120"/>
    <w:rsid w:val="56F073BC"/>
    <w:rsid w:val="57D563AE"/>
    <w:rsid w:val="58A5393A"/>
    <w:rsid w:val="59547CDB"/>
    <w:rsid w:val="596706EB"/>
    <w:rsid w:val="59703C09"/>
    <w:rsid w:val="5A387BCA"/>
    <w:rsid w:val="5B7C6D33"/>
    <w:rsid w:val="5B8E7E9F"/>
    <w:rsid w:val="5BDD662D"/>
    <w:rsid w:val="5F9423E7"/>
    <w:rsid w:val="62513BD9"/>
    <w:rsid w:val="627B59FE"/>
    <w:rsid w:val="638B55D6"/>
    <w:rsid w:val="63F654F1"/>
    <w:rsid w:val="66E27882"/>
    <w:rsid w:val="688268EC"/>
    <w:rsid w:val="6C364DFB"/>
    <w:rsid w:val="6D064785"/>
    <w:rsid w:val="6D094C10"/>
    <w:rsid w:val="70A215E7"/>
    <w:rsid w:val="71282C3F"/>
    <w:rsid w:val="75C57ABA"/>
    <w:rsid w:val="767F4FDB"/>
    <w:rsid w:val="791D36A6"/>
    <w:rsid w:val="7C6F53AD"/>
    <w:rsid w:val="7EAD4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kern w:val="0"/>
      <w:sz w:val="24"/>
    </w:rPr>
  </w:style>
  <w:style w:type="character" w:styleId="7">
    <w:name w:val="FollowedHyperlink"/>
    <w:basedOn w:val="6"/>
    <w:qFormat/>
    <w:uiPriority w:val="0"/>
    <w:rPr>
      <w:color w:val="800080"/>
      <w:u w:val="none"/>
    </w:rPr>
  </w:style>
  <w:style w:type="character" w:styleId="8">
    <w:name w:val="Emphasis"/>
    <w:basedOn w:val="6"/>
    <w:qFormat/>
    <w:uiPriority w:val="0"/>
  </w:style>
  <w:style w:type="character" w:styleId="9">
    <w:name w:val="HTML Definition"/>
    <w:basedOn w:val="6"/>
    <w:qFormat/>
    <w:uiPriority w:val="0"/>
  </w:style>
  <w:style w:type="character" w:styleId="10">
    <w:name w:val="HTML Typewriter"/>
    <w:basedOn w:val="6"/>
    <w:qFormat/>
    <w:uiPriority w:val="0"/>
    <w:rPr>
      <w:rFonts w:ascii="monospace" w:hAnsi="monospace" w:eastAsia="monospace" w:cs="monospace"/>
      <w:sz w:val="20"/>
    </w:rPr>
  </w:style>
  <w:style w:type="character" w:styleId="11">
    <w:name w:val="HTML Acronym"/>
    <w:basedOn w:val="6"/>
    <w:qFormat/>
    <w:uiPriority w:val="0"/>
  </w:style>
  <w:style w:type="character" w:styleId="12">
    <w:name w:val="HTML Variable"/>
    <w:basedOn w:val="6"/>
    <w:qFormat/>
    <w:uiPriority w:val="0"/>
  </w:style>
  <w:style w:type="character" w:styleId="13">
    <w:name w:val="Hyperlink"/>
    <w:basedOn w:val="6"/>
    <w:qFormat/>
    <w:uiPriority w:val="0"/>
    <w:rPr>
      <w:color w:val="0000FF"/>
      <w:u w:val="none"/>
    </w:rPr>
  </w:style>
  <w:style w:type="character" w:styleId="14">
    <w:name w:val="HTML Code"/>
    <w:basedOn w:val="6"/>
    <w:qFormat/>
    <w:uiPriority w:val="0"/>
    <w:rPr>
      <w:rFonts w:ascii="微软雅黑" w:hAnsi="微软雅黑" w:eastAsia="微软雅黑" w:cs="微软雅黑"/>
      <w:sz w:val="14"/>
      <w:szCs w:val="14"/>
    </w:rPr>
  </w:style>
  <w:style w:type="character" w:styleId="15">
    <w:name w:val="HTML Cite"/>
    <w:basedOn w:val="6"/>
    <w:qFormat/>
    <w:uiPriority w:val="0"/>
  </w:style>
  <w:style w:type="character" w:styleId="16">
    <w:name w:val="HTML Keyboard"/>
    <w:basedOn w:val="6"/>
    <w:qFormat/>
    <w:uiPriority w:val="0"/>
    <w:rPr>
      <w:rFonts w:hint="default" w:ascii="monospace" w:hAnsi="monospace" w:eastAsia="monospace" w:cs="monospace"/>
      <w:sz w:val="20"/>
    </w:rPr>
  </w:style>
  <w:style w:type="character" w:styleId="17">
    <w:name w:val="HTML Sample"/>
    <w:basedOn w:val="6"/>
    <w:qFormat/>
    <w:uiPriority w:val="0"/>
    <w:rPr>
      <w:rFonts w:hint="default" w:ascii="monospace" w:hAnsi="monospace" w:eastAsia="monospace" w:cs="monospace"/>
    </w:rPr>
  </w:style>
  <w:style w:type="paragraph" w:customStyle="1" w:styleId="18">
    <w:name w:val="Body text|1"/>
    <w:basedOn w:val="1"/>
    <w:qFormat/>
    <w:uiPriority w:val="0"/>
    <w:pPr>
      <w:spacing w:line="408" w:lineRule="auto"/>
      <w:ind w:firstLine="400"/>
    </w:pPr>
    <w:rPr>
      <w:rFonts w:ascii="宋体" w:hAnsi="宋体" w:cs="宋体"/>
      <w:sz w:val="19"/>
      <w:szCs w:val="19"/>
      <w:lang w:val="zh-CN" w:bidi="zh-CN"/>
    </w:rPr>
  </w:style>
  <w:style w:type="paragraph" w:customStyle="1" w:styleId="19">
    <w:name w:val="Heading #2|1"/>
    <w:basedOn w:val="1"/>
    <w:qFormat/>
    <w:uiPriority w:val="0"/>
    <w:pPr>
      <w:spacing w:after="300"/>
      <w:jc w:val="center"/>
      <w:outlineLvl w:val="1"/>
    </w:pPr>
    <w:rPr>
      <w:rFonts w:ascii="宋体" w:hAnsi="宋体" w:cs="宋体"/>
      <w:sz w:val="44"/>
      <w:szCs w:val="44"/>
      <w:lang w:val="zh-CN" w:bidi="zh-CN"/>
    </w:rPr>
  </w:style>
  <w:style w:type="paragraph" w:customStyle="1" w:styleId="20">
    <w:name w:val="Body text|3"/>
    <w:basedOn w:val="1"/>
    <w:qFormat/>
    <w:uiPriority w:val="0"/>
    <w:pPr>
      <w:spacing w:before="220" w:after="720"/>
      <w:ind w:firstLine="520"/>
    </w:pPr>
    <w:rPr>
      <w:sz w:val="32"/>
      <w:szCs w:val="32"/>
    </w:rPr>
  </w:style>
  <w:style w:type="paragraph" w:customStyle="1" w:styleId="21">
    <w:name w:val="Other|1"/>
    <w:basedOn w:val="1"/>
    <w:qFormat/>
    <w:uiPriority w:val="0"/>
    <w:pPr>
      <w:spacing w:line="302" w:lineRule="exact"/>
    </w:pPr>
    <w:rPr>
      <w:rFonts w:ascii="宋体" w:hAnsi="宋体" w:cs="宋体"/>
      <w:sz w:val="19"/>
      <w:szCs w:val="19"/>
      <w:lang w:val="zh-CN" w:bidi="zh-CN"/>
    </w:rPr>
  </w:style>
  <w:style w:type="paragraph" w:customStyle="1" w:styleId="22">
    <w:name w:val="Body text|4"/>
    <w:basedOn w:val="1"/>
    <w:qFormat/>
    <w:uiPriority w:val="0"/>
    <w:pPr>
      <w:spacing w:after="60"/>
      <w:ind w:firstLine="320"/>
    </w:pPr>
    <w:rPr>
      <w:rFonts w:ascii="宋体" w:hAnsi="宋体" w:cs="宋体"/>
      <w:lang w:val="zh-CN" w:bidi="zh-CN"/>
    </w:rPr>
  </w:style>
  <w:style w:type="paragraph" w:customStyle="1" w:styleId="23">
    <w:name w:val="Table caption|1"/>
    <w:basedOn w:val="1"/>
    <w:qFormat/>
    <w:uiPriority w:val="0"/>
    <w:pPr>
      <w:spacing w:line="302" w:lineRule="exact"/>
      <w:jc w:val="right"/>
    </w:pPr>
    <w:rPr>
      <w:rFonts w:ascii="宋体" w:hAnsi="宋体" w:cs="宋体"/>
      <w:sz w:val="19"/>
      <w:szCs w:val="19"/>
      <w:lang w:val="zh-CN" w:bidi="zh-CN"/>
    </w:rPr>
  </w:style>
  <w:style w:type="paragraph" w:customStyle="1" w:styleId="24">
    <w:name w:val="Header or footer|2"/>
    <w:basedOn w:val="1"/>
    <w:qFormat/>
    <w:uiPriority w:val="0"/>
    <w:rPr>
      <w:sz w:val="20"/>
      <w:szCs w:val="20"/>
      <w:lang w:val="zh-CN" w:bidi="zh-CN"/>
    </w:rPr>
  </w:style>
  <w:style w:type="paragraph" w:customStyle="1" w:styleId="25">
    <w:name w:val="Body text|2"/>
    <w:basedOn w:val="1"/>
    <w:qFormat/>
    <w:uiPriority w:val="0"/>
    <w:pPr>
      <w:spacing w:after="470"/>
    </w:pPr>
    <w:rPr>
      <w:b/>
      <w:bCs/>
      <w:sz w:val="19"/>
      <w:szCs w:val="19"/>
      <w:lang w:val="zh-CN" w:bidi="zh-CN"/>
    </w:rPr>
  </w:style>
  <w:style w:type="character" w:customStyle="1" w:styleId="26">
    <w:name w:val="bsharetext"/>
    <w:basedOn w:val="6"/>
    <w:qFormat/>
    <w:uiPriority w:val="0"/>
  </w:style>
  <w:style w:type="character" w:customStyle="1" w:styleId="27">
    <w:name w:val="页眉 字符"/>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2256</Words>
  <Characters>2290</Characters>
  <Lines>13</Lines>
  <Paragraphs>3</Paragraphs>
  <TotalTime>1</TotalTime>
  <ScaleCrop>false</ScaleCrop>
  <LinksUpToDate>false</LinksUpToDate>
  <CharactersWithSpaces>2296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2020-05-15T02:55:00Z</dcterms:created>
  <dc:creator></dc:creator>
  <cp:lastModifiedBy>Administrator</cp:lastModifiedBy>
  <cp:lastPrinted>2020-05-18T02:11:00Z</cp:lastPrinted>
  <dcterms:modified xsi:type="dcterms:W3CDTF">2023-12-10T08:37:56Z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3D78191399E94488BB42407918F0E23C</vt:lpwstr>
  </property>
</Properties>
</file>