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1</w:t>
      </w:r>
    </w:p>
    <w:p>
      <w:pPr>
        <w:spacing w:beforeLines="50" w:afterLines="50"/>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指标</w:t>
      </w:r>
      <w:r>
        <w:rPr>
          <w:rFonts w:hint="default" w:ascii="Times New Roman" w:hAnsi="Times New Roman" w:eastAsia="方正小标宋_GBK" w:cs="Times New Roman"/>
          <w:kern w:val="0"/>
          <w:sz w:val="36"/>
          <w:szCs w:val="36"/>
        </w:rPr>
        <w:t>表</w:t>
      </w:r>
    </w:p>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eastAsia="zh-CN"/>
        </w:rPr>
        <w:t>填报单位：（盖章）</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hint="eastAsia" w:ascii="仿宋_GB2312" w:eastAsia="仿宋_GB2312"/>
                <w:b/>
                <w:bCs/>
                <w:szCs w:val="21"/>
                <w:lang w:eastAsia="zh-CN"/>
              </w:rPr>
            </w:pPr>
            <w:r>
              <w:rPr>
                <w:rFonts w:hint="eastAsia" w:ascii="仿宋_GB2312" w:eastAsia="仿宋_GB2312"/>
                <w:b/>
                <w:bCs/>
                <w:szCs w:val="21"/>
              </w:rPr>
              <w:t>一级</w:t>
            </w:r>
          </w:p>
          <w:p>
            <w:pPr>
              <w:jc w:val="center"/>
              <w:rPr>
                <w:rFonts w:ascii="仿宋_GB2312" w:eastAsia="仿宋_GB2312"/>
                <w:b/>
                <w:bCs/>
                <w:szCs w:val="21"/>
              </w:rPr>
            </w:pP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目标</w:t>
            </w:r>
          </w:p>
          <w:p>
            <w:pPr>
              <w:spacing w:line="320" w:lineRule="exact"/>
              <w:jc w:val="center"/>
              <w:rPr>
                <w:rFonts w:ascii="仿宋_GB2312" w:eastAsia="仿宋_GB2312"/>
                <w:szCs w:val="21"/>
              </w:rPr>
            </w:pP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在职人员数：部门实际在职人数，以财政部确定的部门决算编制口径为准。</w:t>
            </w:r>
          </w:p>
          <w:p>
            <w:pPr>
              <w:spacing w:line="320" w:lineRule="exact"/>
              <w:ind w:left="105" w:leftChars="50" w:right="105" w:rightChars="50"/>
              <w:rPr>
                <w:rFonts w:ascii="仿宋_GB2312" w:eastAsia="仿宋_GB2312"/>
                <w:szCs w:val="21"/>
              </w:rPr>
            </w:pP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hint="eastAsia" w:ascii="仿宋_GB2312" w:eastAsia="仿宋_GB2312"/>
                <w:szCs w:val="21"/>
                <w:lang w:val="en-US" w:eastAsia="zh-CN"/>
              </w:rPr>
              <w:t>2</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预算执行数：部门本年度实际完成的预算数。</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实际支付进度：部门在某一时点的支出预算执行总数与年度支出预算数的比率。</w:t>
            </w:r>
          </w:p>
          <w:p>
            <w:pPr>
              <w:spacing w:line="320" w:lineRule="exact"/>
              <w:ind w:left="105" w:leftChars="50" w:right="105" w:rightChars="50"/>
              <w:rPr>
                <w:rFonts w:ascii="仿宋_GB2312" w:eastAsia="仿宋_GB2312"/>
                <w:szCs w:val="21"/>
              </w:rPr>
            </w:pP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相关管理制度是否合法、合规、完整；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预算支出的重大开支是否经过评估论证；</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是否符合部门预算批复的用途；</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是否按规定内容公开预决算信息；</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是否按规定时限公开预决算信息。</w:t>
            </w:r>
          </w:p>
          <w:p>
            <w:pPr>
              <w:spacing w:line="320" w:lineRule="exact"/>
              <w:ind w:left="105" w:leftChars="50" w:right="105" w:rightChars="50"/>
              <w:rPr>
                <w:rFonts w:ascii="仿宋_GB2312" w:eastAsia="仿宋_GB2312"/>
                <w:szCs w:val="21"/>
              </w:rPr>
            </w:pP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基础数据信息和会计信息资料是否真实；</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基础数据信息和会计信息资料是否完整；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资产</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资产保存是否完整；</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资产配置是否合理；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资产处置是否规范；</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资产账务管理是否合规，是否帐实相符；</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jc w:val="center"/>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实际完成工作数：一定时期（年度或规划期）内部门实际完成工作任务的数量。</w:t>
            </w:r>
          </w:p>
          <w:p>
            <w:pPr>
              <w:spacing w:line="320" w:lineRule="exact"/>
              <w:ind w:left="105" w:leftChars="50" w:right="105" w:rightChars="50"/>
              <w:rPr>
                <w:rFonts w:ascii="仿宋_GB2312" w:eastAsia="仿宋_GB2312"/>
                <w:szCs w:val="21"/>
              </w:rPr>
            </w:pP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hint="eastAsia"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restart"/>
            <w:vAlign w:val="center"/>
          </w:tcPr>
          <w:p>
            <w:pPr>
              <w:spacing w:line="320" w:lineRule="exact"/>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履职</w:t>
            </w:r>
          </w:p>
          <w:p>
            <w:pPr>
              <w:spacing w:line="320" w:lineRule="exact"/>
              <w:jc w:val="center"/>
              <w:rPr>
                <w:rFonts w:ascii="仿宋_GB2312" w:eastAsia="仿宋_GB2312"/>
                <w:szCs w:val="21"/>
              </w:rPr>
            </w:pP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96</w:t>
            </w:r>
          </w:p>
        </w:tc>
      </w:tr>
    </w:tbl>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2</w:t>
      </w:r>
    </w:p>
    <w:p>
      <w:pPr>
        <w:pStyle w:val="15"/>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部门整体支出绩效评价基础数据表</w:t>
      </w:r>
    </w:p>
    <w:p>
      <w:pPr>
        <w:pStyle w:val="10"/>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spacing w:val="0"/>
          <w:w w:val="100"/>
          <w:position w:val="0"/>
          <w:sz w:val="24"/>
          <w:szCs w:val="24"/>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（盖章）</w:t>
      </w:r>
    </w:p>
    <w:tbl>
      <w:tblPr>
        <w:tblStyle w:val="5"/>
        <w:tblW w:w="9437" w:type="dxa"/>
        <w:jc w:val="center"/>
        <w:tblLayout w:type="fixed"/>
        <w:tblCellMar>
          <w:top w:w="0" w:type="dxa"/>
          <w:left w:w="10" w:type="dxa"/>
          <w:bottom w:w="0" w:type="dxa"/>
          <w:right w:w="10" w:type="dxa"/>
        </w:tblCellMar>
      </w:tblPr>
      <w:tblGrid>
        <w:gridCol w:w="2732"/>
        <w:gridCol w:w="1080"/>
        <w:gridCol w:w="1005"/>
        <w:gridCol w:w="1172"/>
        <w:gridCol w:w="1142"/>
        <w:gridCol w:w="1255"/>
        <w:gridCol w:w="1051"/>
      </w:tblGrid>
      <w:tr>
        <w:tblPrEx>
          <w:tblCellMar>
            <w:top w:w="0" w:type="dxa"/>
            <w:left w:w="10" w:type="dxa"/>
            <w:bottom w:w="0" w:type="dxa"/>
            <w:right w:w="10" w:type="dxa"/>
          </w:tblCellMar>
        </w:tblPrEx>
        <w:trPr>
          <w:trHeight w:val="619"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财政供养人员情况</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编制数</w:t>
            </w:r>
          </w:p>
        </w:tc>
        <w:tc>
          <w:tcPr>
            <w:tcW w:w="2314"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p>
        </w:tc>
        <w:tc>
          <w:tcPr>
            <w:tcW w:w="2306" w:type="dxa"/>
            <w:gridSpan w:val="2"/>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rPr>
              <w:t>控制率</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rPr>
              <w:t>编制数</w:t>
            </w:r>
          </w:p>
        </w:tc>
      </w:tr>
      <w:tr>
        <w:tblPrEx>
          <w:tblCellMar>
            <w:top w:w="0" w:type="dxa"/>
            <w:left w:w="10" w:type="dxa"/>
            <w:bottom w:w="0" w:type="dxa"/>
            <w:right w:w="10" w:type="dxa"/>
          </w:tblCellMar>
        </w:tblPrEx>
        <w:trPr>
          <w:trHeight w:val="455" w:hRule="exact"/>
          <w:jc w:val="center"/>
        </w:trPr>
        <w:tc>
          <w:tcPr>
            <w:tcW w:w="2732" w:type="dxa"/>
            <w:vMerge w:val="continue"/>
            <w:tcBorders>
              <w:left w:val="single" w:color="auto" w:sz="4" w:space="0"/>
              <w:bottom w:val="single" w:color="auto" w:sz="4" w:space="0"/>
            </w:tcBorders>
            <w:shd w:val="clear" w:color="auto" w:fill="FFFFFF"/>
            <w:noWrap w:val="0"/>
            <w:vAlign w:val="center"/>
          </w:tcPr>
          <w:p>
            <w:pPr>
              <w:jc w:val="center"/>
              <w:rPr>
                <w:rFonts w:hint="eastAsia" w:ascii="仿宋_GB2312" w:hAnsi="仿宋_GB2312" w:eastAsia="仿宋_GB2312" w:cs="仿宋_GB2312"/>
                <w:sz w:val="21"/>
                <w:szCs w:val="21"/>
              </w:rPr>
            </w:pPr>
          </w:p>
        </w:tc>
        <w:tc>
          <w:tcPr>
            <w:tcW w:w="2085"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2314"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230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1.22</w:t>
            </w:r>
          </w:p>
        </w:tc>
      </w:tr>
      <w:tr>
        <w:tblPrEx>
          <w:tblCellMar>
            <w:top w:w="0" w:type="dxa"/>
            <w:left w:w="10" w:type="dxa"/>
            <w:bottom w:w="0" w:type="dxa"/>
            <w:right w:w="10" w:type="dxa"/>
          </w:tblCellMar>
        </w:tblPrEx>
        <w:trPr>
          <w:trHeight w:val="5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经费控制情况</w:t>
            </w:r>
          </w:p>
        </w:tc>
        <w:tc>
          <w:tcPr>
            <w:tcW w:w="2085"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20</w:t>
            </w:r>
            <w:r>
              <w:rPr>
                <w:rFonts w:hint="eastAsia" w:ascii="仿宋_GB2312" w:hAnsi="仿宋_GB2312" w:eastAsia="仿宋_GB2312" w:cs="仿宋_GB2312"/>
                <w:b/>
                <w:bCs/>
                <w:color w:val="000000"/>
                <w:spacing w:val="0"/>
                <w:w w:val="100"/>
                <w:position w:val="0"/>
                <w:sz w:val="21"/>
                <w:szCs w:val="21"/>
                <w:lang w:val="en-US" w:eastAsia="zh-CN"/>
              </w:rPr>
              <w:t>21</w:t>
            </w:r>
            <w:r>
              <w:rPr>
                <w:rFonts w:hint="eastAsia" w:ascii="仿宋_GB2312" w:hAnsi="仿宋_GB2312" w:eastAsia="仿宋_GB2312" w:cs="仿宋_GB2312"/>
                <w:b/>
                <w:bCs/>
                <w:color w:val="000000"/>
                <w:spacing w:val="0"/>
                <w:w w:val="100"/>
                <w:position w:val="0"/>
                <w:sz w:val="21"/>
                <w:szCs w:val="21"/>
              </w:rPr>
              <w:t>年决算数</w:t>
            </w:r>
          </w:p>
        </w:tc>
        <w:tc>
          <w:tcPr>
            <w:tcW w:w="2314"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预算数</w:t>
            </w:r>
          </w:p>
        </w:tc>
        <w:tc>
          <w:tcPr>
            <w:tcW w:w="2306" w:type="dxa"/>
            <w:gridSpan w:val="2"/>
            <w:tcBorders>
              <w:top w:val="single" w:color="auto" w:sz="4" w:space="0"/>
              <w:left w:val="single" w:color="auto" w:sz="4" w:space="0"/>
              <w:righ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决算数</w:t>
            </w:r>
          </w:p>
        </w:tc>
      </w:tr>
      <w:tr>
        <w:tblPrEx>
          <w:tblCellMar>
            <w:top w:w="0" w:type="dxa"/>
            <w:left w:w="10" w:type="dxa"/>
            <w:bottom w:w="0" w:type="dxa"/>
            <w:right w:w="10" w:type="dxa"/>
          </w:tblCellMar>
        </w:tblPrEx>
        <w:trPr>
          <w:trHeight w:val="46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三公经费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2"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、公务用车购置和维护经费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5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其中：公车购置</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11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公车运行维护</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.47</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46</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、出国经费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3</w:t>
            </w:r>
            <w:r>
              <w:rPr>
                <w:rFonts w:hint="eastAsia" w:ascii="仿宋_GB2312" w:hAnsi="仿宋_GB2312" w:eastAsia="仿宋_GB2312" w:cs="仿宋_GB2312"/>
                <w:color w:val="000000"/>
                <w:spacing w:val="0"/>
                <w:w w:val="100"/>
                <w:position w:val="0"/>
                <w:sz w:val="21"/>
                <w:szCs w:val="21"/>
              </w:rPr>
              <w:t>、公务接待</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0.22</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0.59</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项目支出：</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、业务工作专项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3368.71</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1140.92</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3536.21</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、运行维护专项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公用经费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其中：办公经费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eastAsia="zh-CN"/>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水费、电费、差旅费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会议费、培训费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eastAsia="zh-CN"/>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政府采购金额</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部门整体支出预算调整</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782"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楼堂馆所控制情况 </w:t>
            </w:r>
            <w:r>
              <w:rPr>
                <w:rFonts w:hint="eastAsia" w:ascii="仿宋_GB2312" w:hAnsi="仿宋_GB2312" w:eastAsia="仿宋_GB2312" w:cs="仿宋_GB2312"/>
                <w:b w:val="0"/>
                <w:bCs w:val="0"/>
                <w:color w:val="000000"/>
                <w:spacing w:val="0"/>
                <w:w w:val="100"/>
                <w:position w:val="0"/>
                <w:sz w:val="21"/>
                <w:szCs w:val="21"/>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color w:val="000000"/>
                <w:spacing w:val="0"/>
                <w:w w:val="100"/>
                <w:position w:val="0"/>
                <w:sz w:val="21"/>
                <w:szCs w:val="21"/>
              </w:rPr>
              <w:t>完工项目）</w:t>
            </w:r>
          </w:p>
        </w:tc>
        <w:tc>
          <w:tcPr>
            <w:tcW w:w="1080"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批复规模 </w:t>
            </w: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1</w:t>
            </w:r>
            <w:r>
              <w:rPr>
                <w:rFonts w:hint="eastAsia" w:ascii="仿宋_GB2312" w:hAnsi="仿宋_GB2312" w:eastAsia="仿宋_GB2312" w:cs="仿宋_GB2312"/>
                <w:color w:val="000000"/>
                <w:spacing w:val="0"/>
                <w:w w:val="100"/>
                <w:position w:val="0"/>
                <w:sz w:val="21"/>
                <w:szCs w:val="21"/>
                <w:lang w:val="en-US" w:eastAsia="en-US" w:bidi="en-US"/>
              </w:rPr>
              <w:t>）</w:t>
            </w:r>
          </w:p>
        </w:tc>
        <w:tc>
          <w:tcPr>
            <w:tcW w:w="1005"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40" w:line="312" w:lineRule="exact"/>
              <w:ind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实际规模</w:t>
            </w:r>
          </w:p>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2</w:t>
            </w:r>
            <w:r>
              <w:rPr>
                <w:rFonts w:hint="eastAsia" w:ascii="仿宋_GB2312" w:hAnsi="仿宋_GB2312" w:eastAsia="仿宋_GB2312" w:cs="仿宋_GB2312"/>
                <w:color w:val="000000"/>
                <w:spacing w:val="0"/>
                <w:w w:val="100"/>
                <w:position w:val="0"/>
                <w:sz w:val="21"/>
                <w:szCs w:val="21"/>
                <w:lang w:val="en-US" w:eastAsia="en-US" w:bidi="en-US"/>
              </w:rPr>
              <w:t>）</w:t>
            </w:r>
          </w:p>
        </w:tc>
        <w:tc>
          <w:tcPr>
            <w:tcW w:w="117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规模控制率</w:t>
            </w:r>
          </w:p>
        </w:tc>
        <w:tc>
          <w:tcPr>
            <w:tcW w:w="114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预算投资</w:t>
            </w:r>
            <w:r>
              <w:rPr>
                <w:rFonts w:hint="eastAsia" w:ascii="仿宋_GB2312" w:hAnsi="仿宋_GB2312" w:eastAsia="仿宋_GB2312" w:cs="仿宋_GB2312"/>
                <w:color w:val="000000"/>
                <w:spacing w:val="0"/>
                <w:w w:val="100"/>
                <w:position w:val="0"/>
                <w:sz w:val="21"/>
                <w:szCs w:val="21"/>
                <w:lang w:val="en-US" w:eastAsia="zh-CN"/>
              </w:rPr>
              <w:t xml:space="preserve">     </w:t>
            </w:r>
            <w:r>
              <w:rPr>
                <w:rFonts w:hint="eastAsia" w:ascii="仿宋_GB2312" w:hAnsi="仿宋_GB2312" w:eastAsia="仿宋_GB2312" w:cs="仿宋_GB2312"/>
                <w:color w:val="000000"/>
                <w:spacing w:val="0"/>
                <w:w w:val="100"/>
                <w:position w:val="0"/>
                <w:sz w:val="21"/>
                <w:szCs w:val="21"/>
              </w:rPr>
              <w:t>（万元）</w:t>
            </w:r>
          </w:p>
        </w:tc>
        <w:tc>
          <w:tcPr>
            <w:tcW w:w="1255"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实际投资 （万元）</w:t>
            </w:r>
          </w:p>
        </w:tc>
        <w:tc>
          <w:tcPr>
            <w:tcW w:w="1051" w:type="dxa"/>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83"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投资概算控制率</w:t>
            </w:r>
          </w:p>
        </w:tc>
      </w:tr>
      <w:tr>
        <w:tblPrEx>
          <w:tblCellMar>
            <w:top w:w="0" w:type="dxa"/>
            <w:left w:w="10" w:type="dxa"/>
            <w:bottom w:w="0" w:type="dxa"/>
            <w:right w:w="10" w:type="dxa"/>
          </w:tblCellMar>
        </w:tblPrEx>
        <w:trPr>
          <w:trHeight w:val="466" w:hRule="exact"/>
          <w:jc w:val="center"/>
        </w:trPr>
        <w:tc>
          <w:tcPr>
            <w:tcW w:w="2732"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1080"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00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17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14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25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051"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480" w:hRule="exact"/>
          <w:jc w:val="center"/>
        </w:trPr>
        <w:tc>
          <w:tcPr>
            <w:tcW w:w="2732" w:type="dxa"/>
            <w:tcBorders>
              <w:top w:val="single" w:color="auto" w:sz="4" w:space="0"/>
              <w:left w:val="single" w:color="auto" w:sz="4" w:space="0"/>
              <w:bottom w:val="single" w:color="auto" w:sz="4" w:space="0"/>
            </w:tcBorders>
            <w:shd w:val="clear" w:color="auto" w:fill="FFFFFF"/>
            <w:noWrap w:val="0"/>
            <w:vAlign w:val="top"/>
          </w:tcPr>
          <w:p>
            <w:pPr>
              <w:pStyle w:val="9"/>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color w:val="000000"/>
                <w:spacing w:val="0"/>
                <w:w w:val="100"/>
                <w:position w:val="0"/>
                <w:sz w:val="21"/>
                <w:szCs w:val="21"/>
              </w:rPr>
            </w:pPr>
          </w:p>
          <w:p>
            <w:pPr>
              <w:pStyle w:val="9"/>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厉行节约保障措施</w:t>
            </w:r>
          </w:p>
        </w:tc>
        <w:tc>
          <w:tcPr>
            <w:tcW w:w="6705"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pStyle w:val="11"/>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11"/>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3</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仿宋_GB2312" w:hAnsi="仿宋_GB2312" w:eastAsia="方正小标宋_GBK" w:cs="仿宋_GB2312"/>
          <w:b/>
          <w:bCs/>
          <w:color w:val="000000"/>
          <w:spacing w:val="0"/>
          <w:w w:val="100"/>
          <w:position w:val="0"/>
          <w:sz w:val="32"/>
          <w:szCs w:val="32"/>
          <w:lang w:eastAsia="zh-CN"/>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报告编写参考提纲</w:t>
      </w:r>
    </w:p>
    <w:p>
      <w:pPr>
        <w:pStyle w:val="7"/>
        <w:keepNext w:val="0"/>
        <w:keepLines w:val="0"/>
        <w:pageBreakBefore w:val="0"/>
        <w:widowControl w:val="0"/>
        <w:numPr>
          <w:ilvl w:val="0"/>
          <w:numId w:val="1"/>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0" w:name="bookmark92"/>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b/>
          <w:bCs/>
          <w:color w:val="000000"/>
          <w:spacing w:val="0"/>
          <w:w w:val="100"/>
          <w:position w:val="0"/>
          <w:sz w:val="28"/>
          <w:szCs w:val="28"/>
        </w:rPr>
      </w:pPr>
      <w:r>
        <w:rPr>
          <w:rFonts w:hint="eastAsia" w:ascii="宋体" w:hAnsi="宋体" w:eastAsia="宋体" w:cs="宋体"/>
          <w:b/>
          <w:bCs/>
          <w:color w:val="000000"/>
          <w:spacing w:val="0"/>
          <w:w w:val="100"/>
          <w:position w:val="0"/>
          <w:sz w:val="28"/>
          <w:szCs w:val="28"/>
        </w:rPr>
        <w:t>（</w:t>
      </w:r>
      <w:bookmarkEnd w:id="0"/>
      <w:r>
        <w:rPr>
          <w:rFonts w:hint="eastAsia" w:ascii="宋体" w:hAnsi="宋体" w:eastAsia="宋体" w:cs="宋体"/>
          <w:b/>
          <w:bCs/>
          <w:color w:val="000000"/>
          <w:spacing w:val="0"/>
          <w:w w:val="100"/>
          <w:position w:val="0"/>
          <w:sz w:val="28"/>
          <w:szCs w:val="28"/>
        </w:rPr>
        <w:t>一）部门基本情况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根据《中共衡阳市委办公室衡阳市人民政府办公室关于印发〈珠晖区机构改革方案〉的通知》（衡办[</w:t>
      </w:r>
      <w:r>
        <w:rPr>
          <w:rFonts w:hint="eastAsia" w:ascii="仿宋_GB2312" w:eastAsia="仿宋_GB2312"/>
          <w:sz w:val="32"/>
          <w:szCs w:val="32"/>
          <w:lang w:eastAsia="zh-CN"/>
        </w:rPr>
        <w:t>2020</w:t>
      </w:r>
      <w:r>
        <w:rPr>
          <w:rFonts w:hint="eastAsia" w:ascii="仿宋_GB2312" w:eastAsia="仿宋_GB2312"/>
          <w:sz w:val="32"/>
          <w:szCs w:val="32"/>
        </w:rPr>
        <w:t>]15号），制定本规定。我部门主要职责是：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（一）统筹研究和组织实施“三农”工作的发展中长期规划、重大政策。指导农业综合执法。参与涉农的价格、收储、金融保险、进出口等政策制定。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统筹推动发展农村社会事业、农村公共服务、农村文化、农村基础设施和乡村治理。配合有关部门指导农业劳动模范管理工作，牵头组织改善农村人居环境，指导农村精神文明和优秀农耕文化建设。指导农业行业安全生产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负责种植业、畜牧业、渔业、农垦、农业机械化等农业各产业的监督管理。指导粮食、蔬菜等农作物生产。组织构建现代农业产业体系、生产体系、经营体系，指导农业标准化生产。负责渔政渔港监督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负责农产品质量安全监督管理。组织开展农产品质量安全监测、追溯、风险评估，发布农产品质量安全信息。贯彻执行农产品质量安全国家标准，参与制定农产品质量安全地方标准并会同有关部门组织实施。指导农业检验检测体系建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开发综合开发利用、农业综合开发、农业生物质产业发展。牵头管理外来物种。负责农田建设、农田整治项目的申报、管理、实施和运行工作，承担农田水利建设项目管理责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负责有关农业生产资料和农业投入品的监督管理。组织农业生产资料市场体系建设，贯彻执行农业生产资料、农药残留、兽药残留限量和残留检测方法国家标准并监督实施。组织兽医医政、兽药药政药检工作，负责执业兽医和畜禽防疫检疫监督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（九）负责农业防灾减灾、农作物重大病虫害防治工作。指导动植物防疫检疫体系建设，组织、监督区内动植物防疫检疫工作，发布疫情并组织扑灭。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（十）负责农业投资管理。编制农业投资项目建设规划，提出农业投资规模和方向、扶持农业农村发展财政项目的建议，按规定权限审批农业投资项目，负责农业投资项目资金安排和监督管理。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一）推动农业科技体制改革和农业科技创新体系建设。指导农业产业技术体系和农技推广体系建设，组织开展农业领域的高新技术和应用技术研究，指导科技成果转化和技术推广。负责农业转基因生物安全监督管理和农业植物新品种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（十二）指导农业农村人才工作。拟订农业农村人才队伍建设规划并组织实施，指导农业教育和农业职业技能开发，指导新型职业农民培育、农业科技人才培养和农村实用人才培训工作。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(十三)组织参与农业对外合作工作。承办有关农业涉外事务，组织开展农业贸易促进和有关对外交流合作，具体执行有关农业援外项目。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（十四）承办区委、区人民政府交办的其他事项。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（十五）职能转变。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1.统筹实施乡村振兴战略，深化农业供给侧结构性改革，提升农业发展质量，扎实推进美丽乡村建设，加快实现农业农村现代化。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2.加强农产品质量安全和相关农业生产资料、农业投入品的监督。</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3.深入推进简政放权，加强对行业内交叉重复以及性质相同、用途相近的农业投资项目的统筹整合，加强事中事后监管，切实提升支农政策效果和资金使用效益。</w:t>
      </w:r>
    </w:p>
    <w:p>
      <w:pPr>
        <w:pStyle w:val="7"/>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sz w:val="28"/>
          <w:szCs w:val="28"/>
        </w:rPr>
      </w:pPr>
      <w:bookmarkStart w:id="1" w:name="bookmark93"/>
      <w:bookmarkStart w:id="2" w:name="bookmark94"/>
      <w:r>
        <w:rPr>
          <w:rFonts w:hint="eastAsia" w:ascii="宋体" w:hAnsi="宋体" w:eastAsia="宋体" w:cs="宋体"/>
          <w:b/>
          <w:bCs/>
          <w:color w:val="000000"/>
          <w:spacing w:val="0"/>
          <w:w w:val="100"/>
          <w:position w:val="0"/>
          <w:sz w:val="28"/>
          <w:szCs w:val="28"/>
        </w:rPr>
        <w:t>（</w:t>
      </w:r>
      <w:bookmarkEnd w:id="1"/>
      <w:r>
        <w:rPr>
          <w:rFonts w:hint="eastAsia" w:ascii="宋体" w:hAnsi="宋体" w:eastAsia="宋体" w:cs="宋体"/>
          <w:b/>
          <w:bCs/>
          <w:color w:val="000000"/>
          <w:spacing w:val="0"/>
          <w:w w:val="100"/>
          <w:position w:val="0"/>
          <w:sz w:val="28"/>
          <w:szCs w:val="28"/>
        </w:rPr>
        <w:t>二）部门整体支出规模、使用方向和主要内容、涉及范围等</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我单位2022年总支出为4203.71万元，其中基本支出667.5万元、项目支出3536.21万元。基本支出主要是人员工资福利支出和社会保障费、办公费、印刷费、水电费、差旅费、培训费、邮电费、公务接待费、维修费、劳务费、工会经费、公务用车辆运行费及其他费用。项目支出主要是农业、畜牧、乡村振兴、林业、农机农垦、产业扶贫等项目支出。</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基本支出667.5万元，其中：人员经费615.86万元、公用经费51.64万元。</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项目支出3536.21万元，其中：</w:t>
      </w:r>
      <w:r>
        <w:rPr>
          <w:rFonts w:hint="eastAsia" w:ascii="仿宋_GB2312" w:eastAsia="仿宋_GB2312"/>
          <w:sz w:val="32"/>
          <w:szCs w:val="32"/>
          <w:lang w:eastAsia="zh-CN"/>
        </w:rPr>
        <w:t>基本建设类项目</w:t>
      </w:r>
      <w:r>
        <w:rPr>
          <w:rFonts w:hint="eastAsia" w:ascii="仿宋_GB2312" w:eastAsia="仿宋_GB2312"/>
          <w:sz w:val="32"/>
          <w:szCs w:val="32"/>
          <w:lang w:val="en-US" w:eastAsia="zh-CN"/>
        </w:rPr>
        <w:t>支出1316.45万元。</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二</w:t>
      </w:r>
      <w:bookmarkEnd w:id="2"/>
      <w:r>
        <w:rPr>
          <w:rFonts w:hint="eastAsia" w:ascii="仿宋_GB2312" w:hAnsi="仿宋_GB2312" w:eastAsia="仿宋_GB2312" w:cs="仿宋_GB2312"/>
          <w:b/>
          <w:bCs/>
          <w:color w:val="000000"/>
          <w:spacing w:val="0"/>
          <w:w w:val="100"/>
          <w:position w:val="0"/>
          <w:sz w:val="32"/>
          <w:szCs w:val="32"/>
        </w:rPr>
        <w:t>、部门整体支出管理及使用情况</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562" w:firstLineChars="200"/>
        <w:jc w:val="left"/>
        <w:textAlignment w:val="auto"/>
        <w:rPr>
          <w:rFonts w:hint="eastAsia" w:ascii="宋体" w:hAnsi="宋体" w:eastAsia="宋体" w:cs="宋体"/>
          <w:b/>
          <w:bCs/>
          <w:sz w:val="28"/>
          <w:szCs w:val="28"/>
        </w:rPr>
      </w:pPr>
      <w:bookmarkStart w:id="3" w:name="bookmark95"/>
      <w:bookmarkStart w:id="4" w:name="bookmark96"/>
      <w:r>
        <w:rPr>
          <w:rFonts w:hint="eastAsia" w:ascii="宋体" w:hAnsi="宋体" w:eastAsia="宋体" w:cs="宋体"/>
          <w:b/>
          <w:bCs/>
          <w:color w:val="000000"/>
          <w:spacing w:val="0"/>
          <w:w w:val="100"/>
          <w:position w:val="0"/>
          <w:sz w:val="28"/>
          <w:szCs w:val="28"/>
        </w:rPr>
        <w:t>（</w:t>
      </w:r>
      <w:bookmarkEnd w:id="3"/>
      <w:r>
        <w:rPr>
          <w:rFonts w:hint="eastAsia" w:ascii="宋体" w:hAnsi="宋体" w:eastAsia="宋体" w:cs="宋体"/>
          <w:b/>
          <w:bCs/>
          <w:color w:val="000000"/>
          <w:spacing w:val="0"/>
          <w:w w:val="100"/>
          <w:position w:val="0"/>
          <w:sz w:val="28"/>
          <w:szCs w:val="28"/>
        </w:rPr>
        <w:t>一）基本支出</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基本支出用于为保障机构正常运转、完成日常工作任务而发生的支出，包括人员经费和公用经费。2022年度本单位人员经费615.86万元占基本支出比例92.26%；公用经费支出51.64万元，占基本支出比例7.74%，本年度基本支出与调整后的预算基本一致。本单位2022年“三公”经费预算（控制数）金额为15万元，其中公务接待费3万元，公车运行维护费12万元，因公出国（境）费支出预算为0万元。2022年度“三公”经费支出决算为2.05万元。</w:t>
      </w:r>
    </w:p>
    <w:bookmarkEnd w:id="4"/>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b/>
          <w:bCs/>
          <w:sz w:val="28"/>
          <w:szCs w:val="28"/>
        </w:rPr>
      </w:pPr>
      <w:bookmarkStart w:id="5" w:name="bookmark100"/>
      <w:r>
        <w:rPr>
          <w:rFonts w:hint="eastAsia" w:ascii="宋体" w:hAnsi="宋体" w:eastAsia="宋体" w:cs="宋体"/>
          <w:b/>
          <w:bCs/>
          <w:color w:val="000000"/>
          <w:spacing w:val="0"/>
          <w:w w:val="100"/>
          <w:position w:val="0"/>
          <w:sz w:val="28"/>
          <w:szCs w:val="28"/>
        </w:rPr>
        <w:t>（二）项目支出</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leftChars="0" w:right="0" w:firstLine="562" w:firstLineChars="200"/>
        <w:jc w:val="both"/>
        <w:textAlignment w:val="auto"/>
        <w:rPr>
          <w:rFonts w:hint="eastAsia" w:ascii="宋体" w:hAnsi="宋体" w:eastAsia="宋体" w:cs="宋体"/>
          <w:b/>
          <w:bCs/>
          <w:color w:val="000000"/>
          <w:spacing w:val="0"/>
          <w:w w:val="100"/>
          <w:position w:val="0"/>
          <w:sz w:val="28"/>
          <w:szCs w:val="28"/>
        </w:rPr>
      </w:pPr>
      <w:bookmarkStart w:id="6" w:name="bookmark97"/>
      <w:r>
        <w:rPr>
          <w:rFonts w:hint="eastAsia" w:ascii="宋体" w:hAnsi="宋体" w:eastAsia="宋体" w:cs="宋体"/>
          <w:b/>
          <w:bCs/>
          <w:color w:val="000000"/>
          <w:spacing w:val="0"/>
          <w:w w:val="100"/>
          <w:position w:val="0"/>
          <w:sz w:val="28"/>
          <w:szCs w:val="28"/>
        </w:rPr>
        <w:t>1</w:t>
      </w:r>
      <w:bookmarkEnd w:id="6"/>
      <w:r>
        <w:rPr>
          <w:rFonts w:hint="eastAsia" w:ascii="宋体" w:hAnsi="宋体" w:eastAsia="宋体" w:cs="宋体"/>
          <w:b/>
          <w:bCs/>
          <w:color w:val="000000"/>
          <w:spacing w:val="0"/>
          <w:w w:val="100"/>
          <w:position w:val="0"/>
          <w:sz w:val="28"/>
          <w:szCs w:val="28"/>
        </w:rPr>
        <w:t>、项目资金情况分析</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本年度财政共安排支出3536.21万元，其中：一般公共服务支出1万元，交通运输支出110万元，商业服务业等支出7万元，粮油物资储备支出5万元，农林水支出3413.21万元。</w:t>
      </w:r>
    </w:p>
    <w:p>
      <w:pPr>
        <w:pStyle w:val="7"/>
        <w:keepNext w:val="0"/>
        <w:keepLines w:val="0"/>
        <w:pageBreakBefore w:val="0"/>
        <w:widowControl w:val="0"/>
        <w:numPr>
          <w:ilvl w:val="0"/>
          <w:numId w:val="0"/>
        </w:numPr>
        <w:shd w:val="clear" w:color="auto" w:fill="auto"/>
        <w:tabs>
          <w:tab w:val="left" w:pos="765"/>
        </w:tabs>
        <w:kinsoku/>
        <w:wordWrap/>
        <w:overflowPunct/>
        <w:topLinePunct w:val="0"/>
        <w:autoSpaceDE/>
        <w:autoSpaceDN/>
        <w:bidi w:val="0"/>
        <w:adjustRightInd/>
        <w:snapToGrid/>
        <w:spacing w:before="0" w:after="0" w:line="360" w:lineRule="auto"/>
        <w:ind w:leftChars="0" w:right="0" w:rightChars="0" w:firstLine="562" w:firstLineChars="200"/>
        <w:jc w:val="both"/>
        <w:textAlignment w:val="auto"/>
        <w:rPr>
          <w:rFonts w:hint="eastAsia" w:ascii="宋体" w:hAnsi="宋体" w:eastAsia="宋体" w:cs="宋体"/>
          <w:b/>
          <w:bCs/>
          <w:color w:val="000000"/>
          <w:spacing w:val="0"/>
          <w:w w:val="100"/>
          <w:position w:val="0"/>
          <w:sz w:val="28"/>
          <w:szCs w:val="28"/>
        </w:rPr>
      </w:pPr>
      <w:r>
        <w:rPr>
          <w:rFonts w:hint="eastAsia" w:cs="宋体"/>
          <w:b/>
          <w:bCs/>
          <w:color w:val="000000"/>
          <w:spacing w:val="0"/>
          <w:w w:val="100"/>
          <w:position w:val="0"/>
          <w:sz w:val="28"/>
          <w:szCs w:val="28"/>
          <w:lang w:val="en-US" w:eastAsia="zh-CN"/>
        </w:rPr>
        <w:t>2、</w:t>
      </w:r>
      <w:r>
        <w:rPr>
          <w:rFonts w:hint="eastAsia" w:ascii="宋体" w:hAnsi="宋体" w:eastAsia="宋体" w:cs="宋体"/>
          <w:b/>
          <w:bCs/>
          <w:color w:val="000000"/>
          <w:spacing w:val="0"/>
          <w:w w:val="100"/>
          <w:position w:val="0"/>
          <w:sz w:val="28"/>
          <w:szCs w:val="28"/>
        </w:rPr>
        <w:t>项目资金实际使用情况分析</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本年度共支出项目资金3536.21万元。其中，驻村工作第一书工作经费1万元，工作经费23.36万元，动物防疫、畜牧工作经费等70.97万元，农产品质量安全定量监测9.75万元，打击“瘦肉精”专项经费5.71万元，农业生产救灾资金24.06万元，受污染安全利用27.25万元，惠农财政补贴、农机购置补贴、冷链设备及新型经营主体发展资金等1199.97万元，蔬菜产业发展资金及农业产业化资金280万元，受污染耕地治理资金、增殖放流鱼苗及禁捕工作经费107.01万元，高标农田建设1170.2万元，新型农业经营主体贷款贴息、粮食生产奖补等104.93万元，林业生态保护修复及发展资金49.52万元，禁食野生动物退养11.95万元，南岳学院征地撤销处罚退还14.73万元，林长制、森林火灾风险普查及集中育秧等25.87万元，农田水利设施建设146.25万元，产权制度改革经费0.43万元，稻谷目标价格补贴62.9万元，乡村振兴扶持引导资金及星级休闲农庄奖励78.35万元，成品油价格调整对渔业补助110万元，生猪调出大县奖励资金7万元，粮食安全奖励资金5万元。</w:t>
      </w:r>
    </w:p>
    <w:p>
      <w:pPr>
        <w:pStyle w:val="7"/>
        <w:keepNext w:val="0"/>
        <w:keepLines w:val="0"/>
        <w:pageBreakBefore w:val="0"/>
        <w:widowControl w:val="0"/>
        <w:numPr>
          <w:ilvl w:val="0"/>
          <w:numId w:val="0"/>
        </w:numPr>
        <w:shd w:val="clear" w:color="auto" w:fill="auto"/>
        <w:tabs>
          <w:tab w:val="left" w:pos="770"/>
        </w:tabs>
        <w:kinsoku/>
        <w:wordWrap/>
        <w:overflowPunct/>
        <w:topLinePunct w:val="0"/>
        <w:autoSpaceDE/>
        <w:autoSpaceDN/>
        <w:bidi w:val="0"/>
        <w:adjustRightInd/>
        <w:snapToGrid/>
        <w:spacing w:before="0" w:after="0" w:line="360" w:lineRule="auto"/>
        <w:ind w:leftChars="0" w:right="0" w:rightChars="0" w:firstLine="562" w:firstLineChars="200"/>
        <w:jc w:val="both"/>
        <w:textAlignment w:val="auto"/>
        <w:rPr>
          <w:rFonts w:hint="eastAsia" w:ascii="宋体" w:hAnsi="宋体" w:eastAsia="宋体" w:cs="宋体"/>
          <w:color w:val="000000"/>
          <w:spacing w:val="0"/>
          <w:w w:val="100"/>
          <w:position w:val="0"/>
          <w:sz w:val="28"/>
          <w:szCs w:val="28"/>
        </w:rPr>
      </w:pPr>
      <w:r>
        <w:rPr>
          <w:rFonts w:hint="eastAsia" w:cs="宋体"/>
          <w:b/>
          <w:bCs/>
          <w:color w:val="000000"/>
          <w:spacing w:val="0"/>
          <w:w w:val="100"/>
          <w:position w:val="0"/>
          <w:sz w:val="28"/>
          <w:szCs w:val="28"/>
          <w:lang w:val="en-US" w:eastAsia="zh-CN"/>
        </w:rPr>
        <w:t>3、</w:t>
      </w:r>
      <w:r>
        <w:rPr>
          <w:rFonts w:hint="eastAsia" w:ascii="宋体" w:hAnsi="宋体" w:eastAsia="宋体" w:cs="宋体"/>
          <w:b/>
          <w:bCs/>
          <w:color w:val="000000"/>
          <w:spacing w:val="0"/>
          <w:w w:val="100"/>
          <w:position w:val="0"/>
          <w:sz w:val="28"/>
          <w:szCs w:val="28"/>
        </w:rPr>
        <w:t>项目资金管理情况分析</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为加强专项资金的管理和监督，规范专项资金使用，提高资金使用效益，我局项目资金严格按照财务管理制度和预算资金管理办法，坚持“量入为出和专款专用”的原则，合理安排和使用资金。</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三</w:t>
      </w:r>
      <w:bookmarkEnd w:id="5"/>
      <w:r>
        <w:rPr>
          <w:rFonts w:hint="eastAsia" w:ascii="仿宋_GB2312" w:hAnsi="仿宋_GB2312" w:eastAsia="仿宋_GB2312" w:cs="仿宋_GB2312"/>
          <w:b/>
          <w:bCs/>
          <w:color w:val="000000"/>
          <w:spacing w:val="0"/>
          <w:w w:val="100"/>
          <w:position w:val="0"/>
          <w:sz w:val="32"/>
          <w:szCs w:val="32"/>
        </w:rPr>
        <w:t>、部门项目组织实施情况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（一）项目组织情况分析，主要包括项目招投标、调整、竣工验收等情况。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（二）项目管理情况分析，主要包括项目管理制度建设、日常检查监督管理等情况。</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7" w:name="bookmark101"/>
      <w:r>
        <w:rPr>
          <w:rFonts w:hint="eastAsia" w:ascii="仿宋_GB2312" w:hAnsi="仿宋_GB2312" w:eastAsia="仿宋_GB2312" w:cs="仿宋_GB2312"/>
          <w:b/>
          <w:bCs/>
          <w:color w:val="000000"/>
          <w:spacing w:val="0"/>
          <w:w w:val="100"/>
          <w:position w:val="0"/>
          <w:sz w:val="32"/>
          <w:szCs w:val="32"/>
        </w:rPr>
        <w:t>四</w:t>
      </w:r>
      <w:bookmarkEnd w:id="7"/>
      <w:r>
        <w:rPr>
          <w:rFonts w:hint="eastAsia" w:ascii="仿宋_GB2312" w:hAnsi="仿宋_GB2312" w:eastAsia="仿宋_GB2312" w:cs="仿宋_GB2312"/>
          <w:b/>
          <w:bCs/>
          <w:color w:val="000000"/>
          <w:spacing w:val="0"/>
          <w:w w:val="100"/>
          <w:position w:val="0"/>
          <w:sz w:val="32"/>
          <w:szCs w:val="32"/>
        </w:rPr>
        <w:t>、资产管理情况</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反映部门资产的配置、管理、处置等综合情况。包括制度建设、管理措施、配置处置的程序等。</w:t>
      </w:r>
      <w:bookmarkStart w:id="8" w:name="bookmark102"/>
    </w:p>
    <w:bookmarkEnd w:id="8"/>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经济性分析：我单位预算（控制）优，执行预算时厉行节约。</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效率性分析：2022年，我局积极做好民生工程，及时处理好12345热线工单，并做好乡镇报告和来电来访的接待处理。</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有效性分析：我局每一笔专项资金的使用落实到实处，圆满完成预期目标。例如，基本农田设施建设、农村改厕、农产品质量安全、农业生产支持补贴、乡村振兴产业发展为老百姓改善生活环境。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2022年，我单位积极履职，强化管理，较好地完成了年度工作目标。通过加强预算收支管理，不断建立健全内部管理制度，梳理内部管理流程，部门整体支出管理水平得到提升。根据部门整体支出绩效评价指标体系，我单位2022年度评价得分为96分。部门整体支出绩效情况如下：</w:t>
      </w:r>
    </w:p>
    <w:p>
      <w:pPr>
        <w:spacing w:line="240" w:lineRule="auto"/>
        <w:ind w:firstLine="640" w:firstLineChars="200"/>
        <w:jc w:val="left"/>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color="auto" w:fill="auto"/>
          <w:lang w:val="en-US" w:eastAsia="zh-CN" w:bidi="ar-SA"/>
        </w:rPr>
        <w:t>1. 目标设定</w:t>
      </w:r>
      <w:r>
        <w:rPr>
          <w:rFonts w:hint="eastAsia" w:ascii="仿宋_GB2312" w:eastAsia="仿宋_GB2312" w:cs="Times New Roman"/>
          <w:kern w:val="2"/>
          <w:sz w:val="32"/>
          <w:szCs w:val="32"/>
          <w:u w:val="none"/>
          <w:shd w:val="clear" w:color="auto" w:fill="auto"/>
          <w:lang w:val="en-US" w:eastAsia="zh-CN" w:bidi="ar-SA"/>
        </w:rPr>
        <w:t>得</w:t>
      </w:r>
      <w:r>
        <w:rPr>
          <w:rFonts w:hint="eastAsia" w:ascii="仿宋_GB2312" w:hAnsi="Calibri" w:eastAsia="仿宋_GB2312" w:cs="Times New Roman"/>
          <w:kern w:val="2"/>
          <w:sz w:val="32"/>
          <w:szCs w:val="32"/>
          <w:u w:val="none"/>
          <w:shd w:val="clear" w:color="auto" w:fill="auto"/>
          <w:lang w:val="en-US" w:eastAsia="zh-CN" w:bidi="ar-SA"/>
        </w:rPr>
        <w:t>14分。其中：符合国家法律法规、国民经济和社会发展总体规划，符合部门“三定”方案确定的职责，符合部门制定的中长期实施规划，绩效目标合理性得6分。部门整体的绩效目标细化分解为具体的工作任务，通过清晰、可衡量的指标值予以体现，与部门年度的任务数或计划数相对应，与本年度部门预算资金相匹配，绩效指标明确性得8分</w:t>
      </w:r>
      <w:r>
        <w:rPr>
          <w:rFonts w:hint="eastAsia" w:ascii="仿宋_GB2312" w:eastAsia="仿宋_GB2312" w:cs="Times New Roman"/>
          <w:kern w:val="2"/>
          <w:sz w:val="32"/>
          <w:szCs w:val="32"/>
          <w:u w:val="none"/>
          <w:shd w:val="clear" w:color="auto" w:fill="auto"/>
          <w:lang w:val="en-US" w:eastAsia="zh-CN" w:bidi="ar-SA"/>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Calibri" w:eastAsia="仿宋_GB2312" w:cs="Times New Roman"/>
          <w:b w:val="0"/>
          <w:bCs w:val="0"/>
          <w:kern w:val="2"/>
          <w:sz w:val="36"/>
          <w:szCs w:val="36"/>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2.预算配置控制得4分。其中：在职人员控制率：在职33人/编制27人*100%=122%，得0分；“三公”经费预算数减少，变动率等于44.5%，得2分；重点支出安排率得2分。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3. 预算执行比较到位得24分。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eastAsia="仿宋_GB2312"/>
          <w:sz w:val="32"/>
          <w:szCs w:val="32"/>
          <w:lang w:val="en-US" w:eastAsia="zh-CN"/>
        </w:rPr>
      </w:pPr>
      <w:r>
        <w:rPr>
          <w:rFonts w:hint="eastAsia" w:ascii="仿宋_GB2312" w:hAnsi="Calibri" w:eastAsia="仿宋_GB2312" w:cs="Times New Roman"/>
          <w:kern w:val="2"/>
          <w:sz w:val="32"/>
          <w:szCs w:val="32"/>
          <w:u w:val="none"/>
          <w:shd w:val="clear"/>
          <w:lang w:val="en-US" w:eastAsia="zh-CN" w:bidi="ar-SA"/>
        </w:rPr>
        <w:t>预算完成率得5分，</w:t>
      </w:r>
      <w:r>
        <w:rPr>
          <w:rFonts w:hint="eastAsia" w:ascii="仿宋_GB2312" w:hAnsi="Calibri" w:eastAsia="仿宋_GB2312" w:cs="Times New Roman"/>
          <w:kern w:val="2"/>
          <w:sz w:val="32"/>
          <w:szCs w:val="32"/>
          <w:u w:val="none"/>
          <w:shd w:val="clear" w:color="auto" w:fill="auto"/>
          <w:lang w:val="en-US" w:eastAsia="zh-CN" w:bidi="ar-SA"/>
        </w:rPr>
        <w:t>预算调整率得3分，</w:t>
      </w:r>
      <w:r>
        <w:rPr>
          <w:rFonts w:hint="eastAsia" w:ascii="仿宋_GB2312" w:eastAsia="仿宋_GB2312"/>
          <w:sz w:val="32"/>
          <w:szCs w:val="32"/>
        </w:rPr>
        <w:t>支付进度率</w:t>
      </w:r>
      <w:r>
        <w:rPr>
          <w:rFonts w:hint="eastAsia" w:ascii="仿宋_GB2312" w:eastAsia="仿宋_GB2312"/>
          <w:sz w:val="32"/>
          <w:szCs w:val="32"/>
          <w:lang w:eastAsia="zh-CN"/>
        </w:rPr>
        <w:t>得</w:t>
      </w:r>
      <w:r>
        <w:rPr>
          <w:rFonts w:hint="eastAsia" w:ascii="仿宋_GB2312" w:eastAsia="仿宋_GB2312"/>
          <w:sz w:val="32"/>
          <w:szCs w:val="32"/>
          <w:lang w:val="en-US" w:eastAsia="zh-CN"/>
        </w:rPr>
        <w:t>2分，结转结余率得2分，结转结余变动率得3分，公用经费控制率得3分，“三公经费”控制率得3分，政府采购执行率得3分。</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Calibri" w:eastAsia="仿宋_GB2312" w:cs="Times New Roman"/>
          <w:kern w:val="2"/>
          <w:sz w:val="32"/>
          <w:szCs w:val="32"/>
          <w:u w:val="none"/>
          <w:shd w:val="clear" w:color="auto" w:fill="auto"/>
          <w:lang w:val="en-US" w:eastAsia="zh-CN" w:bidi="ar-SA"/>
        </w:rPr>
      </w:pPr>
      <w:r>
        <w:rPr>
          <w:rFonts w:hint="eastAsia" w:ascii="仿宋_GB2312" w:hAnsi="Calibri" w:eastAsia="仿宋_GB2312" w:cs="Times New Roman"/>
          <w:kern w:val="2"/>
          <w:sz w:val="32"/>
          <w:szCs w:val="32"/>
          <w:u w:val="none"/>
          <w:shd w:val="clear" w:color="auto" w:fill="auto"/>
          <w:lang w:val="en-US" w:eastAsia="zh-CN" w:bidi="ar-SA"/>
        </w:rPr>
        <w:t>4.预算管理得8分。</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default" w:ascii="仿宋_GB2312" w:hAnsi="Calibri" w:eastAsia="仿宋_GB2312" w:cs="Times New Roman"/>
          <w:kern w:val="2"/>
          <w:sz w:val="32"/>
          <w:szCs w:val="32"/>
          <w:u w:val="none"/>
          <w:shd w:val="clear" w:color="auto" w:fill="auto"/>
          <w:lang w:val="en-US" w:eastAsia="zh-CN" w:bidi="ar-SA"/>
        </w:rPr>
      </w:pPr>
      <w:r>
        <w:rPr>
          <w:rFonts w:hint="eastAsia" w:ascii="仿宋_GB2312" w:hAnsi="Calibri" w:eastAsia="仿宋_GB2312" w:cs="Times New Roman"/>
          <w:kern w:val="2"/>
          <w:sz w:val="32"/>
          <w:szCs w:val="32"/>
          <w:u w:val="none"/>
          <w:shd w:val="clear" w:color="auto" w:fill="auto"/>
          <w:lang w:val="en-US" w:eastAsia="zh-CN" w:bidi="ar-SA"/>
        </w:rPr>
        <w:t xml:space="preserve">    管理制度健全性得2分，资金使用合规性得2分，预决算信息公开性得2分，基础信息完善性得2分。</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default" w:ascii="仿宋_GB2312" w:hAnsi="Calibri" w:eastAsia="仿宋_GB2312" w:cs="Times New Roman"/>
          <w:kern w:val="2"/>
          <w:sz w:val="32"/>
          <w:szCs w:val="32"/>
          <w:u w:val="none"/>
          <w:shd w:val="clear" w:color="auto" w:fill="auto"/>
          <w:lang w:val="en-US" w:eastAsia="zh-CN" w:bidi="ar-SA"/>
        </w:rPr>
      </w:pPr>
      <w:r>
        <w:rPr>
          <w:rFonts w:hint="eastAsia" w:ascii="仿宋_GB2312" w:hAnsi="Calibri" w:eastAsia="仿宋_GB2312" w:cs="Times New Roman"/>
          <w:kern w:val="2"/>
          <w:sz w:val="32"/>
          <w:szCs w:val="32"/>
          <w:u w:val="none"/>
          <w:shd w:val="clear" w:color="auto" w:fill="auto"/>
          <w:lang w:val="en-US" w:eastAsia="zh-CN" w:bidi="ar-SA"/>
        </w:rPr>
        <w:t xml:space="preserve">    5.资产管理得6分，管理制度健全性得3分，资产管理安全性得3分。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color="auto" w:fill="auto"/>
          <w:lang w:val="en-US" w:eastAsia="zh-CN" w:bidi="ar-SA"/>
        </w:rPr>
        <w:t xml:space="preserve"> 6.</w:t>
      </w:r>
      <w:r>
        <w:rPr>
          <w:rFonts w:hint="eastAsia" w:ascii="仿宋_GB2312" w:hAnsi="Calibri" w:eastAsia="仿宋_GB2312" w:cs="Times New Roman"/>
          <w:kern w:val="2"/>
          <w:sz w:val="32"/>
          <w:szCs w:val="32"/>
          <w:u w:val="none"/>
          <w:shd w:val="clear"/>
          <w:lang w:val="en-US" w:eastAsia="zh-CN" w:bidi="ar-SA"/>
        </w:rPr>
        <w:t>职责履行得20分：2022年我单位在全体干部职工的共同努力下圆满完成了各项工作目标和任务。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color="auto" w:fill="auto"/>
          <w:lang w:val="en-US" w:eastAsia="zh-CN" w:bidi="ar-SA"/>
        </w:rPr>
        <w:t xml:space="preserve"> </w:t>
      </w:r>
      <w:r>
        <w:rPr>
          <w:rFonts w:hint="eastAsia" w:ascii="仿宋_GB2312" w:hAnsi="Calibri" w:eastAsia="仿宋_GB2312" w:cs="Times New Roman"/>
          <w:kern w:val="2"/>
          <w:sz w:val="32"/>
          <w:szCs w:val="32"/>
          <w:u w:val="none"/>
          <w:shd w:val="clear"/>
          <w:lang w:val="en-US" w:eastAsia="zh-CN" w:bidi="ar-SA"/>
        </w:rPr>
        <w:t>7.履职效益得20分：我单位的各方面工作都得到社会大众的肯定和好评。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（1）经济效益、社会效益和生态效益各得5分：我单位不断改善行政管理、严格经费及资产管理，改进文风会风，精简会议，提高了行政效率，降低了行政成本。</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（2）社会公众或服务对象满意度得5分：在年度绩效考核中成绩优异。</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rPr>
        <w:t>存在的主要问题</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bookmarkStart w:id="9" w:name="_GoBack"/>
      <w:r>
        <w:rPr>
          <w:rFonts w:hint="eastAsia" w:ascii="仿宋_GB2312" w:hAnsi="Calibri" w:eastAsia="仿宋_GB2312" w:cs="Times New Roman"/>
          <w:kern w:val="2"/>
          <w:sz w:val="32"/>
          <w:szCs w:val="32"/>
          <w:u w:val="none"/>
          <w:shd w:val="clear"/>
          <w:lang w:val="en-US" w:eastAsia="zh-CN" w:bidi="ar-SA"/>
        </w:rPr>
        <w:t>1、预算编制工作有待细化。预算编制不够明确和细化，预算编制的合理性需要提高，预算执行力度还要进一步加强。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2、财务审核、财务管理方面有待加强。</w:t>
      </w:r>
    </w:p>
    <w:bookmarkEnd w:id="9"/>
    <w:p>
      <w:pPr>
        <w:pStyle w:val="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针对上述存在的问题及对外整体支出管理工作的需要，拟实施的改进措施如下: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1、细化预算编制工作，认真做好预算的编制。进一步加强单位内部机构各股室的预算管理意识，严格按照预算编制的相关制度和要求进行预算编制，优先保障固定性的、相对刚性的费用支出项目，尽量压缩变动性的、有控制空间的费用项目，进一步提高预算编制的科学性、严谨性和可控性。</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2、加强财务管理，严格财务审核，健全单位财务管理制度体系，规范单位财务行为。在费用报账支付时，按照预算规定的费用项目和用途进行资金使用审核、列报支付、财务核算，杜绝超支现象的发生。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Calibri" w:eastAsia="仿宋_GB2312" w:cs="Times New Roman"/>
          <w:kern w:val="2"/>
          <w:sz w:val="32"/>
          <w:szCs w:val="32"/>
          <w:u w:val="none"/>
          <w:shd w:val="clear"/>
          <w:lang w:val="en-US" w:eastAsia="zh-CN" w:bidi="ar-SA"/>
        </w:rPr>
      </w:pPr>
      <w:r>
        <w:rPr>
          <w:rFonts w:hint="eastAsia" w:ascii="仿宋_GB2312" w:hAnsi="Calibri" w:eastAsia="仿宋_GB2312" w:cs="Times New Roman"/>
          <w:kern w:val="2"/>
          <w:sz w:val="32"/>
          <w:szCs w:val="32"/>
          <w:u w:val="none"/>
          <w:shd w:val="clear"/>
          <w:lang w:val="en-US" w:eastAsia="zh-CN" w:bidi="ar-SA"/>
        </w:rPr>
        <w:t>3、对财务人员加强培训，特别是针对《预算法》《行政事业单位会计制度》等学习培训，规范部门预算收支核算，切实提高部门预算收支管理水平。</w:t>
      </w:r>
    </w:p>
    <w:p>
      <w:pPr>
        <w:pageBreakBefore w:val="0"/>
        <w:widowControl w:val="0"/>
        <w:kinsoku/>
        <w:wordWrap/>
        <w:overflowPunct/>
        <w:topLinePunct w:val="0"/>
        <w:autoSpaceDE/>
        <w:autoSpaceDN/>
        <w:bidi w:val="0"/>
        <w:adjustRightInd/>
        <w:snapToGrid/>
        <w:spacing w:line="560" w:lineRule="exact"/>
        <w:ind w:firstLine="360" w:firstLineChars="200"/>
        <w:jc w:val="both"/>
        <w:textAlignment w:val="auto"/>
        <w:rPr>
          <w:rFonts w:hint="eastAsia" w:ascii="宋体" w:hAnsi="宋体" w:eastAsia="宋体" w:cs="宋体"/>
          <w:sz w:val="18"/>
          <w:szCs w:val="18"/>
          <w:lang w:eastAsia="zh-CN"/>
        </w:rPr>
      </w:pPr>
    </w:p>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pPr>
    </w:p>
    <w:p/>
    <w:sectPr>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E7714357-6766-4CD5-BD60-A5D568233F5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6DD2844-92B1-4564-9DAA-81317D48441B}"/>
  </w:font>
  <w:font w:name="方正小标宋_GBK">
    <w:panose1 w:val="02000000000000000000"/>
    <w:charset w:val="86"/>
    <w:family w:val="auto"/>
    <w:pitch w:val="default"/>
    <w:sig w:usb0="A00002BF" w:usb1="38CF7CFA" w:usb2="00082016" w:usb3="00000000" w:csb0="00040001" w:csb1="00000000"/>
    <w:embedRegular r:id="rId3" w:fontKey="{E5DE8E6A-259B-4351-9D91-4BCD968F1613}"/>
  </w:font>
  <w:font w:name="仿宋_GB2312">
    <w:altName w:val="仿宋"/>
    <w:panose1 w:val="02010609030101010101"/>
    <w:charset w:val="86"/>
    <w:family w:val="auto"/>
    <w:pitch w:val="default"/>
    <w:sig w:usb0="00000000" w:usb1="00000000" w:usb2="00000000" w:usb3="00000000" w:csb0="00040000" w:csb1="00000000"/>
    <w:embedRegular r:id="rId4" w:fontKey="{BB3C9E22-49A9-4DE9-8230-2A247422175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13F1C"/>
    <w:multiLevelType w:val="singleLevel"/>
    <w:tmpl w:val="0E813F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TE0YTZkMmY0YTk1MzkyMGQxNTk0MmExMTYzY2QifQ=="/>
  </w:docVars>
  <w:rsids>
    <w:rsidRoot w:val="00000000"/>
    <w:rsid w:val="0C77765A"/>
    <w:rsid w:val="0E812106"/>
    <w:rsid w:val="17F66765"/>
    <w:rsid w:val="1A0B2E3F"/>
    <w:rsid w:val="1C0B1F5C"/>
    <w:rsid w:val="24650CAD"/>
    <w:rsid w:val="32473A8D"/>
    <w:rsid w:val="36C02C1A"/>
    <w:rsid w:val="3D9C72CD"/>
    <w:rsid w:val="49892887"/>
    <w:rsid w:val="55755470"/>
    <w:rsid w:val="69034A64"/>
    <w:rsid w:val="72E40307"/>
    <w:rsid w:val="76D33388"/>
    <w:rsid w:val="79B4568C"/>
    <w:rsid w:val="7FE8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8">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9">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0">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1">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2">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3">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5503</Words>
  <Characters>5723</Characters>
  <Lines>0</Lines>
  <Paragraphs>0</Paragraphs>
  <TotalTime>1</TotalTime>
  <ScaleCrop>false</ScaleCrop>
  <LinksUpToDate>false</LinksUpToDate>
  <CharactersWithSpaces>5876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嘿，远方姑娘</cp:lastModifiedBy>
  <dcterms:modified xsi:type="dcterms:W3CDTF">2023-11-29T09:03:56Z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63176D46D4254EDE9C05EF843BE536E6_12</vt:lpwstr>
  </property>
</Properties>
</file>