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keepLines/>
        <w:spacing w:after="260"/>
        <w:jc w:val="center"/>
        <w:rPr>
          <w:rFonts w:hint="eastAsia" w:ascii="方正小标宋简体" w:hAnsi="方正小标宋简体" w:eastAsia="方正小标宋简体" w:cs="方正小标宋简体"/>
          <w:color w:val="000000"/>
          <w:sz w:val="44"/>
          <w:szCs w:val="44"/>
          <w:lang w:val="en-US"/>
        </w:rPr>
      </w:pPr>
      <w:bookmarkStart w:id="0" w:name="bookmark88"/>
      <w:bookmarkStart w:id="1" w:name="bookmark90"/>
      <w:bookmarkStart w:id="2" w:name="bookmark89"/>
      <w:r>
        <w:rPr>
          <w:rFonts w:hint="eastAsia" w:ascii="方正小标宋简体" w:hAnsi="方正小标宋简体" w:eastAsia="方正小标宋简体" w:cs="方正小标宋简体"/>
          <w:color w:val="000000"/>
          <w:sz w:val="44"/>
          <w:szCs w:val="44"/>
          <w:lang w:val="en-US"/>
        </w:rPr>
        <w:t>区应急</w:t>
      </w:r>
      <w:r>
        <w:rPr>
          <w:rFonts w:hint="eastAsia" w:ascii="方正小标宋简体" w:hAnsi="方正小标宋简体" w:eastAsia="方正小标宋简体" w:cs="方正小标宋简体"/>
          <w:color w:val="000000"/>
          <w:sz w:val="44"/>
          <w:szCs w:val="44"/>
          <w:lang w:val="en-US" w:eastAsia="zh-CN"/>
        </w:rPr>
        <w:t>管理</w:t>
      </w:r>
      <w:r>
        <w:rPr>
          <w:rFonts w:hint="eastAsia" w:ascii="方正小标宋简体" w:hAnsi="方正小标宋简体" w:eastAsia="方正小标宋简体" w:cs="方正小标宋简体"/>
          <w:color w:val="000000"/>
          <w:sz w:val="44"/>
          <w:szCs w:val="44"/>
          <w:lang w:val="en-US"/>
        </w:rPr>
        <w:t>局部门整体支出绩效报告</w:t>
      </w:r>
      <w:bookmarkEnd w:id="0"/>
      <w:bookmarkEnd w:id="1"/>
      <w:bookmarkEnd w:id="2"/>
    </w:p>
    <w:p>
      <w:pPr>
        <w:pStyle w:val="18"/>
        <w:keepNext w:val="0"/>
        <w:keepLines w:val="0"/>
        <w:pageBreakBefore w:val="0"/>
        <w:tabs>
          <w:tab w:val="left" w:pos="867"/>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color w:val="000000"/>
          <w:sz w:val="32"/>
          <w:szCs w:val="32"/>
        </w:rPr>
        <w:t>一、部门概况</w:t>
      </w:r>
    </w:p>
    <w:p>
      <w:pPr>
        <w:pStyle w:val="18"/>
        <w:keepNext w:val="0"/>
        <w:keepLines w:val="0"/>
        <w:pageBreakBefore w:val="0"/>
        <w:tabs>
          <w:tab w:val="left" w:pos="1113"/>
        </w:tabs>
        <w:kinsoku/>
        <w:wordWrap/>
        <w:overflowPunct/>
        <w:topLinePunct w:val="0"/>
        <w:autoSpaceDE/>
        <w:autoSpaceDN/>
        <w:bidi w:val="0"/>
        <w:adjustRightInd/>
        <w:snapToGrid/>
        <w:spacing w:line="560" w:lineRule="exact"/>
        <w:ind w:firstLine="50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（一）</w:t>
      </w:r>
      <w:r>
        <w:rPr>
          <w:rFonts w:hint="eastAsia" w:ascii="楷体_GB2312" w:hAnsi="楷体_GB2312" w:eastAsia="楷体_GB2312" w:cs="楷体_GB2312"/>
          <w:b/>
          <w:bCs/>
          <w:color w:val="000000"/>
          <w:sz w:val="32"/>
          <w:szCs w:val="32"/>
        </w:rPr>
        <w:t>部门基本情况</w:t>
      </w:r>
    </w:p>
    <w:p>
      <w:pPr>
        <w:pStyle w:val="18"/>
        <w:keepNext w:val="0"/>
        <w:keepLines w:val="0"/>
        <w:pageBreakBefore w:val="0"/>
        <w:tabs>
          <w:tab w:val="left" w:pos="1113"/>
        </w:tabs>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1.机构设置</w:t>
      </w:r>
    </w:p>
    <w:p>
      <w:pPr>
        <w:pStyle w:val="18"/>
        <w:keepNext w:val="0"/>
        <w:keepLines w:val="0"/>
        <w:pageBreakBefore w:val="0"/>
        <w:tabs>
          <w:tab w:val="left" w:pos="1113"/>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按照《中共珠晖区委办公室 珠晖区人民政府办公室关于印发&lt;珠晖区应急管理局职能配置、内设机构和人员编制规定&gt;的通知》（珠办〔2019〕47号）精神，我局内设8个机构，分别是办公室、应急管理股、政策法规股、危险化学品安全监督管理股（烟花爆竹安全监督管理股）、工贸行业安全监督管理股、安全生产综合协调股、火灾防治管理股、防汛抗旱股（地震地质灾害救援股）、政工室（含机关工委和工会）；2个所属事业单位为珠晖区应急管理综合行政执法大队（副科级，原珠晖区安全生产行政执法大队）和珠晖区应急救援指挥中心（正股级）。</w:t>
      </w:r>
    </w:p>
    <w:p>
      <w:pPr>
        <w:pStyle w:val="18"/>
        <w:keepNext w:val="0"/>
        <w:keepLines w:val="0"/>
        <w:pageBreakBefore w:val="0"/>
        <w:tabs>
          <w:tab w:val="left" w:pos="1113"/>
        </w:tabs>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2.职能职责</w:t>
      </w:r>
    </w:p>
    <w:p>
      <w:pPr>
        <w:pStyle w:val="4"/>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lang w:eastAsia="zh-CN"/>
        </w:rPr>
        <w:t>（</w:t>
      </w:r>
      <w:r>
        <w:rPr>
          <w:rFonts w:hint="eastAsia" w:ascii="楷体_GB2312" w:hAnsi="楷体_GB2312" w:eastAsia="楷体_GB2312" w:cs="楷体_GB2312"/>
          <w:b/>
          <w:bCs/>
          <w:kern w:val="2"/>
          <w:sz w:val="32"/>
          <w:szCs w:val="32"/>
        </w:rPr>
        <w:t>一</w:t>
      </w:r>
      <w:r>
        <w:rPr>
          <w:rFonts w:hint="eastAsia" w:ascii="楷体_GB2312" w:hAnsi="楷体_GB2312" w:eastAsia="楷体_GB2312" w:cs="楷体_GB2312"/>
          <w:b/>
          <w:bCs/>
          <w:kern w:val="2"/>
          <w:sz w:val="32"/>
          <w:szCs w:val="32"/>
          <w:lang w:eastAsia="zh-CN"/>
        </w:rPr>
        <w:t>）</w:t>
      </w:r>
      <w:r>
        <w:rPr>
          <w:rFonts w:hint="eastAsia" w:ascii="仿宋_GB2312" w:hAnsi="仿宋_GB2312" w:eastAsia="仿宋_GB2312" w:cs="仿宋_GB2312"/>
          <w:kern w:val="2"/>
          <w:sz w:val="32"/>
          <w:szCs w:val="32"/>
        </w:rPr>
        <w:t>负责应急管理工作，指导全区各级各部门应对安全生产类、自然灾害类等突发事件和综合防灾减灾救灾工作。负责安全生产综合监督管理和权限内工矿商贸行业安全生产监督管理工作。</w:t>
      </w:r>
    </w:p>
    <w:p>
      <w:pPr>
        <w:pStyle w:val="4"/>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lang w:eastAsia="zh-CN"/>
        </w:rPr>
        <w:t>（二）</w:t>
      </w:r>
      <w:r>
        <w:rPr>
          <w:rFonts w:hint="eastAsia" w:ascii="仿宋_GB2312" w:hAnsi="仿宋_GB2312" w:eastAsia="仿宋_GB2312" w:cs="仿宋_GB2312"/>
          <w:kern w:val="2"/>
          <w:sz w:val="32"/>
          <w:szCs w:val="32"/>
        </w:rPr>
        <w:t>贯彻实施相关法律法规、部门规章、规程和标准，组织编制全区应急体系建设、安全生产和综合防灾减灾规划，组织起草相关规范性文件，组织拟订相关政策并监督实施。</w:t>
      </w:r>
    </w:p>
    <w:p>
      <w:pPr>
        <w:pStyle w:val="4"/>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lang w:eastAsia="zh-CN"/>
        </w:rPr>
        <w:t>（三）</w:t>
      </w:r>
      <w:r>
        <w:rPr>
          <w:rFonts w:hint="eastAsia" w:ascii="仿宋_GB2312" w:hAnsi="仿宋_GB2312" w:eastAsia="仿宋_GB2312" w:cs="仿宋_GB2312"/>
          <w:kern w:val="2"/>
          <w:sz w:val="32"/>
          <w:szCs w:val="32"/>
        </w:rPr>
        <w:t>指导应急预案体系建设，建立完善事故灾难和自然灾害分级应对制度，组织编制珠晖区总体应急预案和安全生产类、自然灾害类专项预案，综合协调应急预案衔接工作，组织开展预案演练，推动应急避难设施建设。</w:t>
      </w:r>
    </w:p>
    <w:p>
      <w:pPr>
        <w:pStyle w:val="4"/>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lang w:eastAsia="zh-CN"/>
        </w:rPr>
        <w:t>（四）</w:t>
      </w:r>
      <w:r>
        <w:rPr>
          <w:rFonts w:hint="eastAsia" w:ascii="仿宋_GB2312" w:hAnsi="仿宋_GB2312" w:eastAsia="仿宋_GB2312" w:cs="仿宋_GB2312"/>
          <w:kern w:val="2"/>
          <w:sz w:val="32"/>
          <w:szCs w:val="32"/>
        </w:rPr>
        <w:t>牵头推进全区统一的应急管理信息系统建设，负责信息传输渠道的规划和布局，建立监测预警和灾情报告制度，健全自然灾害信息资源获取和共享机制，依法统一发布灾情。</w:t>
      </w:r>
    </w:p>
    <w:p>
      <w:pPr>
        <w:pStyle w:val="4"/>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lang w:eastAsia="zh-CN"/>
        </w:rPr>
        <w:t>（五）</w:t>
      </w:r>
      <w:r>
        <w:rPr>
          <w:rFonts w:hint="eastAsia" w:ascii="仿宋_GB2312" w:hAnsi="仿宋_GB2312" w:eastAsia="仿宋_GB2312" w:cs="仿宋_GB2312"/>
          <w:kern w:val="2"/>
          <w:sz w:val="32"/>
          <w:szCs w:val="32"/>
        </w:rPr>
        <w:t>组织指导协调安全生产类、自然灾害类等突发事件，应急救援，承担区应对一般灾害指挥部工作，综合研判突发事件发展态势并提出应对建议，协助区委、区政府指定的负责同志组织一般及以上灾害应急处置工怍。</w:t>
      </w:r>
    </w:p>
    <w:p>
      <w:pPr>
        <w:pStyle w:val="4"/>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lang w:eastAsia="zh-CN"/>
        </w:rPr>
        <w:t>（六）</w:t>
      </w:r>
      <w:r>
        <w:rPr>
          <w:rFonts w:hint="eastAsia" w:ascii="仿宋_GB2312" w:hAnsi="仿宋_GB2312" w:eastAsia="仿宋_GB2312" w:cs="仿宋_GB2312"/>
          <w:kern w:val="2"/>
          <w:sz w:val="32"/>
          <w:szCs w:val="32"/>
        </w:rPr>
        <w:t>统一协调指挥各类应急专业队伍，建立应急协调联动机制，推进指挥平台对接，负责做好解放军和武警部队参与应急救援相关衔接工作。</w:t>
      </w:r>
    </w:p>
    <w:p>
      <w:pPr>
        <w:pStyle w:val="4"/>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lang w:eastAsia="zh-CN"/>
        </w:rPr>
        <w:t>（七）</w:t>
      </w:r>
      <w:r>
        <w:rPr>
          <w:rFonts w:hint="eastAsia" w:ascii="仿宋_GB2312" w:hAnsi="仿宋_GB2312" w:eastAsia="仿宋_GB2312" w:cs="仿宋_GB2312"/>
          <w:kern w:val="2"/>
          <w:sz w:val="32"/>
          <w:szCs w:val="32"/>
        </w:rPr>
        <w:t>统筹全区应急救援力量建设，负责协调消防、森林和草地火灾扑救、抗洪抢险、地震和地质灾害救援、生产安全事故救援等专业应急救援力量建设，指导企业及社会应急救援力量建设。</w:t>
      </w:r>
    </w:p>
    <w:p>
      <w:pPr>
        <w:pStyle w:val="4"/>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lang w:eastAsia="zh-CN"/>
        </w:rPr>
        <w:t>（八）</w:t>
      </w:r>
      <w:r>
        <w:rPr>
          <w:rFonts w:hint="eastAsia" w:ascii="仿宋_GB2312" w:hAnsi="仿宋_GB2312" w:eastAsia="仿宋_GB2312" w:cs="仿宋_GB2312"/>
          <w:kern w:val="2"/>
          <w:sz w:val="32"/>
          <w:szCs w:val="32"/>
        </w:rPr>
        <w:t>协调全区消防管理有关工作，协助消防监督、火灾预防、火灾扑救等工作。</w:t>
      </w:r>
    </w:p>
    <w:p>
      <w:pPr>
        <w:pStyle w:val="4"/>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lang w:eastAsia="zh-CN"/>
        </w:rPr>
        <w:t>（九）</w:t>
      </w:r>
      <w:r>
        <w:rPr>
          <w:rFonts w:hint="eastAsia" w:ascii="仿宋_GB2312" w:hAnsi="仿宋_GB2312" w:eastAsia="仿宋_GB2312" w:cs="仿宋_GB2312"/>
          <w:kern w:val="2"/>
          <w:sz w:val="32"/>
          <w:szCs w:val="32"/>
        </w:rPr>
        <w:t>协调全区森林和草地火灾、水旱灾害、地震和地质灾害等防治工作，负责自然灾害综合监测预警工作，指导开展自然灾害综合风险评估工作。</w:t>
      </w:r>
    </w:p>
    <w:p>
      <w:pPr>
        <w:pStyle w:val="4"/>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lang w:eastAsia="zh-CN"/>
        </w:rPr>
        <w:t>（十）</w:t>
      </w:r>
      <w:r>
        <w:rPr>
          <w:rFonts w:hint="eastAsia" w:ascii="仿宋_GB2312" w:hAnsi="仿宋_GB2312" w:eastAsia="仿宋_GB2312" w:cs="仿宋_GB2312"/>
          <w:kern w:val="2"/>
          <w:sz w:val="32"/>
          <w:szCs w:val="32"/>
        </w:rPr>
        <w:t>组织协调灾害救助工作，组织指导灾情核查、损失评估、救灾捐赠工作，按权限管理、分配中央、省级和市级下达救灾抗灾款物并监督使用。</w:t>
      </w:r>
    </w:p>
    <w:p>
      <w:pPr>
        <w:pStyle w:val="4"/>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lang w:eastAsia="zh-CN"/>
        </w:rPr>
        <w:t>（十一）</w:t>
      </w:r>
      <w:r>
        <w:rPr>
          <w:rFonts w:hint="eastAsia" w:ascii="仿宋_GB2312" w:hAnsi="仿宋_GB2312" w:eastAsia="仿宋_GB2312" w:cs="仿宋_GB2312"/>
          <w:kern w:val="2"/>
          <w:sz w:val="32"/>
          <w:szCs w:val="32"/>
        </w:rPr>
        <w:t>依法行使安全生产综合监督管理职权，指导协调、监督检查区有关部门和各街道、乡镇场的安全生产工作，组织开展安全生产检查、督查、巡查、考核工作。</w:t>
      </w:r>
    </w:p>
    <w:p>
      <w:pPr>
        <w:pStyle w:val="4"/>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lang w:eastAsia="zh-CN"/>
        </w:rPr>
        <w:t>（十二）</w:t>
      </w:r>
      <w:r>
        <w:rPr>
          <w:rFonts w:hint="eastAsia" w:ascii="仿宋_GB2312" w:hAnsi="仿宋_GB2312" w:eastAsia="仿宋_GB2312" w:cs="仿宋_GB2312"/>
          <w:kern w:val="2"/>
          <w:sz w:val="32"/>
          <w:szCs w:val="32"/>
        </w:rPr>
        <w:t>按照分级、属地原则，依法监督检查权限内工矿</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煤矿除外</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商贸生产经营单位贯彻执行安全生产法律法规情况及其安全生产条件和有关设备</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特种设备除外</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、材料、劳动防护用品的安全生产管理工作。依法组织并指导监督实施安全生产准入制度。负责危险化学品安全监督管理综合工作和烟花爆竹经营安全监督管理工作。</w:t>
      </w:r>
    </w:p>
    <w:p>
      <w:pPr>
        <w:pStyle w:val="4"/>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lang w:eastAsia="zh-CN"/>
        </w:rPr>
        <w:t>（十三）</w:t>
      </w:r>
      <w:r>
        <w:rPr>
          <w:rFonts w:hint="eastAsia" w:ascii="仿宋_GB2312" w:hAnsi="仿宋_GB2312" w:eastAsia="仿宋_GB2312" w:cs="仿宋_GB2312"/>
          <w:kern w:val="2"/>
          <w:sz w:val="32"/>
          <w:szCs w:val="32"/>
        </w:rPr>
        <w:t>依法组织指导生产安全事故调查处理，监督事故查处和责任追究落实情况。组织开展自然灾害类突发事件的调查评估工作。</w:t>
      </w:r>
    </w:p>
    <w:p>
      <w:pPr>
        <w:pStyle w:val="4"/>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lang w:eastAsia="zh-CN"/>
        </w:rPr>
        <w:t>（十四）</w:t>
      </w:r>
      <w:r>
        <w:rPr>
          <w:rFonts w:hint="eastAsia" w:ascii="仿宋_GB2312" w:hAnsi="仿宋_GB2312" w:eastAsia="仿宋_GB2312" w:cs="仿宋_GB2312"/>
          <w:kern w:val="2"/>
          <w:sz w:val="32"/>
          <w:szCs w:val="32"/>
        </w:rPr>
        <w:t>开展应急管理对外交流与合作，组织参与安全生产类、自然灾害类等突发事件的对外救援工作。</w:t>
      </w:r>
    </w:p>
    <w:p>
      <w:pPr>
        <w:pStyle w:val="4"/>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lang w:eastAsia="zh-CN"/>
        </w:rPr>
        <w:t>（十五）</w:t>
      </w:r>
      <w:r>
        <w:rPr>
          <w:rFonts w:hint="eastAsia" w:ascii="仿宋_GB2312" w:hAnsi="仿宋_GB2312" w:eastAsia="仿宋_GB2312" w:cs="仿宋_GB2312"/>
          <w:kern w:val="2"/>
          <w:sz w:val="32"/>
          <w:szCs w:val="32"/>
        </w:rPr>
        <w:t>制定全区应急物资储备和应急救援装备规划并组织实施，会同全区各街道、乡镇场和区相关职能部门建立健全应急物资信息平台和调拨制度，在救灾时统一调度。</w:t>
      </w:r>
    </w:p>
    <w:p>
      <w:pPr>
        <w:pStyle w:val="4"/>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lang w:eastAsia="zh-CN"/>
        </w:rPr>
        <w:t>（十六）</w:t>
      </w:r>
      <w:r>
        <w:rPr>
          <w:rFonts w:hint="eastAsia" w:ascii="仿宋_GB2312" w:hAnsi="仿宋_GB2312" w:eastAsia="仿宋_GB2312" w:cs="仿宋_GB2312"/>
          <w:kern w:val="2"/>
          <w:sz w:val="32"/>
          <w:szCs w:val="32"/>
        </w:rPr>
        <w:t>负责应急管理、安全生产宣传教育和培训工作，组织指导应急管理、安全生产的科学技术研究、推广应用和信息化建设工作。</w:t>
      </w:r>
    </w:p>
    <w:p>
      <w:pPr>
        <w:pStyle w:val="4"/>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20"/>
          <w:szCs w:val="20"/>
        </w:rPr>
      </w:pPr>
      <w:r>
        <w:rPr>
          <w:rFonts w:hint="eastAsia" w:ascii="楷体_GB2312" w:hAnsi="楷体_GB2312" w:eastAsia="楷体_GB2312" w:cs="楷体_GB2312"/>
          <w:b/>
          <w:bCs/>
          <w:kern w:val="2"/>
          <w:sz w:val="32"/>
          <w:szCs w:val="32"/>
          <w:lang w:eastAsia="zh-CN"/>
        </w:rPr>
        <w:t>（十七）</w:t>
      </w:r>
      <w:r>
        <w:rPr>
          <w:rFonts w:hint="eastAsia" w:ascii="仿宋_GB2312" w:hAnsi="仿宋_GB2312" w:eastAsia="仿宋_GB2312" w:cs="仿宋_GB2312"/>
          <w:kern w:val="2"/>
          <w:sz w:val="32"/>
          <w:szCs w:val="32"/>
        </w:rPr>
        <w:t>承担区防汛抗旱指挥部日常工作，协调区防汛抗旱指挥部成员单位的相关工作，组织执行国家防汛抗旱总指挥部、相关流域防汛抗旱指挥机构、省防汛抗旱指挥部和市防汛抗旱指挥部的指示、命令。</w:t>
      </w:r>
    </w:p>
    <w:p>
      <w:pPr>
        <w:pStyle w:val="4"/>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 w:hAnsi="仿宋" w:eastAsia="仿宋"/>
          <w:kern w:val="2"/>
          <w:sz w:val="32"/>
          <w:szCs w:val="32"/>
        </w:rPr>
      </w:pPr>
      <w:r>
        <w:rPr>
          <w:rFonts w:hint="eastAsia" w:ascii="楷体_GB2312" w:hAnsi="楷体_GB2312" w:eastAsia="楷体_GB2312" w:cs="楷体_GB2312"/>
          <w:b/>
          <w:bCs/>
          <w:kern w:val="2"/>
          <w:sz w:val="32"/>
          <w:szCs w:val="32"/>
          <w:lang w:eastAsia="zh-CN"/>
        </w:rPr>
        <w:t>（十八）</w:t>
      </w:r>
      <w:r>
        <w:rPr>
          <w:rFonts w:hint="eastAsia" w:ascii="仿宋" w:hAnsi="仿宋" w:eastAsia="仿宋"/>
          <w:kern w:val="2"/>
          <w:sz w:val="32"/>
          <w:szCs w:val="32"/>
        </w:rPr>
        <w:t>完成区委、区政府交办的其他任务。</w:t>
      </w:r>
    </w:p>
    <w:p>
      <w:pPr>
        <w:pStyle w:val="18"/>
        <w:keepNext w:val="0"/>
        <w:keepLines w:val="0"/>
        <w:pageBreakBefore w:val="0"/>
        <w:tabs>
          <w:tab w:val="left" w:pos="1113"/>
        </w:tabs>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3.重点工作计划</w:t>
      </w:r>
    </w:p>
    <w:p>
      <w:pPr>
        <w:pStyle w:val="18"/>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bidi="ar-SA"/>
        </w:rPr>
        <w:t>一、</w:t>
      </w:r>
      <w:r>
        <w:rPr>
          <w:rFonts w:hint="eastAsia" w:ascii="仿宋_GB2312" w:hAnsi="仿宋_GB2312" w:eastAsia="仿宋_GB2312" w:cs="仿宋_GB2312"/>
          <w:sz w:val="32"/>
          <w:szCs w:val="32"/>
        </w:rPr>
        <w:t>应急管理工作，指导全区各级各部门应对安全生产类、自然灾害类等突发事件和综合防灾减灾救灾工作，负责安全生产综合监督管理和权限内工贸行业安全生产监督管理工作；</w:t>
      </w:r>
    </w:p>
    <w:p>
      <w:pPr>
        <w:pStyle w:val="18"/>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二、制定全区应急物资储备和应急救援装备规划并组织实施，会同全区各街道、乡镇场和区相关职能部门建立健全应急物资信息平台和调拨制度，在救灾时统一调度；</w:t>
      </w:r>
      <w:bookmarkStart w:id="3" w:name="bookmark94"/>
    </w:p>
    <w:p>
      <w:pPr>
        <w:pStyle w:val="18"/>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三、承担区防汛抗旱指挥部日常工作，协调区防汛抗旱指挥部成员单位的相关工作，组织执行国家防汛抗旱总指挥部、相关流域防汛抗旱指挥机构、省防汛抗旱指挥部和市防汛抗旱指挥部的指示、命令。</w:t>
      </w:r>
    </w:p>
    <w:p>
      <w:pPr>
        <w:pStyle w:val="18"/>
        <w:keepNext w:val="0"/>
        <w:keepLines w:val="0"/>
        <w:pageBreakBefore w:val="0"/>
        <w:tabs>
          <w:tab w:val="left" w:pos="1113"/>
        </w:tabs>
        <w:kinsoku/>
        <w:wordWrap/>
        <w:overflowPunct/>
        <w:topLinePunct w:val="0"/>
        <w:autoSpaceDE/>
        <w:autoSpaceDN/>
        <w:bidi w:val="0"/>
        <w:adjustRightInd/>
        <w:snapToGrid/>
        <w:spacing w:line="560" w:lineRule="exact"/>
        <w:ind w:firstLine="50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（二）部门整体支出规模、使用方向和主要内容、涉及范围等</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zh-CN" w:eastAsia="zh-CN" w:bidi="zh-CN"/>
        </w:rPr>
        <w:t>我单位2022度收入总计</w:t>
      </w:r>
      <w:r>
        <w:rPr>
          <w:rFonts w:hint="eastAsia" w:ascii="仿宋_GB2312" w:hAnsi="仿宋_GB2312" w:eastAsia="仿宋_GB2312" w:cs="仿宋_GB2312"/>
          <w:kern w:val="2"/>
          <w:sz w:val="32"/>
          <w:szCs w:val="32"/>
          <w:lang w:val="en-US" w:eastAsia="zh-CN" w:bidi="zh-CN"/>
        </w:rPr>
        <w:t>483.71</w:t>
      </w:r>
      <w:r>
        <w:rPr>
          <w:rFonts w:hint="eastAsia" w:ascii="仿宋_GB2312" w:hAnsi="仿宋_GB2312" w:eastAsia="仿宋_GB2312" w:cs="仿宋_GB2312"/>
          <w:kern w:val="2"/>
          <w:sz w:val="32"/>
          <w:szCs w:val="32"/>
          <w:lang w:val="zh-CN" w:eastAsia="zh-CN" w:bidi="zh-CN"/>
        </w:rPr>
        <w:t>万元，其中财政拨款收入</w:t>
      </w:r>
      <w:r>
        <w:rPr>
          <w:rFonts w:hint="eastAsia" w:ascii="仿宋_GB2312" w:hAnsi="仿宋_GB2312" w:eastAsia="仿宋_GB2312" w:cs="仿宋_GB2312"/>
          <w:kern w:val="2"/>
          <w:sz w:val="32"/>
          <w:szCs w:val="32"/>
          <w:lang w:val="en-US" w:eastAsia="zh-CN" w:bidi="zh-CN"/>
        </w:rPr>
        <w:t>483.71</w:t>
      </w:r>
      <w:r>
        <w:rPr>
          <w:rFonts w:hint="eastAsia" w:ascii="仿宋_GB2312" w:hAnsi="仿宋_GB2312" w:eastAsia="仿宋_GB2312" w:cs="仿宋_GB2312"/>
          <w:kern w:val="2"/>
          <w:sz w:val="32"/>
          <w:szCs w:val="32"/>
          <w:lang w:val="zh-CN" w:eastAsia="zh-CN" w:bidi="zh-CN"/>
        </w:rPr>
        <w:t>万元，占本年收</w:t>
      </w:r>
      <w:r>
        <w:rPr>
          <w:rFonts w:hint="eastAsia" w:ascii="仿宋_GB2312" w:hAnsi="仿宋_GB2312" w:eastAsia="仿宋_GB2312" w:cs="仿宋_GB2312"/>
          <w:kern w:val="2"/>
          <w:sz w:val="32"/>
          <w:szCs w:val="32"/>
          <w:lang w:val="en-US" w:eastAsia="zh-CN" w:bidi="zh-CN"/>
        </w:rPr>
        <w:t>100</w:t>
      </w:r>
      <w:r>
        <w:rPr>
          <w:rFonts w:hint="eastAsia" w:ascii="仿宋_GB2312" w:hAnsi="仿宋_GB2312" w:eastAsia="仿宋_GB2312" w:cs="仿宋_GB2312"/>
          <w:kern w:val="2"/>
          <w:sz w:val="32"/>
          <w:szCs w:val="32"/>
          <w:lang w:val="zh-CN" w:eastAsia="zh-CN" w:bidi="zh-CN"/>
        </w:rPr>
        <w:t>%。本年支出合计</w:t>
      </w:r>
      <w:r>
        <w:rPr>
          <w:rFonts w:hint="eastAsia" w:ascii="仿宋_GB2312" w:hAnsi="仿宋_GB2312" w:eastAsia="仿宋_GB2312" w:cs="仿宋_GB2312"/>
          <w:kern w:val="2"/>
          <w:sz w:val="32"/>
          <w:szCs w:val="32"/>
          <w:lang w:val="en-US" w:eastAsia="zh-CN" w:bidi="zh-CN"/>
        </w:rPr>
        <w:t>483.71</w:t>
      </w:r>
      <w:r>
        <w:rPr>
          <w:rFonts w:hint="eastAsia" w:ascii="仿宋_GB2312" w:hAnsi="仿宋_GB2312" w:eastAsia="仿宋_GB2312" w:cs="仿宋_GB2312"/>
          <w:kern w:val="2"/>
          <w:sz w:val="32"/>
          <w:szCs w:val="32"/>
          <w:lang w:val="zh-CN" w:eastAsia="zh-CN" w:bidi="zh-CN"/>
        </w:rPr>
        <w:t>万元，其中：基本支出</w:t>
      </w:r>
      <w:r>
        <w:rPr>
          <w:rFonts w:hint="eastAsia" w:ascii="仿宋_GB2312" w:hAnsi="仿宋_GB2312" w:eastAsia="仿宋_GB2312" w:cs="仿宋_GB2312"/>
          <w:kern w:val="2"/>
          <w:sz w:val="32"/>
          <w:szCs w:val="32"/>
          <w:lang w:val="en-US" w:eastAsia="zh-CN" w:bidi="zh-CN"/>
        </w:rPr>
        <w:t>221.82</w:t>
      </w:r>
      <w:r>
        <w:rPr>
          <w:rFonts w:hint="eastAsia" w:ascii="仿宋_GB2312" w:hAnsi="仿宋_GB2312" w:eastAsia="仿宋_GB2312" w:cs="仿宋_GB2312"/>
          <w:kern w:val="2"/>
          <w:sz w:val="32"/>
          <w:szCs w:val="32"/>
          <w:lang w:val="zh-CN" w:eastAsia="zh-CN" w:bidi="zh-CN"/>
        </w:rPr>
        <w:t>万元，占</w:t>
      </w:r>
      <w:r>
        <w:rPr>
          <w:rFonts w:hint="eastAsia" w:ascii="仿宋_GB2312" w:hAnsi="仿宋_GB2312" w:eastAsia="仿宋_GB2312" w:cs="仿宋_GB2312"/>
          <w:kern w:val="2"/>
          <w:sz w:val="32"/>
          <w:szCs w:val="32"/>
          <w:lang w:val="en-US" w:eastAsia="zh-CN" w:bidi="zh-CN"/>
        </w:rPr>
        <w:t>45.86</w:t>
      </w:r>
      <w:r>
        <w:rPr>
          <w:rFonts w:hint="eastAsia" w:ascii="仿宋_GB2312" w:hAnsi="仿宋_GB2312" w:eastAsia="仿宋_GB2312" w:cs="仿宋_GB2312"/>
          <w:kern w:val="2"/>
          <w:sz w:val="32"/>
          <w:szCs w:val="32"/>
          <w:lang w:val="zh-CN" w:eastAsia="zh-CN" w:bidi="zh-CN"/>
        </w:rPr>
        <w:t>%；项目支出</w:t>
      </w:r>
      <w:r>
        <w:rPr>
          <w:rFonts w:hint="eastAsia" w:ascii="仿宋_GB2312" w:hAnsi="仿宋_GB2312" w:eastAsia="仿宋_GB2312" w:cs="仿宋_GB2312"/>
          <w:kern w:val="2"/>
          <w:sz w:val="32"/>
          <w:szCs w:val="32"/>
          <w:lang w:val="en-US" w:eastAsia="zh-CN" w:bidi="zh-CN"/>
        </w:rPr>
        <w:t>261.89</w:t>
      </w:r>
      <w:r>
        <w:rPr>
          <w:rFonts w:hint="eastAsia" w:ascii="仿宋_GB2312" w:hAnsi="仿宋_GB2312" w:eastAsia="仿宋_GB2312" w:cs="仿宋_GB2312"/>
          <w:kern w:val="2"/>
          <w:sz w:val="32"/>
          <w:szCs w:val="32"/>
          <w:lang w:val="zh-CN" w:eastAsia="zh-CN" w:bidi="zh-CN"/>
        </w:rPr>
        <w:t>万元，占</w:t>
      </w:r>
      <w:r>
        <w:rPr>
          <w:rFonts w:hint="eastAsia" w:ascii="仿宋_GB2312" w:hAnsi="仿宋_GB2312" w:eastAsia="仿宋_GB2312" w:cs="仿宋_GB2312"/>
          <w:kern w:val="2"/>
          <w:sz w:val="32"/>
          <w:szCs w:val="32"/>
          <w:lang w:val="en-US" w:eastAsia="zh-CN" w:bidi="zh-CN"/>
        </w:rPr>
        <w:t>54.14</w:t>
      </w:r>
      <w:r>
        <w:rPr>
          <w:rFonts w:hint="eastAsia" w:ascii="仿宋_GB2312" w:hAnsi="仿宋_GB2312" w:eastAsia="仿宋_GB2312" w:cs="仿宋_GB2312"/>
          <w:kern w:val="2"/>
          <w:sz w:val="32"/>
          <w:szCs w:val="32"/>
          <w:lang w:val="zh-CN" w:eastAsia="zh-CN" w:bidi="zh-CN"/>
        </w:rPr>
        <w:t>%。</w:t>
      </w:r>
    </w:p>
    <w:p>
      <w:pPr>
        <w:pStyle w:val="18"/>
        <w:keepNext w:val="0"/>
        <w:keepLines w:val="0"/>
        <w:pageBreakBefore w:val="0"/>
        <w:tabs>
          <w:tab w:val="left" w:pos="1113"/>
        </w:tabs>
        <w:kinsoku/>
        <w:wordWrap/>
        <w:overflowPunct/>
        <w:topLinePunct w:val="0"/>
        <w:autoSpaceDE/>
        <w:autoSpaceDN/>
        <w:bidi w:val="0"/>
        <w:adjustRightInd/>
        <w:snapToGrid/>
        <w:spacing w:line="560" w:lineRule="exact"/>
        <w:ind w:firstLine="5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w:t>
      </w:r>
      <w:bookmarkEnd w:id="3"/>
      <w:r>
        <w:rPr>
          <w:rFonts w:hint="eastAsia" w:ascii="黑体" w:hAnsi="黑体" w:eastAsia="黑体" w:cs="黑体"/>
          <w:b w:val="0"/>
          <w:bCs w:val="0"/>
          <w:color w:val="000000"/>
          <w:sz w:val="32"/>
          <w:szCs w:val="32"/>
        </w:rPr>
        <w:t>、部门整体支出管理及使用情况</w:t>
      </w:r>
    </w:p>
    <w:p>
      <w:pPr>
        <w:pStyle w:val="18"/>
        <w:keepNext w:val="0"/>
        <w:keepLines w:val="0"/>
        <w:pageBreakBefore w:val="0"/>
        <w:tabs>
          <w:tab w:val="left" w:pos="1111"/>
        </w:tabs>
        <w:kinsoku/>
        <w:wordWrap/>
        <w:overflowPunct/>
        <w:topLinePunct w:val="0"/>
        <w:autoSpaceDE/>
        <w:autoSpaceDN/>
        <w:bidi w:val="0"/>
        <w:adjustRightInd/>
        <w:snapToGrid/>
        <w:spacing w:line="560" w:lineRule="exact"/>
        <w:ind w:firstLine="500"/>
        <w:textAlignment w:val="auto"/>
        <w:rPr>
          <w:rFonts w:hint="eastAsia" w:ascii="楷体_GB2312" w:hAnsi="楷体_GB2312" w:eastAsia="楷体_GB2312" w:cs="楷体_GB2312"/>
          <w:b/>
          <w:bCs/>
          <w:color w:val="000000"/>
          <w:sz w:val="32"/>
          <w:szCs w:val="32"/>
        </w:rPr>
      </w:pPr>
      <w:bookmarkStart w:id="4" w:name="bookmark95"/>
      <w:r>
        <w:rPr>
          <w:rFonts w:hint="eastAsia" w:ascii="楷体_GB2312" w:hAnsi="楷体_GB2312" w:eastAsia="楷体_GB2312" w:cs="楷体_GB2312"/>
          <w:b/>
          <w:bCs/>
          <w:color w:val="000000"/>
          <w:sz w:val="32"/>
          <w:szCs w:val="32"/>
        </w:rPr>
        <w:t>（</w:t>
      </w:r>
      <w:bookmarkEnd w:id="4"/>
      <w:r>
        <w:rPr>
          <w:rFonts w:hint="eastAsia" w:ascii="楷体_GB2312" w:hAnsi="楷体_GB2312" w:eastAsia="楷体_GB2312" w:cs="楷体_GB2312"/>
          <w:b/>
          <w:bCs/>
          <w:color w:val="000000"/>
          <w:sz w:val="32"/>
          <w:szCs w:val="32"/>
        </w:rPr>
        <w:t>一）基本支出</w:t>
      </w:r>
    </w:p>
    <w:p>
      <w:pPr>
        <w:pStyle w:val="18"/>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2022年度基本支出221.82万元，包含人员经费支出、对个人和家庭的补助支出、商品和服务支出。</w:t>
      </w:r>
    </w:p>
    <w:p>
      <w:pPr>
        <w:pStyle w:val="18"/>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2022年公务用车购置及运行费2.5万元。</w:t>
      </w:r>
    </w:p>
    <w:p>
      <w:pPr>
        <w:pStyle w:val="18"/>
        <w:keepNext w:val="0"/>
        <w:keepLines w:val="0"/>
        <w:pageBreakBefore w:val="0"/>
        <w:tabs>
          <w:tab w:val="left" w:pos="1111"/>
        </w:tabs>
        <w:kinsoku/>
        <w:wordWrap/>
        <w:overflowPunct/>
        <w:topLinePunct w:val="0"/>
        <w:autoSpaceDE/>
        <w:autoSpaceDN/>
        <w:bidi w:val="0"/>
        <w:adjustRightInd/>
        <w:snapToGrid/>
        <w:spacing w:line="560" w:lineRule="exact"/>
        <w:ind w:firstLine="500"/>
        <w:textAlignment w:val="auto"/>
        <w:rPr>
          <w:rFonts w:hint="eastAsia" w:ascii="楷体_GB2312" w:hAnsi="楷体_GB2312" w:eastAsia="楷体_GB2312" w:cs="楷体_GB2312"/>
          <w:b/>
          <w:bCs/>
          <w:color w:val="000000"/>
          <w:sz w:val="32"/>
          <w:szCs w:val="32"/>
        </w:rPr>
      </w:pPr>
      <w:bookmarkStart w:id="5" w:name="bookmark96"/>
      <w:r>
        <w:rPr>
          <w:rFonts w:hint="eastAsia" w:ascii="楷体_GB2312" w:hAnsi="楷体_GB2312" w:eastAsia="楷体_GB2312" w:cs="楷体_GB2312"/>
          <w:b/>
          <w:bCs/>
          <w:color w:val="000000"/>
          <w:sz w:val="32"/>
          <w:szCs w:val="32"/>
        </w:rPr>
        <w:t>（</w:t>
      </w:r>
      <w:bookmarkEnd w:id="5"/>
      <w:r>
        <w:rPr>
          <w:rFonts w:hint="eastAsia" w:ascii="楷体_GB2312" w:hAnsi="楷体_GB2312" w:eastAsia="楷体_GB2312" w:cs="楷体_GB2312"/>
          <w:b/>
          <w:bCs/>
          <w:color w:val="000000"/>
          <w:sz w:val="32"/>
          <w:szCs w:val="32"/>
        </w:rPr>
        <w:t>二）项目支出</w:t>
      </w:r>
    </w:p>
    <w:p>
      <w:pPr>
        <w:pStyle w:val="18"/>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2022年度项目支出261.89</w:t>
      </w:r>
      <w:bookmarkStart w:id="8" w:name="_GoBack"/>
      <w:bookmarkEnd w:id="8"/>
      <w:r>
        <w:rPr>
          <w:rFonts w:hint="eastAsia" w:ascii="仿宋_GB2312" w:hAnsi="仿宋_GB2312" w:eastAsia="仿宋_GB2312" w:cs="仿宋_GB2312"/>
          <w:kern w:val="2"/>
          <w:sz w:val="32"/>
          <w:szCs w:val="32"/>
          <w:lang w:val="en-US" w:eastAsia="zh-CN" w:bidi="zh-CN"/>
        </w:rPr>
        <w:t>万元，用于安全生产委员会、安全生产政府社会化外包服务经费、重大安全隐患治理经费、重大安全隐患事故经费、森林防火经费、安全生产考核、培训及设备购置运行维护经费、“安全生产月”专项活动经费、执法经费支出。</w:t>
      </w:r>
    </w:p>
    <w:p>
      <w:pPr>
        <w:pStyle w:val="18"/>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三、部门项目组织实施情况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无建设性项目支出</w:t>
      </w:r>
    </w:p>
    <w:p>
      <w:pPr>
        <w:pStyle w:val="18"/>
        <w:keepNext w:val="0"/>
        <w:keepLines w:val="0"/>
        <w:pageBreakBefore w:val="0"/>
        <w:tabs>
          <w:tab w:val="left" w:pos="1111"/>
        </w:tabs>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四、资产管理情况</w:t>
      </w:r>
    </w:p>
    <w:p>
      <w:pPr>
        <w:pStyle w:val="18"/>
        <w:keepNext w:val="0"/>
        <w:keepLines w:val="0"/>
        <w:pageBreakBefore w:val="0"/>
        <w:tabs>
          <w:tab w:val="left" w:pos="1111"/>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bidi="ar-SA"/>
        </w:rPr>
      </w:pPr>
      <w:bookmarkStart w:id="6" w:name="bookmark102"/>
      <w:r>
        <w:rPr>
          <w:rFonts w:hint="eastAsia" w:ascii="仿宋_GB2312" w:hAnsi="仿宋_GB2312" w:eastAsia="仿宋_GB2312" w:cs="仿宋_GB2312"/>
          <w:kern w:val="0"/>
          <w:sz w:val="32"/>
          <w:szCs w:val="32"/>
          <w:lang w:val="en-US" w:eastAsia="zh-CN" w:bidi="ar-SA"/>
        </w:rPr>
        <w:t>截至2022年12月31日，衡阳市珠晖区应急管理局共有车辆1辆（台），其中：副部（省）级及以上领导用车0辆、主要领导干部用车0辆、机要通信用车0辆、应急保障用车0辆、执法执勤用车0辆、特种专业技术用车0辆、其他用车1辆，其他用车主要是应急车辆；单价50万元（含）以上通用设备0台（套），单价100万元（含）以上专用设备0台（套）。</w:t>
      </w:r>
    </w:p>
    <w:bookmarkEnd w:id="6"/>
    <w:p>
      <w:pPr>
        <w:pStyle w:val="18"/>
        <w:keepNext w:val="0"/>
        <w:keepLines w:val="0"/>
        <w:pageBreakBefore w:val="0"/>
        <w:numPr>
          <w:ilvl w:val="0"/>
          <w:numId w:val="0"/>
        </w:numPr>
        <w:tabs>
          <w:tab w:val="left" w:pos="1111"/>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五、</w:t>
      </w:r>
      <w:r>
        <w:rPr>
          <w:rFonts w:hint="eastAsia" w:ascii="黑体" w:hAnsi="黑体" w:eastAsia="黑体" w:cs="黑体"/>
          <w:b w:val="0"/>
          <w:bCs w:val="0"/>
          <w:color w:val="000000"/>
          <w:sz w:val="32"/>
          <w:szCs w:val="32"/>
        </w:rPr>
        <w:t>部门整体支出绩效情况</w:t>
      </w:r>
      <w:bookmarkStart w:id="7" w:name="bookmark103"/>
    </w:p>
    <w:p>
      <w:pPr>
        <w:pStyle w:val="18"/>
        <w:keepNext w:val="0"/>
        <w:keepLines w:val="0"/>
        <w:pageBreakBefore w:val="0"/>
        <w:tabs>
          <w:tab w:val="left" w:pos="1111"/>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kern w:val="0"/>
          <w:sz w:val="32"/>
          <w:szCs w:val="32"/>
          <w:lang w:val="en-US" w:bidi="ar-SA"/>
        </w:rPr>
      </w:pPr>
      <w:r>
        <w:rPr>
          <w:rFonts w:hint="eastAsia" w:ascii="仿宋_GB2312" w:hAnsi="仿宋_GB2312" w:eastAsia="仿宋_GB2312" w:cs="仿宋_GB2312"/>
          <w:b w:val="0"/>
          <w:bCs w:val="0"/>
          <w:kern w:val="0"/>
          <w:sz w:val="32"/>
          <w:szCs w:val="32"/>
          <w:lang w:val="en-US" w:bidi="ar-SA"/>
        </w:rPr>
        <w:t>职能整合、权责离合、人员磨合，</w:t>
      </w:r>
      <w:r>
        <w:rPr>
          <w:rFonts w:hint="eastAsia" w:ascii="仿宋_GB2312" w:hAnsi="仿宋_GB2312" w:eastAsia="仿宋_GB2312" w:cs="仿宋_GB2312"/>
          <w:b w:val="0"/>
          <w:bCs w:val="0"/>
          <w:kern w:val="0"/>
          <w:sz w:val="32"/>
          <w:szCs w:val="32"/>
          <w:lang w:val="en-US" w:eastAsia="zh-CN" w:bidi="ar-SA"/>
        </w:rPr>
        <w:t>全区</w:t>
      </w:r>
      <w:r>
        <w:rPr>
          <w:rFonts w:hint="eastAsia" w:ascii="仿宋_GB2312" w:hAnsi="仿宋_GB2312" w:eastAsia="仿宋_GB2312" w:cs="仿宋_GB2312"/>
          <w:b w:val="0"/>
          <w:bCs w:val="0"/>
          <w:kern w:val="0"/>
          <w:sz w:val="32"/>
          <w:szCs w:val="32"/>
          <w:lang w:val="en-US" w:bidi="ar-SA"/>
        </w:rPr>
        <w:t>应急管理工作在改革中摸索、在摸索中前进；加强了应急管理力量，努力夯实了应急管理和安全生产的工作基础；与水利、民政、林业、自然资源等部门加强了沟通对接，调整了防汛</w:t>
      </w:r>
      <w:r>
        <w:rPr>
          <w:rFonts w:hint="eastAsia" w:ascii="仿宋_GB2312" w:hAnsi="仿宋_GB2312" w:eastAsia="仿宋_GB2312" w:cs="仿宋_GB2312"/>
          <w:b w:val="0"/>
          <w:bCs w:val="0"/>
          <w:kern w:val="0"/>
          <w:sz w:val="32"/>
          <w:szCs w:val="32"/>
          <w:lang w:val="en-US" w:eastAsia="zh-CN" w:bidi="ar-SA"/>
        </w:rPr>
        <w:t>办</w:t>
      </w:r>
      <w:r>
        <w:rPr>
          <w:rFonts w:hint="eastAsia" w:ascii="仿宋_GB2312" w:hAnsi="仿宋_GB2312" w:eastAsia="仿宋_GB2312" w:cs="仿宋_GB2312"/>
          <w:b w:val="0"/>
          <w:bCs w:val="0"/>
          <w:kern w:val="0"/>
          <w:sz w:val="32"/>
          <w:szCs w:val="32"/>
          <w:lang w:val="en-US" w:bidi="ar-SA"/>
        </w:rPr>
        <w:t>、</w:t>
      </w:r>
      <w:r>
        <w:rPr>
          <w:rFonts w:hint="eastAsia" w:ascii="仿宋_GB2312" w:hAnsi="仿宋_GB2312" w:eastAsia="仿宋_GB2312" w:cs="仿宋_GB2312"/>
          <w:b w:val="0"/>
          <w:bCs w:val="0"/>
          <w:kern w:val="0"/>
          <w:sz w:val="32"/>
          <w:szCs w:val="32"/>
          <w:lang w:val="en-US" w:eastAsia="zh-CN" w:bidi="ar-SA"/>
        </w:rPr>
        <w:t>防灾</w:t>
      </w:r>
      <w:r>
        <w:rPr>
          <w:rFonts w:hint="eastAsia" w:ascii="仿宋_GB2312" w:hAnsi="仿宋_GB2312" w:eastAsia="仿宋_GB2312" w:cs="仿宋_GB2312"/>
          <w:b w:val="0"/>
          <w:bCs w:val="0"/>
          <w:kern w:val="0"/>
          <w:sz w:val="32"/>
          <w:szCs w:val="32"/>
          <w:lang w:val="en-US" w:bidi="ar-SA"/>
        </w:rPr>
        <w:t>减灾</w:t>
      </w:r>
      <w:r>
        <w:rPr>
          <w:rFonts w:hint="eastAsia" w:ascii="仿宋_GB2312" w:hAnsi="仿宋_GB2312" w:eastAsia="仿宋_GB2312" w:cs="仿宋_GB2312"/>
          <w:b w:val="0"/>
          <w:bCs w:val="0"/>
          <w:kern w:val="0"/>
          <w:sz w:val="32"/>
          <w:szCs w:val="32"/>
          <w:lang w:val="en-US" w:eastAsia="zh-CN" w:bidi="ar-SA"/>
        </w:rPr>
        <w:t>办、森防指办办</w:t>
      </w:r>
      <w:r>
        <w:rPr>
          <w:rFonts w:hint="eastAsia" w:ascii="仿宋_GB2312" w:hAnsi="仿宋_GB2312" w:eastAsia="仿宋_GB2312" w:cs="仿宋_GB2312"/>
          <w:b w:val="0"/>
          <w:bCs w:val="0"/>
          <w:kern w:val="0"/>
          <w:sz w:val="32"/>
          <w:szCs w:val="32"/>
          <w:lang w:val="en-US" w:bidi="ar-SA"/>
        </w:rPr>
        <w:t>，进一步理顺部门职责职能，逐步建立起高效快捷应急反应机制。</w:t>
      </w:r>
    </w:p>
    <w:p>
      <w:pPr>
        <w:pStyle w:val="18"/>
        <w:keepNext w:val="0"/>
        <w:keepLines w:val="0"/>
        <w:pageBreakBefore w:val="0"/>
        <w:tabs>
          <w:tab w:val="left" w:pos="1111"/>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kern w:val="0"/>
          <w:sz w:val="32"/>
          <w:szCs w:val="32"/>
          <w:lang w:val="en-US" w:bidi="ar-SA"/>
        </w:rPr>
      </w:pPr>
      <w:r>
        <w:rPr>
          <w:rFonts w:hint="eastAsia" w:ascii="仿宋_GB2312" w:hAnsi="仿宋_GB2312" w:eastAsia="仿宋_GB2312" w:cs="仿宋_GB2312"/>
          <w:b w:val="0"/>
          <w:bCs w:val="0"/>
          <w:kern w:val="0"/>
          <w:sz w:val="32"/>
          <w:szCs w:val="32"/>
          <w:lang w:val="en-US" w:bidi="ar-SA"/>
        </w:rPr>
        <w:t>绩效评分97分，绩效评价为优。</w:t>
      </w:r>
    </w:p>
    <w:p>
      <w:pPr>
        <w:pStyle w:val="18"/>
        <w:keepNext w:val="0"/>
        <w:keepLines w:val="0"/>
        <w:pageBreakBefore w:val="0"/>
        <w:tabs>
          <w:tab w:val="left" w:pos="1111"/>
        </w:tabs>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六</w:t>
      </w:r>
      <w:bookmarkEnd w:id="7"/>
      <w:r>
        <w:rPr>
          <w:rFonts w:hint="eastAsia" w:ascii="黑体" w:hAnsi="黑体" w:eastAsia="黑体" w:cs="黑体"/>
          <w:b w:val="0"/>
          <w:bCs w:val="0"/>
          <w:color w:val="000000"/>
          <w:sz w:val="32"/>
          <w:szCs w:val="32"/>
        </w:rPr>
        <w:t>、存在的主要问题</w:t>
      </w:r>
    </w:p>
    <w:p>
      <w:pPr>
        <w:pStyle w:val="18"/>
        <w:keepNext w:val="0"/>
        <w:keepLines w:val="0"/>
        <w:pageBreakBefore w:val="0"/>
        <w:tabs>
          <w:tab w:val="left" w:pos="1111"/>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bidi="ar-SA"/>
        </w:rPr>
      </w:pPr>
      <w:r>
        <w:rPr>
          <w:rFonts w:hint="eastAsia" w:ascii="仿宋_GB2312" w:hAnsi="仿宋_GB2312" w:eastAsia="仿宋_GB2312" w:cs="仿宋_GB2312"/>
          <w:kern w:val="0"/>
          <w:sz w:val="32"/>
          <w:szCs w:val="32"/>
          <w:lang w:val="en-US" w:bidi="ar-SA"/>
        </w:rPr>
        <w:t>部门整体预算的编制、执行和管理过程以及职能发挥和履职效益基本支出经费预算完成率和预算控制率均较好，项目收支中部分项目因受机构改革等因素影响，造成指标下达时间较晚，导致资金未能及时使用。</w:t>
      </w:r>
    </w:p>
    <w:p>
      <w:pPr>
        <w:pStyle w:val="18"/>
        <w:keepNext w:val="0"/>
        <w:keepLines w:val="0"/>
        <w:pageBreakBefore w:val="0"/>
        <w:tabs>
          <w:tab w:val="left" w:pos="1111"/>
        </w:tabs>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七、改进措施和有关建议</w:t>
      </w:r>
    </w:p>
    <w:p>
      <w:pPr>
        <w:pStyle w:val="18"/>
        <w:keepNext w:val="0"/>
        <w:keepLines w:val="0"/>
        <w:pageBreakBefore w:val="0"/>
        <w:tabs>
          <w:tab w:val="left" w:pos="1111"/>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bidi="ar-SA"/>
        </w:rPr>
      </w:pPr>
      <w:r>
        <w:rPr>
          <w:rFonts w:hint="eastAsia" w:ascii="仿宋_GB2312" w:hAnsi="仿宋_GB2312" w:eastAsia="仿宋_GB2312" w:cs="仿宋_GB2312"/>
          <w:kern w:val="0"/>
          <w:sz w:val="32"/>
          <w:szCs w:val="32"/>
          <w:lang w:val="en-US" w:bidi="ar-SA"/>
        </w:rPr>
        <w:t>持续推进预算编制科学化；持续加强预算执行规范化；持续加强财务管理制度。</w:t>
      </w:r>
    </w:p>
    <w:p>
      <w:pPr>
        <w:spacing w:line="1" w:lineRule="exact"/>
        <w:jc w:val="center"/>
        <w:rPr>
          <w:rFonts w:ascii="宋体" w:hAnsi="宋体" w:cs="宋体"/>
          <w:sz w:val="18"/>
          <w:szCs w:val="18"/>
        </w:rPr>
      </w:pPr>
    </w:p>
    <w:sectPr>
      <w:footerReference r:id="rId3" w:type="default"/>
      <w:footerReference r:id="rId4" w:type="even"/>
      <w:pgSz w:w="11906" w:h="16838"/>
      <w:pgMar w:top="1383" w:right="1701" w:bottom="127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1010920</wp:posOffset>
              </wp:positionH>
              <wp:positionV relativeFrom="page">
                <wp:posOffset>9731375</wp:posOffset>
              </wp:positionV>
              <wp:extent cx="603250" cy="106680"/>
              <wp:effectExtent l="0" t="0" r="0" b="0"/>
              <wp:wrapNone/>
              <wp:docPr id="30" name="Shape 30"/>
              <wp:cNvGraphicFramePr/>
              <a:graphic xmlns:a="http://schemas.openxmlformats.org/drawingml/2006/main">
                <a:graphicData uri="http://schemas.microsoft.com/office/word/2010/wordprocessingShape">
                  <wps:wsp>
                    <wps:cNvSpPr txBox="1"/>
                    <wps:spPr>
                      <a:xfrm>
                        <a:off x="0" y="0"/>
                        <a:ext cx="603250" cy="106680"/>
                      </a:xfrm>
                      <a:prstGeom prst="rect">
                        <a:avLst/>
                      </a:prstGeom>
                      <a:noFill/>
                      <a:ln>
                        <a:noFill/>
                      </a:ln>
                      <a:effectLst/>
                    </wps:spPr>
                    <wps:txbx>
                      <w:txbxContent>
                        <w:p>
                          <w:pPr>
                            <w:pStyle w:val="24"/>
                            <w:jc w:val="left"/>
                            <w:rPr>
                              <w:sz w:val="24"/>
                              <w:szCs w:val="24"/>
                            </w:rPr>
                          </w:pPr>
                          <w:r>
                            <w:rPr>
                              <w:rFonts w:ascii="Courier New" w:hAnsi="Courier New" w:eastAsia="Courier New" w:cs="Courier New"/>
                              <w:color w:val="000000"/>
                              <w:sz w:val="24"/>
                              <w:szCs w:val="24"/>
                              <w:lang w:val="en-US" w:eastAsia="en-US" w:bidi="en-US"/>
                            </w:rPr>
                            <w:t>—</w:t>
                          </w:r>
                          <w:r>
                            <w:fldChar w:fldCharType="begin"/>
                          </w:r>
                          <w:r>
                            <w:instrText xml:space="preserve"> PAGE \* MERGEFORMAT </w:instrText>
                          </w:r>
                          <w:r>
                            <w:fldChar w:fldCharType="separate"/>
                          </w:r>
                          <w:r>
                            <w:rPr>
                              <w:rFonts w:ascii="Courier New" w:hAnsi="Courier New" w:eastAsia="Courier New" w:cs="Courier New"/>
                              <w:color w:val="000000"/>
                              <w:sz w:val="24"/>
                              <w:szCs w:val="24"/>
                            </w:rPr>
                            <w:t>#</w:t>
                          </w:r>
                          <w:r>
                            <w:rPr>
                              <w:rFonts w:ascii="Courier New" w:hAnsi="Courier New" w:eastAsia="Courier New" w:cs="Courier New"/>
                              <w:color w:val="000000"/>
                              <w:sz w:val="24"/>
                              <w:szCs w:val="24"/>
                            </w:rPr>
                            <w:fldChar w:fldCharType="end"/>
                          </w:r>
                          <w:r>
                            <w:rPr>
                              <w:rFonts w:ascii="Courier New" w:hAnsi="Courier New" w:eastAsia="Courier New" w:cs="Courier New"/>
                              <w:color w:val="000000"/>
                              <w:sz w:val="24"/>
                              <w:szCs w:val="24"/>
                            </w:rPr>
                            <w:t xml:space="preserve"> </w:t>
                          </w:r>
                          <w:r>
                            <w:rPr>
                              <w:rFonts w:ascii="Courier New" w:hAnsi="Courier New" w:eastAsia="Courier New" w:cs="Courier New"/>
                              <w:color w:val="000000"/>
                              <w:sz w:val="24"/>
                              <w:szCs w:val="24"/>
                              <w:lang w:val="en-US" w:eastAsia="en-US" w:bidi="en-US"/>
                            </w:rPr>
                            <w:t>—</w:t>
                          </w:r>
                        </w:p>
                      </w:txbxContent>
                    </wps:txbx>
                    <wps:bodyPr wrap="none" lIns="0" tIns="0" rIns="0" bIns="0">
                      <a:spAutoFit/>
                    </wps:bodyPr>
                  </wps:wsp>
                </a:graphicData>
              </a:graphic>
            </wp:anchor>
          </w:drawing>
        </mc:Choice>
        <mc:Fallback>
          <w:pict>
            <v:shape id="Shape 30" o:spid="_x0000_s1026" o:spt="202" type="#_x0000_t202" style="position:absolute;left:0pt;margin-left:79.6pt;margin-top:766.25pt;height:8.4pt;width:47.5pt;mso-position-horizontal-relative:page;mso-position-vertical-relative:page;mso-wrap-style:none;z-index:-251657216;mso-width-relative:page;mso-height-relative:page;" filled="f" stroked="f" coordsize="21600,21600" o:gfxdata="UEsDBAoAAAAAAIdO4kAAAAAAAAAAAAAAAAAEAAAAZHJzL1BLAwQUAAAACACHTuJAnjC3MNgAAAAN&#10;AQAADwAAAGRycy9kb3ducmV2LnhtbE2PzW7CMBCE75X6DtZW6q04BNJCiMMBqZfeSlGl3ky8xBH+&#10;iWwTkrfv5tTedmZHs99W+9EaNmCInXcClosMGLrGq861Ak5f7y8bYDFJp6TxDgVMGGFfPz5UslT+&#10;7j5xOKaWUYmLpRSgU+pLzmOj0cq48D062l18sDKRDC1XQd6p3BqeZ9krt7JzdEHLHg8am+vxZgW8&#10;jd8e+4gH/LkMTdDdtDEfkxDPT8tsByzhmP7CMOMTOtTEdPY3pyIzpIttTtF5WOUFMIrkxZqs82yt&#10;tyvgdcX/f1H/AlBLAwQUAAAACACHTuJALU/CM7oBAACXAwAADgAAAGRycy9lMm9Eb2MueG1srVNN&#10;i9swEL0X+h+E7o2dLA1LiLO0hC2F0ha2/QGKLMcCfaFRYuff90l2st3tZQ+9yKOZ0Zv3Zsbbh9Ea&#10;dlaRtHcNXy5qzpSTvtXu2PDfvx4/3HNGSbhWGO9Uwy+K+MPu/bvtEDZq5XtvWhUZQBxthtDwPqWw&#10;qSqSvbKCFj4oh2DnoxUJ13is2igGoFtTrep6XQ0+tiF6qYjg3U9BPiPGtwD6rtNS7b08WeXShBqV&#10;EQmSqNeB+K6w7Tol04+uI5WYaTiUpnKiCOxDPqvdVmyOUYRey5mCeAuFV5qs0A5Fb1B7kQQ7Rf0P&#10;lNUyevJdWkhvq0lI6QhULOtXvXnqRVBFC1pN4dZ0+n+w8vv5Z2S6bfgdWuKExcRLWYY7mjME2iDn&#10;KSArjZ/9iJW5+gnOrHnsos1fqGGIA+dya60aE5Nwruu71UdEJELLer2+L+jV8+MQKX1R3rJsNDxi&#10;cqWh4vyNEogg9ZqSazn/qI0p0zPuhQOJk0eV8c+vs46Jb7bSeBhncQffXqBtwAo03GHjOTNfHToM&#10;sulqxKtxmI1ckcKnUwKNwi6jTlCgmi+YVyE971ZeiL/vJev5f9r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4wtzDYAAAADQEAAA8AAAAAAAAAAQAgAAAAIgAAAGRycy9kb3ducmV2LnhtbFBLAQIU&#10;ABQAAAAIAIdO4kAtT8IzugEAAJcDAAAOAAAAAAAAAAEAIAAAACcBAABkcnMvZTJvRG9jLnhtbFBL&#10;BQYAAAAABgAGAFkBAABTBQAAAAA=&#10;">
              <v:fill on="f" focussize="0,0"/>
              <v:stroke on="f"/>
              <v:imagedata o:title=""/>
              <o:lock v:ext="edit" aspectratio="f"/>
              <v:textbox inset="0mm,0mm,0mm,0mm" style="mso-fit-shape-to-text:t;">
                <w:txbxContent>
                  <w:p>
                    <w:pPr>
                      <w:pStyle w:val="24"/>
                      <w:jc w:val="left"/>
                      <w:rPr>
                        <w:sz w:val="24"/>
                        <w:szCs w:val="24"/>
                      </w:rPr>
                    </w:pPr>
                    <w:r>
                      <w:rPr>
                        <w:rFonts w:ascii="Courier New" w:hAnsi="Courier New" w:eastAsia="Courier New" w:cs="Courier New"/>
                        <w:color w:val="000000"/>
                        <w:sz w:val="24"/>
                        <w:szCs w:val="24"/>
                        <w:lang w:val="en-US" w:eastAsia="en-US" w:bidi="en-US"/>
                      </w:rPr>
                      <w:t>—</w:t>
                    </w:r>
                    <w:r>
                      <w:fldChar w:fldCharType="begin"/>
                    </w:r>
                    <w:r>
                      <w:instrText xml:space="preserve"> PAGE \* MERGEFORMAT </w:instrText>
                    </w:r>
                    <w:r>
                      <w:fldChar w:fldCharType="separate"/>
                    </w:r>
                    <w:r>
                      <w:rPr>
                        <w:rFonts w:ascii="Courier New" w:hAnsi="Courier New" w:eastAsia="Courier New" w:cs="Courier New"/>
                        <w:color w:val="000000"/>
                        <w:sz w:val="24"/>
                        <w:szCs w:val="24"/>
                      </w:rPr>
                      <w:t>#</w:t>
                    </w:r>
                    <w:r>
                      <w:rPr>
                        <w:rFonts w:ascii="Courier New" w:hAnsi="Courier New" w:eastAsia="Courier New" w:cs="Courier New"/>
                        <w:color w:val="000000"/>
                        <w:sz w:val="24"/>
                        <w:szCs w:val="24"/>
                      </w:rPr>
                      <w:fldChar w:fldCharType="end"/>
                    </w:r>
                    <w:r>
                      <w:rPr>
                        <w:rFonts w:ascii="Courier New" w:hAnsi="Courier New" w:eastAsia="Courier New" w:cs="Courier New"/>
                        <w:color w:val="000000"/>
                        <w:sz w:val="24"/>
                        <w:szCs w:val="24"/>
                      </w:rPr>
                      <w:t xml:space="preserve"> </w:t>
                    </w:r>
                    <w:r>
                      <w:rPr>
                        <w:rFonts w:ascii="Courier New" w:hAnsi="Courier New" w:eastAsia="Courier New" w:cs="Courier New"/>
                        <w:color w:val="000000"/>
                        <w:sz w:val="24"/>
                        <w:szCs w:val="24"/>
                        <w:lang w:val="en-US" w:eastAsia="en-US" w:bidi="en-US"/>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xODljYzJhODE2NTg1YjYyYzM1M2JjNTJjYTIwZTgifQ=="/>
  </w:docVars>
  <w:rsids>
    <w:rsidRoot w:val="56C81120"/>
    <w:rsid w:val="000031FE"/>
    <w:rsid w:val="00037D5D"/>
    <w:rsid w:val="00056511"/>
    <w:rsid w:val="00067746"/>
    <w:rsid w:val="00123E0D"/>
    <w:rsid w:val="0017144C"/>
    <w:rsid w:val="00182B1B"/>
    <w:rsid w:val="001A6AE7"/>
    <w:rsid w:val="001C10F5"/>
    <w:rsid w:val="001F5066"/>
    <w:rsid w:val="00222E10"/>
    <w:rsid w:val="0023253C"/>
    <w:rsid w:val="00242835"/>
    <w:rsid w:val="00257DC6"/>
    <w:rsid w:val="00275D40"/>
    <w:rsid w:val="00283BC3"/>
    <w:rsid w:val="00294570"/>
    <w:rsid w:val="002A34CA"/>
    <w:rsid w:val="002D47D4"/>
    <w:rsid w:val="00382831"/>
    <w:rsid w:val="00393212"/>
    <w:rsid w:val="003A0DB8"/>
    <w:rsid w:val="003E1F65"/>
    <w:rsid w:val="004060B6"/>
    <w:rsid w:val="00485A46"/>
    <w:rsid w:val="00486E0A"/>
    <w:rsid w:val="004948BF"/>
    <w:rsid w:val="0050463A"/>
    <w:rsid w:val="0051580B"/>
    <w:rsid w:val="00525983"/>
    <w:rsid w:val="00570BA0"/>
    <w:rsid w:val="005854F4"/>
    <w:rsid w:val="00586A64"/>
    <w:rsid w:val="005E4D5E"/>
    <w:rsid w:val="005F5534"/>
    <w:rsid w:val="00611A0A"/>
    <w:rsid w:val="00634EA3"/>
    <w:rsid w:val="00657862"/>
    <w:rsid w:val="00660183"/>
    <w:rsid w:val="006A2690"/>
    <w:rsid w:val="006B0198"/>
    <w:rsid w:val="00782824"/>
    <w:rsid w:val="007D08E9"/>
    <w:rsid w:val="007D531F"/>
    <w:rsid w:val="00835B6B"/>
    <w:rsid w:val="00943F10"/>
    <w:rsid w:val="009553AC"/>
    <w:rsid w:val="00997535"/>
    <w:rsid w:val="009D2052"/>
    <w:rsid w:val="00A035FB"/>
    <w:rsid w:val="00B22A6D"/>
    <w:rsid w:val="00B7473F"/>
    <w:rsid w:val="00BB39D4"/>
    <w:rsid w:val="00C03067"/>
    <w:rsid w:val="00C24AB8"/>
    <w:rsid w:val="00CE5ECA"/>
    <w:rsid w:val="00CE70D2"/>
    <w:rsid w:val="00D304B0"/>
    <w:rsid w:val="00DA1532"/>
    <w:rsid w:val="00DB16B9"/>
    <w:rsid w:val="00DC3293"/>
    <w:rsid w:val="00E330C6"/>
    <w:rsid w:val="00E772E9"/>
    <w:rsid w:val="00ED488E"/>
    <w:rsid w:val="00ED5D4D"/>
    <w:rsid w:val="00EE7503"/>
    <w:rsid w:val="00F25C94"/>
    <w:rsid w:val="00F50A30"/>
    <w:rsid w:val="00F62DAE"/>
    <w:rsid w:val="00F74595"/>
    <w:rsid w:val="02312FDE"/>
    <w:rsid w:val="029744D0"/>
    <w:rsid w:val="030A3C3B"/>
    <w:rsid w:val="03737E75"/>
    <w:rsid w:val="07853A0B"/>
    <w:rsid w:val="0C505A2A"/>
    <w:rsid w:val="0D4E4030"/>
    <w:rsid w:val="0F3C6536"/>
    <w:rsid w:val="111D7620"/>
    <w:rsid w:val="12E6658F"/>
    <w:rsid w:val="15224E9F"/>
    <w:rsid w:val="1810076A"/>
    <w:rsid w:val="1A1C4F3B"/>
    <w:rsid w:val="1CB55F50"/>
    <w:rsid w:val="1E5C40E5"/>
    <w:rsid w:val="1F6E185C"/>
    <w:rsid w:val="1F7E147F"/>
    <w:rsid w:val="205265F0"/>
    <w:rsid w:val="205438DB"/>
    <w:rsid w:val="236639AE"/>
    <w:rsid w:val="2433147F"/>
    <w:rsid w:val="281A0EAC"/>
    <w:rsid w:val="28E26A4A"/>
    <w:rsid w:val="290A0FAD"/>
    <w:rsid w:val="2BFB7430"/>
    <w:rsid w:val="2C8F18D7"/>
    <w:rsid w:val="31800413"/>
    <w:rsid w:val="33341AE4"/>
    <w:rsid w:val="33A969D6"/>
    <w:rsid w:val="33B015AE"/>
    <w:rsid w:val="3B6A16E9"/>
    <w:rsid w:val="3BDB363C"/>
    <w:rsid w:val="3BE645DA"/>
    <w:rsid w:val="3F577654"/>
    <w:rsid w:val="40B95CD0"/>
    <w:rsid w:val="423B1DB6"/>
    <w:rsid w:val="43472A5E"/>
    <w:rsid w:val="43570F87"/>
    <w:rsid w:val="43582238"/>
    <w:rsid w:val="4999703E"/>
    <w:rsid w:val="4D301426"/>
    <w:rsid w:val="4D625F91"/>
    <w:rsid w:val="527541A2"/>
    <w:rsid w:val="52E51199"/>
    <w:rsid w:val="54365D91"/>
    <w:rsid w:val="56C81120"/>
    <w:rsid w:val="56F073BC"/>
    <w:rsid w:val="596706EB"/>
    <w:rsid w:val="5A387BCA"/>
    <w:rsid w:val="5B8E7E9F"/>
    <w:rsid w:val="5F9423E7"/>
    <w:rsid w:val="62513BD9"/>
    <w:rsid w:val="627B59FE"/>
    <w:rsid w:val="63F654F1"/>
    <w:rsid w:val="66E27882"/>
    <w:rsid w:val="688268EC"/>
    <w:rsid w:val="6D094C10"/>
    <w:rsid w:val="70A215E7"/>
    <w:rsid w:val="71243E51"/>
    <w:rsid w:val="71282C3F"/>
    <w:rsid w:val="74FA07B0"/>
    <w:rsid w:val="75C57ABA"/>
    <w:rsid w:val="767F4FDB"/>
    <w:rsid w:val="78DD78FF"/>
    <w:rsid w:val="7EAD4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jc w:val="left"/>
    </w:pPr>
    <w:rPr>
      <w:kern w:val="0"/>
      <w:sz w:val="24"/>
    </w:rPr>
  </w:style>
  <w:style w:type="character" w:styleId="7">
    <w:name w:val="FollowedHyperlink"/>
    <w:basedOn w:val="6"/>
    <w:qFormat/>
    <w:uiPriority w:val="0"/>
    <w:rPr>
      <w:color w:val="800080"/>
      <w:u w:val="none"/>
    </w:rPr>
  </w:style>
  <w:style w:type="character" w:styleId="8">
    <w:name w:val="Emphasis"/>
    <w:basedOn w:val="6"/>
    <w:qFormat/>
    <w:uiPriority w:val="0"/>
  </w:style>
  <w:style w:type="character" w:styleId="9">
    <w:name w:val="HTML Definition"/>
    <w:basedOn w:val="6"/>
    <w:qFormat/>
    <w:uiPriority w:val="0"/>
  </w:style>
  <w:style w:type="character" w:styleId="10">
    <w:name w:val="HTML Typewriter"/>
    <w:basedOn w:val="6"/>
    <w:qFormat/>
    <w:uiPriority w:val="0"/>
    <w:rPr>
      <w:rFonts w:ascii="monospace" w:hAnsi="monospace" w:eastAsia="monospace" w:cs="monospace"/>
      <w:sz w:val="20"/>
    </w:rPr>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0000FF"/>
      <w:u w:val="none"/>
    </w:rPr>
  </w:style>
  <w:style w:type="character" w:styleId="14">
    <w:name w:val="HTML Code"/>
    <w:basedOn w:val="6"/>
    <w:qFormat/>
    <w:uiPriority w:val="0"/>
    <w:rPr>
      <w:rFonts w:ascii="微软雅黑" w:hAnsi="微软雅黑" w:eastAsia="微软雅黑" w:cs="微软雅黑"/>
      <w:sz w:val="14"/>
      <w:szCs w:val="14"/>
    </w:rPr>
  </w:style>
  <w:style w:type="character" w:styleId="15">
    <w:name w:val="HTML Cite"/>
    <w:basedOn w:val="6"/>
    <w:qFormat/>
    <w:uiPriority w:val="0"/>
  </w:style>
  <w:style w:type="character" w:styleId="16">
    <w:name w:val="HTML Keyboard"/>
    <w:basedOn w:val="6"/>
    <w:qFormat/>
    <w:uiPriority w:val="0"/>
    <w:rPr>
      <w:rFonts w:hint="default" w:ascii="monospace" w:hAnsi="monospace" w:eastAsia="monospace" w:cs="monospace"/>
      <w:sz w:val="20"/>
    </w:rPr>
  </w:style>
  <w:style w:type="character" w:styleId="17">
    <w:name w:val="HTML Sample"/>
    <w:basedOn w:val="6"/>
    <w:qFormat/>
    <w:uiPriority w:val="0"/>
    <w:rPr>
      <w:rFonts w:hint="default" w:ascii="monospace" w:hAnsi="monospace" w:eastAsia="monospace" w:cs="monospace"/>
    </w:rPr>
  </w:style>
  <w:style w:type="paragraph" w:customStyle="1" w:styleId="18">
    <w:name w:val="Body text|1"/>
    <w:basedOn w:val="1"/>
    <w:qFormat/>
    <w:uiPriority w:val="0"/>
    <w:pPr>
      <w:spacing w:line="408" w:lineRule="auto"/>
      <w:ind w:firstLine="400"/>
    </w:pPr>
    <w:rPr>
      <w:rFonts w:ascii="宋体" w:hAnsi="宋体" w:cs="宋体"/>
      <w:sz w:val="19"/>
      <w:szCs w:val="19"/>
      <w:lang w:val="zh-CN" w:bidi="zh-CN"/>
    </w:rPr>
  </w:style>
  <w:style w:type="paragraph" w:customStyle="1" w:styleId="19">
    <w:name w:val="Heading #2|1"/>
    <w:basedOn w:val="1"/>
    <w:qFormat/>
    <w:uiPriority w:val="0"/>
    <w:pPr>
      <w:spacing w:after="300"/>
      <w:jc w:val="center"/>
      <w:outlineLvl w:val="1"/>
    </w:pPr>
    <w:rPr>
      <w:rFonts w:ascii="宋体" w:hAnsi="宋体" w:cs="宋体"/>
      <w:sz w:val="44"/>
      <w:szCs w:val="44"/>
      <w:lang w:val="zh-CN" w:bidi="zh-CN"/>
    </w:rPr>
  </w:style>
  <w:style w:type="paragraph" w:customStyle="1" w:styleId="20">
    <w:name w:val="Body text|3"/>
    <w:basedOn w:val="1"/>
    <w:qFormat/>
    <w:uiPriority w:val="0"/>
    <w:pPr>
      <w:spacing w:before="220" w:after="720"/>
      <w:ind w:firstLine="520"/>
    </w:pPr>
    <w:rPr>
      <w:sz w:val="32"/>
      <w:szCs w:val="32"/>
    </w:rPr>
  </w:style>
  <w:style w:type="paragraph" w:customStyle="1" w:styleId="21">
    <w:name w:val="Other|1"/>
    <w:basedOn w:val="1"/>
    <w:qFormat/>
    <w:uiPriority w:val="0"/>
    <w:pPr>
      <w:spacing w:line="302" w:lineRule="exact"/>
    </w:pPr>
    <w:rPr>
      <w:rFonts w:ascii="宋体" w:hAnsi="宋体" w:cs="宋体"/>
      <w:sz w:val="19"/>
      <w:szCs w:val="19"/>
      <w:lang w:val="zh-CN" w:bidi="zh-CN"/>
    </w:rPr>
  </w:style>
  <w:style w:type="paragraph" w:customStyle="1" w:styleId="22">
    <w:name w:val="Body text|4"/>
    <w:basedOn w:val="1"/>
    <w:qFormat/>
    <w:uiPriority w:val="0"/>
    <w:pPr>
      <w:spacing w:after="60"/>
      <w:ind w:firstLine="320"/>
    </w:pPr>
    <w:rPr>
      <w:rFonts w:ascii="宋体" w:hAnsi="宋体" w:cs="宋体"/>
      <w:lang w:val="zh-CN" w:bidi="zh-CN"/>
    </w:rPr>
  </w:style>
  <w:style w:type="paragraph" w:customStyle="1" w:styleId="23">
    <w:name w:val="Table caption|1"/>
    <w:basedOn w:val="1"/>
    <w:qFormat/>
    <w:uiPriority w:val="0"/>
    <w:pPr>
      <w:spacing w:line="302" w:lineRule="exact"/>
      <w:jc w:val="right"/>
    </w:pPr>
    <w:rPr>
      <w:rFonts w:ascii="宋体" w:hAnsi="宋体" w:cs="宋体"/>
      <w:sz w:val="19"/>
      <w:szCs w:val="19"/>
      <w:lang w:val="zh-CN" w:bidi="zh-CN"/>
    </w:rPr>
  </w:style>
  <w:style w:type="paragraph" w:customStyle="1" w:styleId="24">
    <w:name w:val="Header or footer|2"/>
    <w:basedOn w:val="1"/>
    <w:qFormat/>
    <w:uiPriority w:val="0"/>
    <w:rPr>
      <w:sz w:val="20"/>
      <w:szCs w:val="20"/>
      <w:lang w:val="zh-CN" w:bidi="zh-CN"/>
    </w:rPr>
  </w:style>
  <w:style w:type="paragraph" w:customStyle="1" w:styleId="25">
    <w:name w:val="Body text|2"/>
    <w:basedOn w:val="1"/>
    <w:qFormat/>
    <w:uiPriority w:val="0"/>
    <w:pPr>
      <w:spacing w:after="470"/>
    </w:pPr>
    <w:rPr>
      <w:b/>
      <w:bCs/>
      <w:sz w:val="19"/>
      <w:szCs w:val="19"/>
      <w:lang w:val="zh-CN" w:bidi="zh-CN"/>
    </w:rPr>
  </w:style>
  <w:style w:type="character" w:customStyle="1" w:styleId="26">
    <w:name w:val="bsharetext"/>
    <w:basedOn w:val="6"/>
    <w:qFormat/>
    <w:uiPriority w:val="0"/>
  </w:style>
  <w:style w:type="character" w:customStyle="1" w:styleId="27">
    <w:name w:val="页眉 字符"/>
    <w:basedOn w:val="6"/>
    <w:link w:val="3"/>
    <w:uiPriority w:val="0"/>
    <w:rPr>
      <w:rFonts w:ascii="Calibri" w:hAnsi="Calibri"/>
      <w:kern w:val="2"/>
      <w:sz w:val="18"/>
      <w:szCs w:val="18"/>
    </w:rPr>
  </w:style>
  <w:style w:type="paragraph" w:styleId="28">
    <w:name w:val="List Paragraph"/>
    <w:basedOn w:val="1"/>
    <w:unhideWhenUsed/>
    <w:qFormat/>
    <w:uiPriority w:val="99"/>
    <w:pPr>
      <w:ind w:firstLine="420" w:firstLineChars="200"/>
    </w:pPr>
  </w:style>
  <w:style w:type="character" w:customStyle="1" w:styleId="29">
    <w:name w:val="peoplefilling"/>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2480</Words>
  <Characters>2563</Characters>
  <Lines>19</Lines>
  <Paragraphs>5</Paragraphs>
  <TotalTime>0</TotalTime>
  <ScaleCrop>false</ScaleCrop>
  <LinksUpToDate>false</LinksUpToDate>
  <CharactersWithSpaces>2632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2020-05-15T02:55:00Z</dcterms:created>
  <dc:creator></dc:creator>
  <cp:lastModifiedBy>Administrator</cp:lastModifiedBy>
  <cp:lastPrinted>2020-05-18T02:11:00Z</cp:lastPrinted>
  <dcterms:modified xsi:type="dcterms:W3CDTF">2023-12-10T08:27:36Z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1E6A91185BCE44F4B7A41CD0D4A1CD32</vt:lpwstr>
  </property>
</Properties>
</file>