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6A5EE">
      <w:pPr>
        <w:rPr>
          <w:rFonts w:ascii="黑体" w:eastAsia="黑体"/>
          <w:sz w:val="32"/>
          <w:szCs w:val="32"/>
        </w:rPr>
      </w:pPr>
      <w:bookmarkStart w:id="0" w:name="_GoBack"/>
      <w:bookmarkEnd w:id="0"/>
    </w:p>
    <w:p w14:paraId="213D566C">
      <w:pPr>
        <w:spacing w:after="312" w:afterLines="100"/>
        <w:rPr>
          <w:rFonts w:eastAsia="仿宋_GB2312"/>
          <w:kern w:val="0"/>
          <w:sz w:val="32"/>
          <w:szCs w:val="32"/>
        </w:rPr>
      </w:pPr>
      <w:r>
        <w:rPr>
          <w:rFonts w:hint="eastAsia" w:ascii="黑体" w:hAnsi="黑体" w:eastAsia="黑体" w:cs="黑体"/>
          <w:kern w:val="0"/>
          <w:sz w:val="32"/>
          <w:szCs w:val="32"/>
        </w:rPr>
        <w:t>附件</w:t>
      </w:r>
      <w:r>
        <w:rPr>
          <w:rFonts w:eastAsia="仿宋_GB2312"/>
          <w:kern w:val="0"/>
          <w:sz w:val="32"/>
          <w:szCs w:val="32"/>
        </w:rPr>
        <w:t>1</w:t>
      </w:r>
    </w:p>
    <w:p w14:paraId="0D59AC28">
      <w:pPr>
        <w:jc w:val="center"/>
        <w:rPr>
          <w:rFonts w:eastAsia="方正小标宋简体"/>
          <w:sz w:val="48"/>
          <w:szCs w:val="48"/>
        </w:rPr>
      </w:pPr>
    </w:p>
    <w:p w14:paraId="4D6A0CDA">
      <w:pPr>
        <w:jc w:val="center"/>
        <w:rPr>
          <w:rFonts w:eastAsia="方正小标宋简体"/>
          <w:sz w:val="48"/>
          <w:szCs w:val="48"/>
        </w:rPr>
      </w:pPr>
    </w:p>
    <w:p w14:paraId="6A262E96">
      <w:pPr>
        <w:jc w:val="center"/>
        <w:rPr>
          <w:rFonts w:eastAsia="方正小标宋简体"/>
          <w:sz w:val="48"/>
          <w:szCs w:val="48"/>
        </w:rPr>
      </w:pPr>
    </w:p>
    <w:p w14:paraId="12D3ADF4">
      <w:pPr>
        <w:rPr>
          <w:rFonts w:eastAsia="方正小标宋简体"/>
          <w:sz w:val="48"/>
          <w:szCs w:val="48"/>
        </w:rPr>
      </w:pPr>
    </w:p>
    <w:p w14:paraId="0B0D5B15">
      <w:pPr>
        <w:jc w:val="center"/>
        <w:rPr>
          <w:rFonts w:eastAsia="方正小标宋简体"/>
          <w:sz w:val="48"/>
          <w:szCs w:val="48"/>
        </w:rPr>
      </w:pPr>
      <w:r>
        <w:rPr>
          <w:rFonts w:eastAsia="方正小标宋简体"/>
          <w:sz w:val="48"/>
          <w:szCs w:val="48"/>
        </w:rPr>
        <w:t>部门整体支出绩效自评报告</w:t>
      </w:r>
    </w:p>
    <w:p w14:paraId="0741856E">
      <w:pPr>
        <w:jc w:val="center"/>
        <w:rPr>
          <w:rFonts w:eastAsia="方正小标宋简体"/>
          <w:sz w:val="36"/>
          <w:szCs w:val="36"/>
        </w:rPr>
      </w:pPr>
      <w:r>
        <w:rPr>
          <w:rFonts w:hint="eastAsia" w:eastAsia="方正小标宋简体"/>
          <w:sz w:val="36"/>
          <w:szCs w:val="36"/>
        </w:rPr>
        <w:t>（</w:t>
      </w:r>
      <w:r>
        <w:rPr>
          <w:rFonts w:eastAsia="方正小标宋简体"/>
          <w:sz w:val="36"/>
          <w:szCs w:val="36"/>
        </w:rPr>
        <w:t>2021年度</w:t>
      </w:r>
      <w:r>
        <w:rPr>
          <w:rFonts w:hint="eastAsia" w:eastAsia="方正小标宋简体"/>
          <w:sz w:val="36"/>
          <w:szCs w:val="36"/>
        </w:rPr>
        <w:t>）</w:t>
      </w:r>
    </w:p>
    <w:p w14:paraId="0E4FD25A">
      <w:pPr>
        <w:jc w:val="center"/>
        <w:rPr>
          <w:rFonts w:eastAsia="黑体"/>
          <w:sz w:val="32"/>
          <w:szCs w:val="32"/>
        </w:rPr>
      </w:pPr>
    </w:p>
    <w:p w14:paraId="1FEFB1AD">
      <w:pPr>
        <w:jc w:val="center"/>
        <w:rPr>
          <w:rFonts w:eastAsia="黑体"/>
          <w:sz w:val="32"/>
          <w:szCs w:val="32"/>
        </w:rPr>
      </w:pPr>
    </w:p>
    <w:p w14:paraId="582C8F84">
      <w:pPr>
        <w:jc w:val="center"/>
        <w:rPr>
          <w:rFonts w:eastAsia="黑体"/>
          <w:sz w:val="32"/>
          <w:szCs w:val="32"/>
        </w:rPr>
      </w:pPr>
    </w:p>
    <w:p w14:paraId="038F8BFB">
      <w:pPr>
        <w:jc w:val="center"/>
        <w:rPr>
          <w:rFonts w:eastAsia="黑体"/>
          <w:sz w:val="32"/>
          <w:szCs w:val="32"/>
        </w:rPr>
      </w:pPr>
    </w:p>
    <w:p w14:paraId="1582D3C2">
      <w:pPr>
        <w:rPr>
          <w:rFonts w:eastAsia="黑体"/>
          <w:sz w:val="32"/>
          <w:szCs w:val="32"/>
        </w:rPr>
      </w:pPr>
    </w:p>
    <w:p w14:paraId="34415187">
      <w:pPr>
        <w:jc w:val="center"/>
        <w:rPr>
          <w:sz w:val="36"/>
          <w:szCs w:val="36"/>
        </w:rPr>
      </w:pPr>
    </w:p>
    <w:p w14:paraId="2C27E421">
      <w:pPr>
        <w:jc w:val="center"/>
        <w:rPr>
          <w:sz w:val="36"/>
          <w:szCs w:val="36"/>
        </w:rPr>
      </w:pPr>
    </w:p>
    <w:p w14:paraId="3E740154">
      <w:pPr>
        <w:jc w:val="center"/>
        <w:rPr>
          <w:sz w:val="36"/>
          <w:szCs w:val="36"/>
        </w:rPr>
      </w:pPr>
    </w:p>
    <w:p w14:paraId="70B9842E">
      <w:pPr>
        <w:jc w:val="center"/>
        <w:rPr>
          <w:sz w:val="36"/>
          <w:szCs w:val="36"/>
        </w:rPr>
      </w:pPr>
      <w:r>
        <w:rPr>
          <w:sz w:val="36"/>
          <w:szCs w:val="36"/>
        </w:rPr>
        <w:t>单位名称</w:t>
      </w:r>
      <w:r>
        <w:rPr>
          <w:rFonts w:hint="eastAsia"/>
          <w:sz w:val="36"/>
          <w:szCs w:val="36"/>
        </w:rPr>
        <w:t>：（盖章）</w:t>
      </w:r>
    </w:p>
    <w:p w14:paraId="4BF5136E">
      <w:pPr>
        <w:jc w:val="center"/>
        <w:rPr>
          <w:rFonts w:eastAsia="黑体"/>
          <w:sz w:val="36"/>
          <w:szCs w:val="36"/>
        </w:rPr>
      </w:pPr>
      <w:r>
        <w:rPr>
          <w:rFonts w:hint="eastAsia"/>
          <w:sz w:val="36"/>
          <w:szCs w:val="36"/>
        </w:rPr>
        <w:t>主要负责人签字</w:t>
      </w:r>
      <w:r>
        <w:rPr>
          <w:sz w:val="36"/>
          <w:szCs w:val="36"/>
        </w:rPr>
        <w:t>：</w:t>
      </w:r>
    </w:p>
    <w:p w14:paraId="4F5D731B">
      <w:pPr>
        <w:jc w:val="center"/>
        <w:rPr>
          <w:rFonts w:eastAsia="黑体"/>
          <w:sz w:val="36"/>
          <w:szCs w:val="36"/>
        </w:rPr>
      </w:pPr>
    </w:p>
    <w:p w14:paraId="44F53A4C">
      <w:pPr>
        <w:jc w:val="center"/>
        <w:rPr>
          <w:rFonts w:eastAsia="黑体"/>
          <w:sz w:val="32"/>
          <w:szCs w:val="32"/>
        </w:rPr>
      </w:pPr>
      <w:r>
        <w:rPr>
          <w:rFonts w:eastAsia="黑体"/>
          <w:sz w:val="32"/>
          <w:szCs w:val="32"/>
        </w:rPr>
        <w:t xml:space="preserve">年  </w:t>
      </w:r>
      <w:r>
        <w:rPr>
          <w:rFonts w:hint="eastAsia" w:eastAsia="黑体"/>
          <w:sz w:val="32"/>
          <w:szCs w:val="32"/>
        </w:rPr>
        <w:t xml:space="preserve"> </w:t>
      </w:r>
      <w:r>
        <w:rPr>
          <w:rFonts w:eastAsia="黑体"/>
          <w:sz w:val="32"/>
          <w:szCs w:val="32"/>
        </w:rPr>
        <w:t xml:space="preserve"> 月  </w:t>
      </w:r>
      <w:r>
        <w:rPr>
          <w:rFonts w:hint="eastAsia" w:eastAsia="黑体"/>
          <w:sz w:val="32"/>
          <w:szCs w:val="32"/>
        </w:rPr>
        <w:t xml:space="preserve">  </w:t>
      </w:r>
      <w:r>
        <w:rPr>
          <w:rFonts w:eastAsia="黑体"/>
          <w:sz w:val="32"/>
          <w:szCs w:val="32"/>
        </w:rPr>
        <w:t>日</w:t>
      </w:r>
    </w:p>
    <w:p w14:paraId="540D8EDC">
      <w:pPr>
        <w:jc w:val="center"/>
        <w:rPr>
          <w:rFonts w:eastAsia="黑体"/>
          <w:sz w:val="32"/>
          <w:szCs w:val="32"/>
        </w:rPr>
      </w:pPr>
    </w:p>
    <w:p w14:paraId="5977B2B3">
      <w:pPr>
        <w:jc w:val="center"/>
        <w:rPr>
          <w:rFonts w:ascii="黑体" w:eastAsia="黑体"/>
          <w:sz w:val="32"/>
          <w:szCs w:val="32"/>
        </w:rPr>
      </w:pPr>
    </w:p>
    <w:p w14:paraId="4DE71887">
      <w:pPr>
        <w:widowControl/>
        <w:spacing w:line="580" w:lineRule="exact"/>
        <w:ind w:firstLine="640" w:firstLineChars="200"/>
        <w:rPr>
          <w:rFonts w:ascii="仿宋" w:hAnsi="仿宋" w:eastAsia="仿宋" w:cs="华文仿宋"/>
          <w:sz w:val="32"/>
          <w:szCs w:val="32"/>
        </w:rPr>
      </w:pPr>
      <w:r>
        <w:rPr>
          <w:rFonts w:eastAsia="仿宋_GB2312"/>
          <w:kern w:val="0"/>
          <w:sz w:val="32"/>
          <w:szCs w:val="32"/>
        </w:rPr>
        <w:t>为进一步规范财政资金管理，强化财政支出绩效理念和责任意识，切实提高财政资源配置效率和使用效益，</w:t>
      </w:r>
      <w:r>
        <w:rPr>
          <w:rFonts w:eastAsia="仿宋_GB2312"/>
          <w:sz w:val="32"/>
          <w:szCs w:val="32"/>
        </w:rPr>
        <w:t>根据《中共湖南省委办公厅 湖南省人民政府办公厅关于全面实施预算绩效管理的实施意见》（湘办发〔2019〕10号）和《中共衡阳市委办公室 衡阳市人民政府办公室关于印发衡阳市预算绩效管理实施办法的通知》(衡办发〔2021〕13号)精神</w:t>
      </w:r>
      <w:r>
        <w:rPr>
          <w:rFonts w:hint="eastAsia" w:ascii="仿宋" w:hAnsi="仿宋" w:eastAsia="仿宋" w:cs="华文仿宋"/>
          <w:sz w:val="32"/>
          <w:szCs w:val="32"/>
        </w:rPr>
        <w:t>，</w:t>
      </w:r>
      <w:r>
        <w:rPr>
          <w:rFonts w:hint="eastAsia" w:ascii="仿宋" w:hAnsi="仿宋" w:eastAsia="仿宋" w:cs="宋体"/>
          <w:color w:val="010101"/>
          <w:kern w:val="0"/>
          <w:sz w:val="32"/>
          <w:szCs w:val="32"/>
        </w:rPr>
        <w:t>我局对2021年度部门整体支出绩效进行了全面综合评价。现将有关情况报告如下：</w:t>
      </w:r>
    </w:p>
    <w:p w14:paraId="7C54BF5A">
      <w:pPr>
        <w:widowControl/>
        <w:spacing w:line="580" w:lineRule="exact"/>
        <w:ind w:firstLine="640" w:firstLineChars="200"/>
        <w:rPr>
          <w:rFonts w:ascii="仿宋" w:hAnsi="仿宋" w:eastAsia="仿宋" w:cs="宋体"/>
          <w:color w:val="010101"/>
          <w:kern w:val="0"/>
          <w:sz w:val="32"/>
          <w:szCs w:val="32"/>
        </w:rPr>
      </w:pPr>
      <w:r>
        <w:rPr>
          <w:rFonts w:hint="eastAsia" w:ascii="仿宋" w:hAnsi="仿宋" w:eastAsia="仿宋" w:cs="宋体"/>
          <w:color w:val="010101"/>
          <w:kern w:val="0"/>
          <w:sz w:val="32"/>
          <w:szCs w:val="32"/>
        </w:rPr>
        <w:t>一、</w:t>
      </w:r>
      <w:r>
        <w:rPr>
          <w:rFonts w:ascii="仿宋" w:hAnsi="仿宋" w:eastAsia="仿宋"/>
          <w:sz w:val="32"/>
          <w:szCs w:val="32"/>
        </w:rPr>
        <w:t>单位基本情况</w:t>
      </w:r>
    </w:p>
    <w:p w14:paraId="49A61989">
      <w:pPr>
        <w:widowControl/>
        <w:spacing w:line="580" w:lineRule="exact"/>
        <w:ind w:firstLine="640" w:firstLineChars="200"/>
        <w:rPr>
          <w:rFonts w:ascii="仿宋" w:hAnsi="仿宋" w:eastAsia="仿宋" w:cs="宋体"/>
          <w:color w:val="010101"/>
          <w:kern w:val="0"/>
          <w:sz w:val="32"/>
          <w:szCs w:val="32"/>
        </w:rPr>
      </w:pPr>
      <w:r>
        <w:rPr>
          <w:rFonts w:hint="eastAsia" w:ascii="仿宋" w:hAnsi="仿宋" w:eastAsia="仿宋" w:cs="宋体"/>
          <w:color w:val="010101"/>
          <w:kern w:val="0"/>
          <w:sz w:val="32"/>
          <w:szCs w:val="32"/>
        </w:rPr>
        <w:t>（一）部门职能概述</w:t>
      </w:r>
    </w:p>
    <w:p w14:paraId="6F165007">
      <w:pPr>
        <w:widowControl/>
        <w:spacing w:line="580" w:lineRule="exact"/>
        <w:ind w:firstLine="640" w:firstLineChars="200"/>
        <w:rPr>
          <w:rFonts w:ascii="仿宋" w:hAnsi="仿宋" w:eastAsia="仿宋" w:cs="宋体"/>
          <w:color w:val="010101"/>
          <w:kern w:val="0"/>
          <w:sz w:val="32"/>
          <w:szCs w:val="32"/>
        </w:rPr>
      </w:pPr>
      <w:r>
        <w:rPr>
          <w:rFonts w:hint="eastAsia" w:ascii="仿宋" w:hAnsi="仿宋" w:eastAsia="仿宋" w:cs="宋体"/>
          <w:color w:val="010101"/>
          <w:kern w:val="0"/>
          <w:sz w:val="32"/>
          <w:szCs w:val="32"/>
        </w:rPr>
        <w:t>我局是以为国家建设和人民生活提供地震安全保障、地震监测预报、预警、抗震设防、管理、地震灾害损失评估及服务、农村民居建设、紧急救援、地震科普宣传等。</w:t>
      </w:r>
    </w:p>
    <w:p w14:paraId="125F28FE">
      <w:pPr>
        <w:widowControl/>
        <w:spacing w:line="580" w:lineRule="exact"/>
        <w:ind w:firstLine="640" w:firstLineChars="200"/>
        <w:rPr>
          <w:rFonts w:ascii="仿宋" w:hAnsi="仿宋" w:eastAsia="仿宋" w:cs="宋体"/>
          <w:color w:val="010101"/>
          <w:kern w:val="0"/>
          <w:sz w:val="32"/>
          <w:szCs w:val="32"/>
        </w:rPr>
      </w:pPr>
      <w:r>
        <w:rPr>
          <w:rFonts w:hint="eastAsia" w:ascii="仿宋" w:hAnsi="仿宋" w:eastAsia="仿宋" w:cs="宋体"/>
          <w:color w:val="010101"/>
          <w:kern w:val="0"/>
          <w:sz w:val="32"/>
          <w:szCs w:val="32"/>
        </w:rPr>
        <w:t>（二）部门组织机构及人员情况</w:t>
      </w:r>
    </w:p>
    <w:p w14:paraId="319BCD93">
      <w:pPr>
        <w:widowControl/>
        <w:spacing w:line="580" w:lineRule="exact"/>
        <w:ind w:firstLine="640" w:firstLineChars="200"/>
        <w:rPr>
          <w:rFonts w:ascii="仿宋" w:hAnsi="仿宋" w:eastAsia="仿宋" w:cs="宋体"/>
          <w:color w:val="010101"/>
          <w:kern w:val="0"/>
          <w:sz w:val="32"/>
          <w:szCs w:val="32"/>
        </w:rPr>
      </w:pPr>
      <w:r>
        <w:rPr>
          <w:rFonts w:hint="eastAsia" w:ascii="仿宋" w:hAnsi="仿宋" w:eastAsia="仿宋"/>
          <w:sz w:val="32"/>
          <w:szCs w:val="32"/>
        </w:rPr>
        <w:t>本单位属于全额拨款的</w:t>
      </w:r>
      <w:r>
        <w:rPr>
          <w:rFonts w:hint="eastAsia" w:ascii="仿宋" w:hAnsi="仿宋" w:eastAsia="仿宋" w:cs="宋体"/>
          <w:color w:val="010101"/>
          <w:kern w:val="0"/>
          <w:sz w:val="32"/>
          <w:szCs w:val="32"/>
        </w:rPr>
        <w:t>参照公务员管理</w:t>
      </w:r>
      <w:r>
        <w:rPr>
          <w:rFonts w:hint="eastAsia" w:ascii="仿宋" w:hAnsi="仿宋" w:eastAsia="仿宋"/>
          <w:sz w:val="32"/>
          <w:szCs w:val="32"/>
        </w:rPr>
        <w:t>单位，应急局下属二级机构，独立核算一级预算单位，共有编制9个，在职人员8人，其中参公编制7人，工勤编制1人，退休人员4人，聘用人员2人，内设3个科室。</w:t>
      </w:r>
    </w:p>
    <w:p w14:paraId="097BB452">
      <w:pPr>
        <w:pStyle w:val="10"/>
        <w:widowControl/>
        <w:spacing w:line="600" w:lineRule="exact"/>
        <w:ind w:firstLine="640" w:firstLineChars="0"/>
        <w:rPr>
          <w:rFonts w:ascii="仿宋" w:hAnsi="仿宋" w:eastAsia="仿宋"/>
          <w:sz w:val="32"/>
          <w:szCs w:val="32"/>
        </w:rPr>
      </w:pPr>
      <w:r>
        <w:rPr>
          <w:rFonts w:hint="eastAsia" w:ascii="仿宋" w:hAnsi="仿宋" w:eastAsia="仿宋" w:cs="宋体"/>
          <w:color w:val="010101"/>
          <w:kern w:val="0"/>
          <w:sz w:val="32"/>
          <w:szCs w:val="32"/>
        </w:rPr>
        <w:t>二、</w:t>
      </w:r>
      <w:r>
        <w:rPr>
          <w:rFonts w:ascii="仿宋" w:hAnsi="仿宋" w:eastAsia="仿宋"/>
          <w:sz w:val="32"/>
          <w:szCs w:val="32"/>
        </w:rPr>
        <w:t>一般公共预算支出情况</w:t>
      </w:r>
    </w:p>
    <w:p w14:paraId="2B1E3ACF">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2021年我局预算收入152.87万元， 实际发生支出233.03万元，总结余4.79万元，预算执行率152.44%。</w:t>
      </w:r>
    </w:p>
    <w:p w14:paraId="30ACD0D2">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基本支出情况</w:t>
      </w:r>
    </w:p>
    <w:p w14:paraId="220D9142">
      <w:pPr>
        <w:widowControl/>
        <w:shd w:val="clear" w:color="auto" w:fill="FFFFFF"/>
        <w:spacing w:line="580" w:lineRule="exact"/>
        <w:ind w:firstLine="640" w:firstLineChars="200"/>
        <w:jc w:val="left"/>
        <w:rPr>
          <w:rFonts w:ascii="仿宋" w:hAnsi="仿宋" w:eastAsia="仿宋" w:cs="仿宋"/>
          <w:sz w:val="32"/>
          <w:szCs w:val="32"/>
        </w:rPr>
      </w:pPr>
      <w:r>
        <w:rPr>
          <w:rFonts w:hint="eastAsia" w:ascii="仿宋" w:hAnsi="仿宋" w:eastAsia="仿宋"/>
          <w:sz w:val="32"/>
          <w:szCs w:val="32"/>
        </w:rPr>
        <w:t>基本支出139.46万元，其中工资性支出116.34万元，公用经费支出32.22万元</w:t>
      </w:r>
      <w:r>
        <w:rPr>
          <w:rFonts w:hint="eastAsia" w:ascii="仿宋" w:hAnsi="仿宋" w:eastAsia="仿宋" w:cs="仿宋"/>
          <w:sz w:val="32"/>
          <w:szCs w:val="32"/>
        </w:rPr>
        <w:t>。</w:t>
      </w:r>
    </w:p>
    <w:p w14:paraId="40480272">
      <w:pPr>
        <w:widowControl/>
        <w:shd w:val="clear" w:color="auto" w:fill="FFFFFF"/>
        <w:spacing w:line="580" w:lineRule="exact"/>
        <w:ind w:firstLine="640" w:firstLineChars="200"/>
        <w:jc w:val="left"/>
        <w:rPr>
          <w:rFonts w:ascii="仿宋" w:eastAsia="仿宋" w:cs="仿宋"/>
          <w:sz w:val="32"/>
          <w:szCs w:val="32"/>
        </w:rPr>
      </w:pPr>
      <w:r>
        <w:rPr>
          <w:rFonts w:hint="eastAsia" w:ascii="仿宋" w:hAnsi="仿宋" w:eastAsia="仿宋"/>
          <w:sz w:val="32"/>
          <w:szCs w:val="32"/>
        </w:rPr>
        <w:t>2021年实际“三公”经费支出1.85万元，</w:t>
      </w:r>
      <w:r>
        <w:rPr>
          <w:rFonts w:hint="eastAsia" w:ascii="仿宋" w:eastAsia="仿宋" w:cs="仿宋"/>
          <w:sz w:val="32"/>
          <w:szCs w:val="32"/>
        </w:rPr>
        <w:t>比上年增0.5万元，增加37.04</w:t>
      </w:r>
      <w:r>
        <w:rPr>
          <w:rFonts w:ascii="仿宋" w:eastAsia="仿宋" w:cs="仿宋"/>
          <w:sz w:val="32"/>
          <w:szCs w:val="32"/>
        </w:rPr>
        <w:t xml:space="preserve"> %</w:t>
      </w:r>
      <w:r>
        <w:rPr>
          <w:rFonts w:hint="eastAsia" w:ascii="仿宋" w:eastAsia="仿宋" w:cs="仿宋"/>
          <w:sz w:val="32"/>
          <w:szCs w:val="32"/>
        </w:rPr>
        <w:t>;</w:t>
      </w:r>
      <w:r>
        <w:rPr>
          <w:rFonts w:hint="eastAsia" w:ascii="仿宋" w:eastAsia="仿宋" w:cs="仿宋"/>
          <w:b/>
          <w:bCs/>
          <w:sz w:val="32"/>
          <w:szCs w:val="32"/>
          <w:lang w:val="zh-CN"/>
        </w:rPr>
        <w:t>公务用车购置及运行维护费</w:t>
      </w:r>
      <w:r>
        <w:rPr>
          <w:rFonts w:hint="eastAsia" w:ascii="仿宋" w:eastAsia="仿宋" w:cs="仿宋"/>
          <w:sz w:val="32"/>
          <w:szCs w:val="32"/>
        </w:rPr>
        <w:t>完成8500元，比上年增713.71元，增加9.16</w:t>
      </w:r>
      <w:r>
        <w:rPr>
          <w:rFonts w:ascii="仿宋" w:eastAsia="仿宋" w:cs="仿宋"/>
          <w:sz w:val="32"/>
          <w:szCs w:val="32"/>
        </w:rPr>
        <w:t>%</w:t>
      </w:r>
      <w:r>
        <w:rPr>
          <w:rFonts w:hint="eastAsia" w:ascii="仿宋" w:hAnsi="仿宋" w:eastAsia="仿宋"/>
          <w:sz w:val="32"/>
          <w:szCs w:val="32"/>
        </w:rPr>
        <w:t>;</w:t>
      </w:r>
      <w:r>
        <w:rPr>
          <w:rFonts w:hint="eastAsia" w:ascii="仿宋" w:eastAsia="仿宋" w:cs="仿宋"/>
          <w:b/>
          <w:bCs/>
          <w:sz w:val="32"/>
          <w:szCs w:val="32"/>
          <w:lang w:val="zh-CN"/>
        </w:rPr>
        <w:t>公务接待费</w:t>
      </w:r>
      <w:r>
        <w:rPr>
          <w:rFonts w:hint="eastAsia" w:ascii="仿宋" w:eastAsia="仿宋" w:cs="仿宋"/>
          <w:sz w:val="32"/>
          <w:szCs w:val="32"/>
        </w:rPr>
        <w:t>完成10000元，比上年增加7440元，增加上升290.63</w:t>
      </w:r>
      <w:r>
        <w:rPr>
          <w:rFonts w:ascii="仿宋" w:eastAsia="仿宋" w:cs="仿宋"/>
          <w:sz w:val="32"/>
          <w:szCs w:val="32"/>
        </w:rPr>
        <w:t>%</w:t>
      </w:r>
      <w:r>
        <w:rPr>
          <w:rFonts w:hint="eastAsia" w:ascii="仿宋" w:eastAsia="仿宋" w:cs="仿宋"/>
          <w:sz w:val="32"/>
          <w:szCs w:val="32"/>
        </w:rPr>
        <w:t>.</w:t>
      </w:r>
    </w:p>
    <w:p w14:paraId="4082781B">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（二）项目支出</w:t>
      </w:r>
    </w:p>
    <w:p w14:paraId="62A20E8F">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项目支出</w:t>
      </w:r>
      <w:r>
        <w:rPr>
          <w:rFonts w:hint="eastAsia" w:ascii="仿宋" w:hAnsi="仿宋" w:eastAsia="仿宋" w:cs="仿宋"/>
          <w:sz w:val="32"/>
          <w:szCs w:val="32"/>
        </w:rPr>
        <w:t>严格按照专项资金使用范围，保证项目资金的专款专用。2021年支出</w:t>
      </w:r>
      <w:r>
        <w:rPr>
          <w:rFonts w:hint="eastAsia" w:ascii="仿宋" w:hAnsi="仿宋" w:eastAsia="仿宋"/>
          <w:sz w:val="32"/>
          <w:szCs w:val="32"/>
        </w:rPr>
        <w:t>93.57万元，比上年增加了25.16%，这是因为2021年增加了二个项目支出，其中</w:t>
      </w:r>
      <w:r>
        <w:rPr>
          <w:rFonts w:hint="eastAsia" w:ascii="仿宋" w:hAnsi="仿宋" w:eastAsia="仿宋"/>
          <w:kern w:val="0"/>
          <w:sz w:val="32"/>
          <w:szCs w:val="32"/>
        </w:rPr>
        <w:t>科普活动经费7.91万元，地震灾害风险普查工作经费15.21万元。</w:t>
      </w:r>
    </w:p>
    <w:p w14:paraId="328B4E68">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地震监测66.72万元，安全监管8.04万元。</w:t>
      </w:r>
    </w:p>
    <w:p w14:paraId="19C4B421">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三、</w:t>
      </w:r>
      <w:r>
        <w:rPr>
          <w:rFonts w:ascii="仿宋" w:hAnsi="仿宋" w:eastAsia="仿宋" w:cs="宋体"/>
          <w:color w:val="010101"/>
          <w:kern w:val="0"/>
          <w:sz w:val="32"/>
          <w:szCs w:val="32"/>
        </w:rPr>
        <w:t>部门整体支出绩效情况</w:t>
      </w:r>
    </w:p>
    <w:p w14:paraId="5920F8B8">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ascii="仿宋" w:hAnsi="仿宋" w:eastAsia="仿宋" w:cs="宋体"/>
          <w:color w:val="010101"/>
          <w:kern w:val="0"/>
          <w:sz w:val="32"/>
          <w:szCs w:val="32"/>
        </w:rPr>
        <w:t>202</w:t>
      </w:r>
      <w:r>
        <w:rPr>
          <w:rFonts w:hint="eastAsia" w:ascii="仿宋" w:hAnsi="仿宋" w:eastAsia="仿宋" w:cs="宋体"/>
          <w:color w:val="010101"/>
          <w:kern w:val="0"/>
          <w:sz w:val="32"/>
          <w:szCs w:val="32"/>
        </w:rPr>
        <w:t>1</w:t>
      </w:r>
      <w:r>
        <w:rPr>
          <w:rFonts w:ascii="仿宋" w:hAnsi="仿宋" w:eastAsia="仿宋" w:cs="宋体"/>
          <w:color w:val="010101"/>
          <w:kern w:val="0"/>
          <w:sz w:val="32"/>
          <w:szCs w:val="32"/>
        </w:rPr>
        <w:t>年，我单位积极履职，强化管理，较好地完成了年度工作目标。通过加强预算收支管理，不断建立健全内部管理制度，梳理内部管理流程，部门整体支出管理水平得到提升。根据部门整体支出绩效评价指标体系</w:t>
      </w:r>
      <w:r>
        <w:rPr>
          <w:rFonts w:hint="eastAsia" w:ascii="仿宋" w:hAnsi="仿宋" w:eastAsia="仿宋" w:cs="宋体"/>
          <w:color w:val="010101"/>
          <w:kern w:val="0"/>
          <w:sz w:val="32"/>
          <w:szCs w:val="32"/>
        </w:rPr>
        <w:t>。</w:t>
      </w:r>
    </w:p>
    <w:p w14:paraId="05453561">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ascii="仿宋" w:hAnsi="仿宋" w:eastAsia="仿宋" w:cs="宋体"/>
          <w:color w:val="010101"/>
          <w:kern w:val="0"/>
          <w:sz w:val="32"/>
          <w:szCs w:val="32"/>
        </w:rPr>
        <w:t>部门整体支出绩效情况如下：</w:t>
      </w:r>
    </w:p>
    <w:p w14:paraId="202472AC">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1、基本支出完成率108.71%。</w:t>
      </w:r>
    </w:p>
    <w:p w14:paraId="53AA884C">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2、项目支出超出预算支出，超出率173.86%。</w:t>
      </w:r>
    </w:p>
    <w:p w14:paraId="426D71A8">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宋体"/>
          <w:color w:val="010101"/>
          <w:kern w:val="0"/>
          <w:sz w:val="32"/>
          <w:szCs w:val="32"/>
        </w:rPr>
        <w:t>3、</w:t>
      </w:r>
      <w:r>
        <w:rPr>
          <w:rFonts w:ascii="仿宋" w:hAnsi="仿宋" w:eastAsia="仿宋" w:cs="宋体"/>
          <w:color w:val="010101"/>
          <w:kern w:val="0"/>
          <w:sz w:val="32"/>
          <w:szCs w:val="32"/>
        </w:rPr>
        <w:t>预算配置控制较好。</w:t>
      </w:r>
      <w:r>
        <w:rPr>
          <w:rFonts w:hint="eastAsia" w:ascii="仿宋" w:hAnsi="仿宋" w:eastAsia="仿宋" w:cs="仿宋"/>
          <w:sz w:val="32"/>
          <w:szCs w:val="32"/>
        </w:rPr>
        <w:t>1.预算配置方面。财政供养人员控制在预算编制以内，编制内在职人员控制率88.89%，不存在超编现象。“三公”经费预算与上年持平，变动率为0。</w:t>
      </w:r>
    </w:p>
    <w:p w14:paraId="78DE4DF4">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4、预算执行方面。支出总额控制在预算总额以内，预算完成率91.99%，本年部门预算未进行相关事项的调整。</w:t>
      </w:r>
    </w:p>
    <w:p w14:paraId="173594FD">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5、预算管理方面。我局2021年度公用经费控制率98.20%， “三公”经费控制率为21.55%，资金拨付严格按照审批程序和手续，预、决算信息及时进行公开，对预算实行动态管理，整体预算管理符合相关标准和要求，各类项目资金均明确相应管理办法，确保资金使用合规。</w:t>
      </w:r>
    </w:p>
    <w:p w14:paraId="71A89167">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6、履职效益方面。2021年，我局积极改进工作作风，加强经费及资产管理，提高行政效率。通过社会调查，服务对象满意度高。</w:t>
      </w:r>
    </w:p>
    <w:p w14:paraId="525D6718">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cs="宋体"/>
          <w:color w:val="010101"/>
          <w:kern w:val="0"/>
          <w:sz w:val="32"/>
          <w:szCs w:val="32"/>
        </w:rPr>
        <w:t>四、存在问题与建议</w:t>
      </w:r>
    </w:p>
    <w:p w14:paraId="780689F5">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cs="宋体"/>
          <w:color w:val="010101"/>
          <w:kern w:val="0"/>
          <w:sz w:val="32"/>
          <w:szCs w:val="32"/>
        </w:rPr>
        <w:t>存在问题：一是基本支出经费保障水平偏低。综合我局批复预算看，预算执行基本围绕保人员经费、保正常运转进行。从决算情况看，基本支出比重比较大。特别是社保、医保、公积金，</w:t>
      </w:r>
      <w:r>
        <w:rPr>
          <w:rFonts w:hint="eastAsia" w:ascii="仿宋" w:hAnsi="仿宋" w:eastAsia="仿宋" w:cs="仿宋"/>
          <w:sz w:val="32"/>
          <w:szCs w:val="32"/>
        </w:rPr>
        <w:t>因养老、医疗缴费基数与财政预算基数的不一致，导致在社会保障经费的实际支出与预算数相差距离越来越大，</w:t>
      </w:r>
      <w:r>
        <w:rPr>
          <w:rFonts w:hint="eastAsia" w:ascii="仿宋" w:hAnsi="仿宋" w:eastAsia="仿宋" w:cs="宋体"/>
          <w:color w:val="010101"/>
          <w:kern w:val="0"/>
          <w:sz w:val="32"/>
          <w:szCs w:val="32"/>
        </w:rPr>
        <w:t>还需本单位动用行政经费负担，各种矛盾凸显，基本保障年年不够，每年都需动用来年经费来付今年费用。</w:t>
      </w:r>
      <w:r>
        <w:rPr>
          <w:rFonts w:hint="eastAsia" w:ascii="仿宋" w:hAnsi="仿宋" w:eastAsia="仿宋" w:cs="仿宋"/>
          <w:sz w:val="32"/>
          <w:szCs w:val="32"/>
        </w:rPr>
        <w:t>二是预算安排公用经费数与实际公用经费的预算数有差异，上级财政补助收入一直没到位。</w:t>
      </w:r>
    </w:p>
    <w:p w14:paraId="7299DB8D">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建议和措施</w:t>
      </w:r>
    </w:p>
    <w:p w14:paraId="439A2BCE">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1、科学合理编制预算，严格执行预算</w:t>
      </w:r>
    </w:p>
    <w:p w14:paraId="2FBBCA10">
      <w:pPr>
        <w:widowControl/>
        <w:shd w:val="clear" w:color="auto" w:fill="FFFFFF"/>
        <w:spacing w:line="580" w:lineRule="exact"/>
        <w:ind w:firstLine="640" w:firstLineChars="200"/>
        <w:jc w:val="left"/>
        <w:rPr>
          <w:rFonts w:ascii="仿宋" w:hAnsi="仿宋" w:eastAsia="仿宋" w:cs="宋体"/>
          <w:color w:val="010101"/>
          <w:kern w:val="0"/>
          <w:sz w:val="32"/>
          <w:szCs w:val="32"/>
        </w:rPr>
      </w:pPr>
      <w:r>
        <w:rPr>
          <w:rFonts w:hint="eastAsia" w:ascii="仿宋" w:hAnsi="仿宋" w:eastAsia="仿宋" w:cs="宋体"/>
          <w:color w:val="010101"/>
          <w:kern w:val="0"/>
          <w:sz w:val="32"/>
          <w:szCs w:val="32"/>
        </w:rPr>
        <w:t>加强预算编制的前瞻性，按照新</w:t>
      </w:r>
      <w:r>
        <w:rPr>
          <w:rFonts w:hint="eastAsia" w:ascii="仿宋" w:hAnsi="仿宋" w:eastAsia="仿宋" w:cs="宋体"/>
          <w:color w:val="010101"/>
          <w:kern w:val="0"/>
          <w:sz w:val="32"/>
          <w:szCs w:val="32"/>
          <w:lang w:eastAsia="zh-CN"/>
        </w:rPr>
        <w:t>《中华人民共和国预算法》</w:t>
      </w:r>
      <w:r>
        <w:rPr>
          <w:rFonts w:hint="eastAsia" w:ascii="仿宋" w:hAnsi="仿宋" w:eastAsia="仿宋" w:cs="宋体"/>
          <w:color w:val="010101"/>
          <w:kern w:val="0"/>
          <w:sz w:val="32"/>
          <w:szCs w:val="32"/>
        </w:rPr>
        <w:t>及其实施条例的相关规定，按政策规定及本部门的发展规划，结合上一年度预算执行情况和本年度预算收支变化因素，科学、合理地编制本年预算草案，避免项目支出与基本支出划分不准或预算支出与实际执行出现较大偏差的情况，执行中确需调剂预算的，按规定程序报经及时批准。</w:t>
      </w:r>
    </w:p>
    <w:p w14:paraId="0C6F29DD">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2、合理执行预算，确保效益最大化。增强行政成本意识，努力提高执行力，超前谋划，按时保质完成各项工作任务。</w:t>
      </w:r>
    </w:p>
    <w:p w14:paraId="1950AEB0">
      <w:pPr>
        <w:spacing w:line="570" w:lineRule="exact"/>
        <w:ind w:firstLine="640" w:firstLineChars="200"/>
        <w:rPr>
          <w:rFonts w:ascii="仿宋" w:hAnsi="仿宋" w:eastAsia="仿宋" w:cs="微软雅黑"/>
          <w:sz w:val="32"/>
          <w:szCs w:val="32"/>
        </w:rPr>
      </w:pPr>
      <w:r>
        <w:rPr>
          <w:rFonts w:hint="eastAsia" w:ascii="仿宋" w:hAnsi="仿宋" w:eastAsia="仿宋" w:cs="微软雅黑"/>
          <w:sz w:val="32"/>
          <w:szCs w:val="32"/>
        </w:rPr>
        <w:t>五、</w:t>
      </w:r>
      <w:r>
        <w:rPr>
          <w:rFonts w:eastAsia="仿宋"/>
          <w:sz w:val="32"/>
          <w:szCs w:val="32"/>
        </w:rPr>
        <w:t>绩效自评结果拟应用和公开情况</w:t>
      </w:r>
    </w:p>
    <w:p w14:paraId="1F19EE77">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在此次评价中，部门整体绩效自评价情况较好，资金使用和效果达到了预期的经济、环境和社会效益。高度重视绩效评价结果的应用工作，积极探索和建立一套与预算管理相结合、多渠道应用评价结果的有效机制，着力提高绩效意识和财政资金使用效益。</w:t>
      </w:r>
    </w:p>
    <w:p w14:paraId="17E85E6A">
      <w:pPr>
        <w:widowControl/>
        <w:shd w:val="clear" w:color="auto" w:fill="FFFFFF"/>
        <w:spacing w:line="580" w:lineRule="exact"/>
        <w:ind w:right="320" w:firstLine="640" w:firstLineChars="200"/>
        <w:jc w:val="right"/>
        <w:rPr>
          <w:rFonts w:ascii="仿宋" w:hAnsi="仿宋" w:eastAsia="仿宋" w:cs="宋体"/>
          <w:color w:val="010101"/>
          <w:kern w:val="0"/>
          <w:sz w:val="32"/>
          <w:szCs w:val="32"/>
        </w:rPr>
      </w:pPr>
      <w:r>
        <w:rPr>
          <w:rFonts w:hint="eastAsia" w:ascii="仿宋" w:hAnsi="仿宋" w:eastAsia="仿宋" w:cs="宋体"/>
          <w:color w:val="010101"/>
          <w:kern w:val="0"/>
          <w:sz w:val="32"/>
          <w:szCs w:val="32"/>
        </w:rPr>
        <w:t>衡阳市地震局</w:t>
      </w:r>
    </w:p>
    <w:p w14:paraId="1B47D7CB">
      <w:pPr>
        <w:widowControl/>
        <w:shd w:val="clear" w:color="auto" w:fill="FFFFFF"/>
        <w:spacing w:line="580" w:lineRule="exact"/>
        <w:ind w:firstLine="640" w:firstLineChars="200"/>
        <w:jc w:val="right"/>
        <w:rPr>
          <w:rFonts w:ascii="仿宋" w:hAnsi="仿宋" w:eastAsia="仿宋"/>
          <w:sz w:val="32"/>
          <w:szCs w:val="32"/>
        </w:rPr>
      </w:pPr>
      <w:r>
        <w:rPr>
          <w:rFonts w:hint="eastAsia" w:ascii="仿宋" w:hAnsi="仿宋" w:eastAsia="仿宋" w:cs="宋体"/>
          <w:color w:val="010101"/>
          <w:kern w:val="0"/>
          <w:sz w:val="32"/>
          <w:szCs w:val="32"/>
        </w:rPr>
        <w:t>2022年4月15日</w:t>
      </w:r>
    </w:p>
    <w:p w14:paraId="11344434">
      <w:pPr>
        <w:pStyle w:val="10"/>
        <w:widowControl/>
        <w:spacing w:line="580" w:lineRule="exact"/>
        <w:ind w:firstLine="640" w:firstLineChars="0"/>
        <w:rPr>
          <w:rFonts w:ascii="仿宋" w:hAnsi="仿宋" w:eastAsia="仿宋"/>
          <w:sz w:val="32"/>
          <w:szCs w:val="32"/>
        </w:rPr>
      </w:pPr>
    </w:p>
    <w:p w14:paraId="3D90B95C">
      <w:pPr>
        <w:ind w:right="640"/>
        <w:rPr>
          <w:rFonts w:eastAsia="仿宋_GB2312"/>
          <w:kern w:val="0"/>
          <w:sz w:val="36"/>
          <w:szCs w:val="36"/>
        </w:rPr>
      </w:pPr>
      <w:r>
        <w:rPr>
          <w:rFonts w:hint="eastAsia" w:ascii="黑体" w:hAnsi="黑体" w:eastAsia="黑体" w:cs="黑体"/>
          <w:kern w:val="0"/>
          <w:sz w:val="32"/>
          <w:szCs w:val="32"/>
        </w:rPr>
        <w:t>附件</w:t>
      </w:r>
      <w:r>
        <w:rPr>
          <w:rFonts w:eastAsia="仿宋_GB2312"/>
          <w:kern w:val="0"/>
          <w:sz w:val="32"/>
          <w:szCs w:val="32"/>
        </w:rPr>
        <w:t xml:space="preserve">2  </w:t>
      </w:r>
      <w:r>
        <w:rPr>
          <w:rFonts w:hint="eastAsia" w:eastAsia="仿宋_GB2312"/>
          <w:kern w:val="0"/>
          <w:sz w:val="32"/>
          <w:szCs w:val="32"/>
        </w:rPr>
        <w:t xml:space="preserve">    </w:t>
      </w:r>
      <w:r>
        <w:rPr>
          <w:rFonts w:hint="eastAsia" w:eastAsia="仿宋_GB2312"/>
          <w:kern w:val="0"/>
          <w:sz w:val="36"/>
          <w:szCs w:val="36"/>
        </w:rPr>
        <w:t xml:space="preserve"> </w:t>
      </w:r>
    </w:p>
    <w:p w14:paraId="5AB95981">
      <w:pPr>
        <w:ind w:left="359" w:leftChars="171" w:right="640" w:firstLine="1440" w:firstLineChars="40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部门整体支出绩效评价基础数据表  </w:t>
      </w:r>
    </w:p>
    <w:p w14:paraId="7E5A2D02">
      <w:pPr>
        <w:ind w:right="640"/>
        <w:rPr>
          <w:rFonts w:eastAsia="Times New Roman"/>
          <w:kern w:val="0"/>
          <w:sz w:val="24"/>
        </w:rPr>
      </w:pPr>
      <w:r>
        <w:rPr>
          <w:kern w:val="0"/>
          <w:sz w:val="24"/>
        </w:rPr>
        <w:t>填报单位：</w:t>
      </w:r>
      <w:r>
        <w:rPr>
          <w:rFonts w:hint="eastAsia"/>
          <w:kern w:val="0"/>
          <w:sz w:val="24"/>
        </w:rPr>
        <w:t>（盖章）</w:t>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p>
    <w:tbl>
      <w:tblPr>
        <w:tblStyle w:val="8"/>
        <w:tblW w:w="9464" w:type="dxa"/>
        <w:jc w:val="center"/>
        <w:tblLayout w:type="fixed"/>
        <w:tblCellMar>
          <w:top w:w="0" w:type="dxa"/>
          <w:left w:w="108" w:type="dxa"/>
          <w:bottom w:w="0" w:type="dxa"/>
          <w:right w:w="108" w:type="dxa"/>
        </w:tblCellMar>
      </w:tblPr>
      <w:tblGrid>
        <w:gridCol w:w="3354"/>
        <w:gridCol w:w="2038"/>
        <w:gridCol w:w="2240"/>
        <w:gridCol w:w="1832"/>
      </w:tblGrid>
      <w:tr w14:paraId="0CA5E833">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03A2FCBB">
            <w:pPr>
              <w:widowControl/>
              <w:spacing w:line="200" w:lineRule="exact"/>
              <w:jc w:val="center"/>
              <w:rPr>
                <w:rFonts w:eastAsia="Times New Roman"/>
                <w:kern w:val="0"/>
                <w:szCs w:val="21"/>
              </w:rPr>
            </w:pPr>
            <w:r>
              <w:rPr>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792AA676">
            <w:pPr>
              <w:widowControl/>
              <w:spacing w:line="200" w:lineRule="exact"/>
              <w:jc w:val="center"/>
              <w:rPr>
                <w:rFonts w:eastAsia="Times New Roman"/>
                <w:b/>
                <w:bCs/>
                <w:kern w:val="0"/>
                <w:szCs w:val="21"/>
              </w:rPr>
            </w:pPr>
            <w:r>
              <w:rPr>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659E0220">
            <w:pPr>
              <w:widowControl/>
              <w:spacing w:line="200" w:lineRule="exact"/>
              <w:jc w:val="center"/>
              <w:rPr>
                <w:rFonts w:eastAsia="Times New Roman"/>
                <w:b/>
                <w:bCs/>
                <w:kern w:val="0"/>
                <w:szCs w:val="21"/>
              </w:rPr>
            </w:pPr>
            <w:r>
              <w:rPr>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573E6A80">
            <w:pPr>
              <w:widowControl/>
              <w:spacing w:line="200" w:lineRule="exact"/>
              <w:jc w:val="center"/>
              <w:rPr>
                <w:rFonts w:eastAsia="Times New Roman"/>
                <w:b/>
                <w:bCs/>
                <w:kern w:val="0"/>
                <w:szCs w:val="21"/>
              </w:rPr>
            </w:pPr>
            <w:r>
              <w:rPr>
                <w:b/>
                <w:bCs/>
                <w:kern w:val="0"/>
                <w:szCs w:val="21"/>
              </w:rPr>
              <w:t>控制率</w:t>
            </w:r>
          </w:p>
        </w:tc>
      </w:tr>
      <w:tr w14:paraId="3C76D82F">
        <w:tblPrEx>
          <w:tblCellMar>
            <w:top w:w="0" w:type="dxa"/>
            <w:left w:w="108" w:type="dxa"/>
            <w:bottom w:w="0" w:type="dxa"/>
            <w:right w:w="108" w:type="dxa"/>
          </w:tblCellMar>
        </w:tblPrEx>
        <w:trPr>
          <w:trHeight w:val="291"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64335ADF">
            <w:pPr>
              <w:widowControl/>
              <w:spacing w:line="200" w:lineRule="exact"/>
              <w:jc w:val="left"/>
              <w:rPr>
                <w:rFonts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5F2AFD6A">
            <w:pPr>
              <w:widowControl/>
              <w:spacing w:line="200" w:lineRule="exact"/>
              <w:jc w:val="center"/>
              <w:rPr>
                <w:rFonts w:eastAsia="Times New Roman"/>
                <w:kern w:val="0"/>
                <w:szCs w:val="21"/>
              </w:rPr>
            </w:pPr>
            <w:r>
              <w:rPr>
                <w:rFonts w:hint="eastAsia"/>
                <w:kern w:val="0"/>
                <w:szCs w:val="21"/>
              </w:rPr>
              <w:t>9</w:t>
            </w:r>
            <w:r>
              <w:rPr>
                <w:kern w:val="0"/>
                <w:szCs w:val="21"/>
              </w:rPr>
              <w:t>　</w:t>
            </w:r>
          </w:p>
        </w:tc>
        <w:tc>
          <w:tcPr>
            <w:tcW w:w="2240" w:type="dxa"/>
            <w:tcBorders>
              <w:top w:val="single" w:color="auto" w:sz="4" w:space="0"/>
              <w:left w:val="nil"/>
              <w:bottom w:val="single" w:color="auto" w:sz="4" w:space="0"/>
              <w:right w:val="single" w:color="auto" w:sz="4" w:space="0"/>
            </w:tcBorders>
            <w:vAlign w:val="center"/>
          </w:tcPr>
          <w:p w14:paraId="592E0BFF">
            <w:pPr>
              <w:widowControl/>
              <w:spacing w:line="200" w:lineRule="exact"/>
              <w:jc w:val="center"/>
              <w:rPr>
                <w:rFonts w:eastAsia="Times New Roman"/>
                <w:kern w:val="0"/>
                <w:szCs w:val="21"/>
              </w:rPr>
            </w:pPr>
            <w:r>
              <w:rPr>
                <w:rFonts w:hint="eastAsia"/>
                <w:kern w:val="0"/>
                <w:szCs w:val="21"/>
              </w:rPr>
              <w:t>8</w:t>
            </w:r>
            <w:r>
              <w:rPr>
                <w:kern w:val="0"/>
                <w:szCs w:val="21"/>
              </w:rPr>
              <w:t>　</w:t>
            </w:r>
          </w:p>
        </w:tc>
        <w:tc>
          <w:tcPr>
            <w:tcW w:w="1832" w:type="dxa"/>
            <w:tcBorders>
              <w:top w:val="single" w:color="auto" w:sz="4" w:space="0"/>
              <w:left w:val="nil"/>
              <w:bottom w:val="single" w:color="auto" w:sz="4" w:space="0"/>
              <w:right w:val="single" w:color="auto" w:sz="4" w:space="0"/>
            </w:tcBorders>
            <w:vAlign w:val="center"/>
          </w:tcPr>
          <w:p w14:paraId="7E3C4461">
            <w:pPr>
              <w:widowControl/>
              <w:spacing w:line="200" w:lineRule="exact"/>
              <w:jc w:val="center"/>
              <w:rPr>
                <w:rFonts w:eastAsia="Times New Roman"/>
                <w:kern w:val="0"/>
                <w:szCs w:val="21"/>
              </w:rPr>
            </w:pPr>
            <w:r>
              <w:rPr>
                <w:rFonts w:hint="eastAsia"/>
                <w:kern w:val="0"/>
                <w:szCs w:val="21"/>
              </w:rPr>
              <w:t>88.89%</w:t>
            </w:r>
            <w:r>
              <w:rPr>
                <w:kern w:val="0"/>
                <w:szCs w:val="21"/>
              </w:rPr>
              <w:t>　</w:t>
            </w:r>
          </w:p>
        </w:tc>
      </w:tr>
      <w:tr w14:paraId="3889EB15">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67E37CDE">
            <w:pPr>
              <w:widowControl/>
              <w:spacing w:line="200" w:lineRule="exact"/>
              <w:jc w:val="center"/>
              <w:rPr>
                <w:rFonts w:eastAsia="Times New Roman"/>
                <w:kern w:val="0"/>
                <w:szCs w:val="21"/>
              </w:rPr>
            </w:pPr>
            <w:r>
              <w:rPr>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0A3B0E17">
            <w:pPr>
              <w:widowControl/>
              <w:spacing w:line="200" w:lineRule="exact"/>
              <w:jc w:val="center"/>
              <w:rPr>
                <w:rFonts w:eastAsia="Times New Roman"/>
                <w:b/>
                <w:bCs/>
                <w:kern w:val="0"/>
                <w:szCs w:val="21"/>
              </w:rPr>
            </w:pPr>
            <w:r>
              <w:rPr>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48B8ACBE">
            <w:pPr>
              <w:widowControl/>
              <w:spacing w:line="200" w:lineRule="exact"/>
              <w:jc w:val="center"/>
              <w:rPr>
                <w:rFonts w:eastAsia="Times New Roman"/>
                <w:b/>
                <w:bCs/>
                <w:kern w:val="0"/>
                <w:szCs w:val="21"/>
              </w:rPr>
            </w:pPr>
            <w:r>
              <w:rPr>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44B6C0A0">
            <w:pPr>
              <w:widowControl/>
              <w:spacing w:line="200" w:lineRule="exact"/>
              <w:jc w:val="center"/>
              <w:rPr>
                <w:rFonts w:eastAsia="Times New Roman"/>
                <w:b/>
                <w:bCs/>
                <w:kern w:val="0"/>
                <w:szCs w:val="21"/>
              </w:rPr>
            </w:pPr>
            <w:r>
              <w:rPr>
                <w:b/>
                <w:bCs/>
                <w:kern w:val="0"/>
                <w:szCs w:val="21"/>
              </w:rPr>
              <w:t>2021年决算数</w:t>
            </w:r>
          </w:p>
        </w:tc>
      </w:tr>
      <w:tr w14:paraId="3CCE530A">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5FED7884">
            <w:pPr>
              <w:widowControl/>
              <w:spacing w:line="200" w:lineRule="exact"/>
              <w:jc w:val="left"/>
              <w:rPr>
                <w:rFonts w:eastAsia="Times New Roman"/>
                <w:kern w:val="0"/>
                <w:szCs w:val="21"/>
              </w:rPr>
            </w:pPr>
            <w:r>
              <w:rPr>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4383C208">
            <w:pPr>
              <w:widowControl/>
              <w:spacing w:line="200" w:lineRule="exact"/>
              <w:jc w:val="center"/>
              <w:rPr>
                <w:rFonts w:eastAsiaTheme="minorEastAsia"/>
                <w:kern w:val="0"/>
                <w:szCs w:val="21"/>
              </w:rPr>
            </w:pPr>
            <w:r>
              <w:rPr>
                <w:rFonts w:hint="eastAsia" w:eastAsiaTheme="minorEastAsia"/>
                <w:kern w:val="0"/>
                <w:szCs w:val="21"/>
              </w:rPr>
              <w:t>149.42</w:t>
            </w:r>
          </w:p>
        </w:tc>
        <w:tc>
          <w:tcPr>
            <w:tcW w:w="2240" w:type="dxa"/>
            <w:tcBorders>
              <w:top w:val="single" w:color="auto" w:sz="4" w:space="0"/>
              <w:left w:val="nil"/>
              <w:bottom w:val="single" w:color="auto" w:sz="4" w:space="0"/>
              <w:right w:val="single" w:color="000000" w:sz="4" w:space="0"/>
            </w:tcBorders>
            <w:vAlign w:val="center"/>
          </w:tcPr>
          <w:p w14:paraId="7CC98F0D">
            <w:pPr>
              <w:widowControl/>
              <w:spacing w:line="200" w:lineRule="exact"/>
              <w:jc w:val="center"/>
              <w:rPr>
                <w:rFonts w:eastAsiaTheme="minorEastAsia"/>
                <w:kern w:val="0"/>
                <w:szCs w:val="21"/>
              </w:rPr>
            </w:pPr>
            <w:r>
              <w:rPr>
                <w:rFonts w:hint="eastAsia" w:eastAsiaTheme="minorEastAsia"/>
                <w:kern w:val="0"/>
                <w:szCs w:val="21"/>
              </w:rPr>
              <w:t>135.87</w:t>
            </w:r>
          </w:p>
        </w:tc>
        <w:tc>
          <w:tcPr>
            <w:tcW w:w="1832" w:type="dxa"/>
            <w:tcBorders>
              <w:top w:val="single" w:color="auto" w:sz="4" w:space="0"/>
              <w:left w:val="nil"/>
              <w:bottom w:val="single" w:color="auto" w:sz="4" w:space="0"/>
              <w:right w:val="single" w:color="000000" w:sz="4" w:space="0"/>
            </w:tcBorders>
            <w:vAlign w:val="center"/>
          </w:tcPr>
          <w:p w14:paraId="6D8CD4A7">
            <w:pPr>
              <w:widowControl/>
              <w:spacing w:line="200" w:lineRule="exact"/>
              <w:jc w:val="center"/>
              <w:rPr>
                <w:rFonts w:eastAsiaTheme="minorEastAsia"/>
                <w:kern w:val="0"/>
                <w:szCs w:val="21"/>
              </w:rPr>
            </w:pPr>
            <w:r>
              <w:rPr>
                <w:rFonts w:hint="eastAsia" w:eastAsiaTheme="minorEastAsia"/>
                <w:kern w:val="0"/>
                <w:szCs w:val="21"/>
              </w:rPr>
              <w:t>139.46</w:t>
            </w:r>
          </w:p>
        </w:tc>
      </w:tr>
      <w:tr w14:paraId="77A2C64C">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193D4A5B">
            <w:pPr>
              <w:widowControl/>
              <w:spacing w:line="200" w:lineRule="exact"/>
              <w:jc w:val="left"/>
              <w:rPr>
                <w:rFonts w:eastAsia="Times New Roman"/>
                <w:kern w:val="0"/>
                <w:szCs w:val="21"/>
              </w:rPr>
            </w:pPr>
            <w:r>
              <w:rPr>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1C0FE91C">
            <w:pPr>
              <w:widowControl/>
              <w:spacing w:line="200" w:lineRule="exact"/>
              <w:jc w:val="center"/>
              <w:rPr>
                <w:rFonts w:eastAsiaTheme="minorEastAsia"/>
                <w:kern w:val="0"/>
                <w:szCs w:val="21"/>
              </w:rPr>
            </w:pPr>
            <w:r>
              <w:rPr>
                <w:rFonts w:hint="eastAsia" w:eastAsiaTheme="minorEastAsia"/>
                <w:kern w:val="0"/>
                <w:szCs w:val="21"/>
              </w:rPr>
              <w:t>43.43</w:t>
            </w:r>
          </w:p>
        </w:tc>
        <w:tc>
          <w:tcPr>
            <w:tcW w:w="2240" w:type="dxa"/>
            <w:tcBorders>
              <w:top w:val="single" w:color="auto" w:sz="4" w:space="0"/>
              <w:left w:val="nil"/>
              <w:bottom w:val="single" w:color="auto" w:sz="4" w:space="0"/>
              <w:right w:val="single" w:color="000000" w:sz="4" w:space="0"/>
            </w:tcBorders>
            <w:vAlign w:val="center"/>
          </w:tcPr>
          <w:p w14:paraId="31A7F63C">
            <w:pPr>
              <w:widowControl/>
              <w:spacing w:line="200" w:lineRule="exact"/>
              <w:jc w:val="center"/>
              <w:rPr>
                <w:rFonts w:eastAsiaTheme="minorEastAsia"/>
                <w:kern w:val="0"/>
                <w:szCs w:val="21"/>
              </w:rPr>
            </w:pPr>
            <w:r>
              <w:rPr>
                <w:rFonts w:hint="eastAsia" w:eastAsiaTheme="minorEastAsia"/>
                <w:kern w:val="0"/>
                <w:szCs w:val="21"/>
              </w:rPr>
              <w:t>46.84</w:t>
            </w:r>
          </w:p>
        </w:tc>
        <w:tc>
          <w:tcPr>
            <w:tcW w:w="1832" w:type="dxa"/>
            <w:tcBorders>
              <w:top w:val="single" w:color="auto" w:sz="4" w:space="0"/>
              <w:left w:val="nil"/>
              <w:bottom w:val="single" w:color="auto" w:sz="4" w:space="0"/>
              <w:right w:val="single" w:color="000000" w:sz="4" w:space="0"/>
            </w:tcBorders>
            <w:vAlign w:val="center"/>
          </w:tcPr>
          <w:p w14:paraId="7D658C2C">
            <w:pPr>
              <w:widowControl/>
              <w:spacing w:line="200" w:lineRule="exact"/>
              <w:jc w:val="center"/>
              <w:rPr>
                <w:rFonts w:eastAsiaTheme="minorEastAsia"/>
                <w:kern w:val="0"/>
                <w:szCs w:val="21"/>
              </w:rPr>
            </w:pPr>
            <w:r>
              <w:rPr>
                <w:rFonts w:hint="eastAsia" w:eastAsiaTheme="minorEastAsia"/>
                <w:kern w:val="0"/>
                <w:szCs w:val="21"/>
              </w:rPr>
              <w:t>32.22</w:t>
            </w:r>
          </w:p>
        </w:tc>
      </w:tr>
      <w:tr w14:paraId="59CCF1E6">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3046B493">
            <w:pPr>
              <w:widowControl/>
              <w:spacing w:line="200" w:lineRule="exact"/>
              <w:jc w:val="left"/>
              <w:rPr>
                <w:rFonts w:eastAsia="Times New Roman"/>
                <w:kern w:val="0"/>
                <w:szCs w:val="21"/>
              </w:rPr>
            </w:pPr>
            <w:r>
              <w:rPr>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3642E2F8">
            <w:pPr>
              <w:widowControl/>
              <w:spacing w:line="200" w:lineRule="exact"/>
              <w:jc w:val="center"/>
              <w:rPr>
                <w:rFonts w:eastAsiaTheme="minorEastAsia"/>
                <w:kern w:val="0"/>
                <w:szCs w:val="21"/>
              </w:rPr>
            </w:pPr>
            <w:r>
              <w:rPr>
                <w:rFonts w:hint="eastAsia" w:eastAsiaTheme="minorEastAsia"/>
                <w:kern w:val="0"/>
                <w:szCs w:val="21"/>
              </w:rPr>
              <w:t>3.85</w:t>
            </w:r>
          </w:p>
        </w:tc>
        <w:tc>
          <w:tcPr>
            <w:tcW w:w="2240" w:type="dxa"/>
            <w:tcBorders>
              <w:top w:val="single" w:color="auto" w:sz="4" w:space="0"/>
              <w:left w:val="nil"/>
              <w:bottom w:val="single" w:color="auto" w:sz="4" w:space="0"/>
              <w:right w:val="single" w:color="000000" w:sz="4" w:space="0"/>
            </w:tcBorders>
            <w:vAlign w:val="center"/>
          </w:tcPr>
          <w:p w14:paraId="65B7A2D7">
            <w:pPr>
              <w:widowControl/>
              <w:spacing w:line="200" w:lineRule="exact"/>
              <w:jc w:val="center"/>
              <w:rPr>
                <w:rFonts w:eastAsiaTheme="minorEastAsia"/>
                <w:kern w:val="0"/>
                <w:szCs w:val="21"/>
              </w:rPr>
            </w:pPr>
            <w:r>
              <w:rPr>
                <w:rFonts w:hint="eastAsia" w:eastAsiaTheme="minorEastAsia"/>
                <w:kern w:val="0"/>
                <w:szCs w:val="21"/>
              </w:rPr>
              <w:t>1.76</w:t>
            </w:r>
          </w:p>
        </w:tc>
        <w:tc>
          <w:tcPr>
            <w:tcW w:w="1832" w:type="dxa"/>
            <w:tcBorders>
              <w:top w:val="single" w:color="auto" w:sz="4" w:space="0"/>
              <w:left w:val="nil"/>
              <w:bottom w:val="single" w:color="auto" w:sz="4" w:space="0"/>
              <w:right w:val="single" w:color="000000" w:sz="4" w:space="0"/>
            </w:tcBorders>
            <w:vAlign w:val="center"/>
          </w:tcPr>
          <w:p w14:paraId="1F837A18">
            <w:pPr>
              <w:widowControl/>
              <w:spacing w:line="200" w:lineRule="exact"/>
              <w:jc w:val="center"/>
              <w:rPr>
                <w:rFonts w:eastAsiaTheme="minorEastAsia"/>
                <w:kern w:val="0"/>
                <w:szCs w:val="21"/>
              </w:rPr>
            </w:pPr>
            <w:r>
              <w:rPr>
                <w:rFonts w:hint="eastAsia" w:eastAsiaTheme="minorEastAsia"/>
                <w:kern w:val="0"/>
                <w:szCs w:val="21"/>
              </w:rPr>
              <w:t>18.06</w:t>
            </w:r>
          </w:p>
        </w:tc>
      </w:tr>
      <w:tr w14:paraId="0BD4ED47">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37A618F3">
            <w:pPr>
              <w:widowControl/>
              <w:spacing w:line="200" w:lineRule="exact"/>
              <w:jc w:val="left"/>
              <w:rPr>
                <w:rFonts w:eastAsia="Times New Roman"/>
                <w:kern w:val="0"/>
                <w:szCs w:val="21"/>
              </w:rPr>
            </w:pPr>
            <w:r>
              <w:rPr>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13C57C21">
            <w:pPr>
              <w:widowControl/>
              <w:spacing w:line="200" w:lineRule="exact"/>
              <w:jc w:val="center"/>
              <w:rPr>
                <w:rFonts w:eastAsiaTheme="minorEastAsia"/>
                <w:kern w:val="0"/>
                <w:szCs w:val="21"/>
              </w:rPr>
            </w:pPr>
            <w:r>
              <w:rPr>
                <w:rFonts w:hint="eastAsia" w:eastAsiaTheme="minorEastAsia"/>
                <w:kern w:val="0"/>
                <w:szCs w:val="21"/>
              </w:rPr>
              <w:t>3.27</w:t>
            </w:r>
          </w:p>
        </w:tc>
        <w:tc>
          <w:tcPr>
            <w:tcW w:w="2240" w:type="dxa"/>
            <w:tcBorders>
              <w:top w:val="single" w:color="auto" w:sz="4" w:space="0"/>
              <w:left w:val="nil"/>
              <w:bottom w:val="single" w:color="auto" w:sz="4" w:space="0"/>
              <w:right w:val="single" w:color="000000" w:sz="4" w:space="0"/>
            </w:tcBorders>
            <w:vAlign w:val="center"/>
          </w:tcPr>
          <w:p w14:paraId="6604AA90">
            <w:pPr>
              <w:widowControl/>
              <w:spacing w:line="200" w:lineRule="exact"/>
              <w:jc w:val="center"/>
              <w:rPr>
                <w:rFonts w:eastAsiaTheme="minorEastAsia"/>
                <w:kern w:val="0"/>
                <w:szCs w:val="21"/>
              </w:rPr>
            </w:pPr>
            <w:r>
              <w:rPr>
                <w:rFonts w:hint="eastAsia" w:eastAsiaTheme="minorEastAsia"/>
                <w:kern w:val="0"/>
                <w:szCs w:val="21"/>
              </w:rPr>
              <w:t>1.85</w:t>
            </w:r>
          </w:p>
        </w:tc>
        <w:tc>
          <w:tcPr>
            <w:tcW w:w="1832" w:type="dxa"/>
            <w:tcBorders>
              <w:top w:val="single" w:color="auto" w:sz="4" w:space="0"/>
              <w:left w:val="nil"/>
              <w:bottom w:val="single" w:color="auto" w:sz="4" w:space="0"/>
              <w:right w:val="single" w:color="000000" w:sz="4" w:space="0"/>
            </w:tcBorders>
            <w:vAlign w:val="center"/>
          </w:tcPr>
          <w:p w14:paraId="373CDBC1">
            <w:pPr>
              <w:widowControl/>
              <w:spacing w:line="200" w:lineRule="exact"/>
              <w:jc w:val="center"/>
              <w:rPr>
                <w:rFonts w:eastAsiaTheme="minorEastAsia"/>
                <w:kern w:val="0"/>
                <w:szCs w:val="21"/>
              </w:rPr>
            </w:pPr>
            <w:r>
              <w:rPr>
                <w:rFonts w:hint="eastAsia" w:eastAsiaTheme="minorEastAsia"/>
                <w:kern w:val="0"/>
                <w:szCs w:val="21"/>
              </w:rPr>
              <w:t>9.26</w:t>
            </w:r>
          </w:p>
        </w:tc>
      </w:tr>
      <w:tr w14:paraId="01A0B8D7">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45A6C506">
            <w:pPr>
              <w:widowControl/>
              <w:spacing w:line="200" w:lineRule="exact"/>
              <w:jc w:val="left"/>
              <w:rPr>
                <w:rFonts w:eastAsia="Times New Roman"/>
                <w:kern w:val="0"/>
                <w:szCs w:val="21"/>
              </w:rPr>
            </w:pPr>
            <w:r>
              <w:rPr>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69A7757B">
            <w:pPr>
              <w:widowControl/>
              <w:spacing w:line="200" w:lineRule="exact"/>
              <w:jc w:val="center"/>
              <w:rPr>
                <w:rFonts w:eastAsiaTheme="minorEastAsia"/>
                <w:kern w:val="0"/>
                <w:szCs w:val="21"/>
              </w:rPr>
            </w:pPr>
            <w:r>
              <w:rPr>
                <w:rFonts w:hint="eastAsia" w:eastAsiaTheme="minorEastAsia"/>
                <w:kern w:val="0"/>
                <w:szCs w:val="21"/>
              </w:rPr>
              <w:t>0.26</w:t>
            </w:r>
          </w:p>
        </w:tc>
        <w:tc>
          <w:tcPr>
            <w:tcW w:w="2240" w:type="dxa"/>
            <w:tcBorders>
              <w:top w:val="single" w:color="auto" w:sz="4" w:space="0"/>
              <w:left w:val="nil"/>
              <w:bottom w:val="single" w:color="auto" w:sz="4" w:space="0"/>
              <w:right w:val="single" w:color="000000" w:sz="4" w:space="0"/>
            </w:tcBorders>
            <w:vAlign w:val="center"/>
          </w:tcPr>
          <w:p w14:paraId="612E35A1">
            <w:pPr>
              <w:widowControl/>
              <w:spacing w:line="200" w:lineRule="exact"/>
              <w:jc w:val="center"/>
              <w:rPr>
                <w:rFonts w:eastAsiaTheme="minorEastAsia"/>
                <w:kern w:val="0"/>
                <w:szCs w:val="21"/>
              </w:rPr>
            </w:pPr>
            <w:r>
              <w:rPr>
                <w:rFonts w:hint="eastAsia" w:eastAsiaTheme="minorEastAsia"/>
                <w:kern w:val="0"/>
                <w:szCs w:val="21"/>
              </w:rPr>
              <w:t>1.02</w:t>
            </w:r>
          </w:p>
        </w:tc>
        <w:tc>
          <w:tcPr>
            <w:tcW w:w="1832" w:type="dxa"/>
            <w:tcBorders>
              <w:top w:val="single" w:color="auto" w:sz="4" w:space="0"/>
              <w:left w:val="nil"/>
              <w:bottom w:val="single" w:color="auto" w:sz="4" w:space="0"/>
              <w:right w:val="single" w:color="000000" w:sz="4" w:space="0"/>
            </w:tcBorders>
            <w:vAlign w:val="center"/>
          </w:tcPr>
          <w:p w14:paraId="12AC674F">
            <w:pPr>
              <w:widowControl/>
              <w:spacing w:line="200" w:lineRule="exact"/>
              <w:jc w:val="center"/>
              <w:rPr>
                <w:rFonts w:eastAsiaTheme="minorEastAsia"/>
                <w:kern w:val="0"/>
                <w:szCs w:val="21"/>
              </w:rPr>
            </w:pPr>
            <w:r>
              <w:rPr>
                <w:rFonts w:hint="eastAsia" w:eastAsiaTheme="minorEastAsia"/>
                <w:kern w:val="0"/>
                <w:szCs w:val="21"/>
              </w:rPr>
              <w:t>3.27</w:t>
            </w:r>
          </w:p>
        </w:tc>
      </w:tr>
      <w:tr w14:paraId="6E108D40">
        <w:tblPrEx>
          <w:tblCellMar>
            <w:top w:w="0" w:type="dxa"/>
            <w:left w:w="108" w:type="dxa"/>
            <w:bottom w:w="0" w:type="dxa"/>
            <w:right w:w="108" w:type="dxa"/>
          </w:tblCellMar>
        </w:tblPrEx>
        <w:trPr>
          <w:trHeight w:val="277" w:hRule="atLeast"/>
          <w:jc w:val="center"/>
        </w:trPr>
        <w:tc>
          <w:tcPr>
            <w:tcW w:w="3354" w:type="dxa"/>
            <w:tcBorders>
              <w:top w:val="nil"/>
              <w:left w:val="single" w:color="auto" w:sz="4" w:space="0"/>
              <w:bottom w:val="single" w:color="auto" w:sz="4" w:space="0"/>
              <w:right w:val="single" w:color="auto" w:sz="4" w:space="0"/>
            </w:tcBorders>
            <w:vAlign w:val="center"/>
          </w:tcPr>
          <w:p w14:paraId="7F36AE9D">
            <w:pPr>
              <w:widowControl/>
              <w:spacing w:line="200" w:lineRule="exact"/>
              <w:ind w:firstLine="945" w:firstLineChars="450"/>
              <w:jc w:val="left"/>
              <w:rPr>
                <w:rFonts w:eastAsia="Times New Roman"/>
                <w:kern w:val="0"/>
                <w:szCs w:val="21"/>
              </w:rPr>
            </w:pPr>
            <w:r>
              <w:rPr>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0FA6ECEC">
            <w:pPr>
              <w:widowControl/>
              <w:spacing w:line="200" w:lineRule="exact"/>
              <w:jc w:val="center"/>
              <w:rPr>
                <w:rFonts w:eastAsia="Times New Roman"/>
                <w:kern w:val="0"/>
                <w:szCs w:val="21"/>
              </w:rPr>
            </w:pPr>
            <w:r>
              <w:rPr>
                <w:rFonts w:hint="eastAsia"/>
                <w:kern w:val="0"/>
                <w:szCs w:val="21"/>
              </w:rPr>
              <w:t>1.04</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27CDE2CF">
            <w:pPr>
              <w:widowControl/>
              <w:spacing w:line="200" w:lineRule="exact"/>
              <w:jc w:val="center"/>
              <w:rPr>
                <w:rFonts w:eastAsia="Times New Roman"/>
                <w:kern w:val="0"/>
                <w:szCs w:val="21"/>
              </w:rPr>
            </w:pPr>
            <w:r>
              <w:rPr>
                <w:kern w:val="0"/>
                <w:szCs w:val="21"/>
              </w:rPr>
              <w:t>　</w:t>
            </w:r>
            <w:r>
              <w:rPr>
                <w:rFonts w:hint="eastAsia"/>
                <w:kern w:val="0"/>
                <w:szCs w:val="21"/>
              </w:rPr>
              <w:t>4.80</w:t>
            </w:r>
          </w:p>
        </w:tc>
        <w:tc>
          <w:tcPr>
            <w:tcW w:w="1832" w:type="dxa"/>
            <w:tcBorders>
              <w:top w:val="single" w:color="auto" w:sz="4" w:space="0"/>
              <w:left w:val="nil"/>
              <w:bottom w:val="single" w:color="auto" w:sz="4" w:space="0"/>
              <w:right w:val="single" w:color="000000" w:sz="4" w:space="0"/>
            </w:tcBorders>
            <w:vAlign w:val="center"/>
          </w:tcPr>
          <w:p w14:paraId="273F1ED0">
            <w:pPr>
              <w:widowControl/>
              <w:spacing w:line="200" w:lineRule="exact"/>
              <w:jc w:val="center"/>
              <w:rPr>
                <w:rFonts w:eastAsia="Times New Roman"/>
                <w:kern w:val="0"/>
                <w:szCs w:val="21"/>
              </w:rPr>
            </w:pPr>
            <w:r>
              <w:rPr>
                <w:kern w:val="0"/>
                <w:szCs w:val="21"/>
              </w:rPr>
              <w:t>　</w:t>
            </w:r>
            <w:r>
              <w:rPr>
                <w:rFonts w:hint="eastAsia"/>
                <w:kern w:val="0"/>
                <w:szCs w:val="21"/>
              </w:rPr>
              <w:t>1.85</w:t>
            </w:r>
          </w:p>
        </w:tc>
      </w:tr>
      <w:tr w14:paraId="146F463A">
        <w:tblPrEx>
          <w:tblCellMar>
            <w:top w:w="0" w:type="dxa"/>
            <w:left w:w="108" w:type="dxa"/>
            <w:bottom w:w="0" w:type="dxa"/>
            <w:right w:w="108" w:type="dxa"/>
          </w:tblCellMar>
        </w:tblPrEx>
        <w:trPr>
          <w:trHeight w:val="411" w:hRule="atLeast"/>
          <w:jc w:val="center"/>
        </w:trPr>
        <w:tc>
          <w:tcPr>
            <w:tcW w:w="3354" w:type="dxa"/>
            <w:tcBorders>
              <w:top w:val="nil"/>
              <w:left w:val="single" w:color="auto" w:sz="4" w:space="0"/>
              <w:bottom w:val="single" w:color="auto" w:sz="4" w:space="0"/>
              <w:right w:val="single" w:color="auto" w:sz="4" w:space="0"/>
            </w:tcBorders>
            <w:vAlign w:val="center"/>
          </w:tcPr>
          <w:p w14:paraId="6D41A430">
            <w:pPr>
              <w:widowControl/>
              <w:spacing w:line="200" w:lineRule="exact"/>
              <w:jc w:val="left"/>
              <w:rPr>
                <w:rFonts w:eastAsia="Times New Roman"/>
                <w:kern w:val="0"/>
                <w:szCs w:val="21"/>
              </w:rPr>
            </w:pPr>
            <w:r>
              <w:rPr>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5C536C20">
            <w:pPr>
              <w:widowControl/>
              <w:spacing w:line="200" w:lineRule="exact"/>
              <w:jc w:val="center"/>
              <w:rPr>
                <w:rFonts w:eastAsia="Times New Roman"/>
                <w:kern w:val="0"/>
                <w:szCs w:val="21"/>
              </w:rPr>
            </w:pPr>
            <w:r>
              <w:rPr>
                <w:rFonts w:hint="eastAsia"/>
                <w:kern w:val="0"/>
                <w:szCs w:val="21"/>
              </w:rPr>
              <w:t>0.78</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736CDF6B">
            <w:pPr>
              <w:widowControl/>
              <w:spacing w:line="200" w:lineRule="exact"/>
              <w:jc w:val="center"/>
              <w:rPr>
                <w:rFonts w:eastAsia="Times New Roman"/>
                <w:kern w:val="0"/>
                <w:szCs w:val="21"/>
              </w:rPr>
            </w:pP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4CE4DEB1">
            <w:pPr>
              <w:widowControl/>
              <w:spacing w:line="200" w:lineRule="exact"/>
              <w:jc w:val="center"/>
              <w:rPr>
                <w:rFonts w:eastAsia="Times New Roman"/>
                <w:kern w:val="0"/>
                <w:szCs w:val="21"/>
              </w:rPr>
            </w:pPr>
            <w:r>
              <w:rPr>
                <w:rFonts w:hint="eastAsia"/>
                <w:kern w:val="0"/>
                <w:szCs w:val="21"/>
              </w:rPr>
              <w:t>0.85</w:t>
            </w:r>
            <w:r>
              <w:rPr>
                <w:kern w:val="0"/>
                <w:szCs w:val="21"/>
              </w:rPr>
              <w:t>　</w:t>
            </w:r>
          </w:p>
        </w:tc>
      </w:tr>
      <w:tr w14:paraId="4BCBF63B">
        <w:tblPrEx>
          <w:tblCellMar>
            <w:top w:w="0" w:type="dxa"/>
            <w:left w:w="108" w:type="dxa"/>
            <w:bottom w:w="0" w:type="dxa"/>
            <w:right w:w="108" w:type="dxa"/>
          </w:tblCellMar>
        </w:tblPrEx>
        <w:trPr>
          <w:trHeight w:val="319" w:hRule="atLeast"/>
          <w:jc w:val="center"/>
        </w:trPr>
        <w:tc>
          <w:tcPr>
            <w:tcW w:w="3354" w:type="dxa"/>
            <w:tcBorders>
              <w:top w:val="nil"/>
              <w:left w:val="single" w:color="auto" w:sz="4" w:space="0"/>
              <w:bottom w:val="single" w:color="auto" w:sz="4" w:space="0"/>
              <w:right w:val="single" w:color="auto" w:sz="4" w:space="0"/>
            </w:tcBorders>
            <w:vAlign w:val="center"/>
          </w:tcPr>
          <w:p w14:paraId="43DA9CDE">
            <w:pPr>
              <w:widowControl/>
              <w:spacing w:line="200" w:lineRule="exact"/>
              <w:jc w:val="left"/>
              <w:rPr>
                <w:rFonts w:eastAsia="Times New Roman"/>
                <w:kern w:val="0"/>
                <w:szCs w:val="21"/>
              </w:rPr>
            </w:pPr>
            <w:r>
              <w:rPr>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112C35B4">
            <w:pPr>
              <w:widowControl/>
              <w:spacing w:line="200" w:lineRule="exact"/>
              <w:jc w:val="center"/>
              <w:rPr>
                <w:rFonts w:eastAsia="Times New Roman"/>
                <w:kern w:val="0"/>
                <w:szCs w:val="21"/>
              </w:rPr>
            </w:pP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2801260A">
            <w:pPr>
              <w:widowControl/>
              <w:spacing w:line="200" w:lineRule="exact"/>
              <w:jc w:val="center"/>
              <w:rPr>
                <w:rFonts w:eastAsia="Times New Roman"/>
                <w:kern w:val="0"/>
                <w:szCs w:val="21"/>
              </w:rPr>
            </w:pP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7E83DC85">
            <w:pPr>
              <w:widowControl/>
              <w:spacing w:line="200" w:lineRule="exact"/>
              <w:jc w:val="center"/>
              <w:rPr>
                <w:rFonts w:eastAsia="Times New Roman"/>
                <w:kern w:val="0"/>
                <w:szCs w:val="21"/>
              </w:rPr>
            </w:pPr>
            <w:r>
              <w:rPr>
                <w:kern w:val="0"/>
                <w:szCs w:val="21"/>
              </w:rPr>
              <w:t>　</w:t>
            </w:r>
          </w:p>
        </w:tc>
      </w:tr>
      <w:tr w14:paraId="16D84D59">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17D1F65B">
            <w:pPr>
              <w:widowControl/>
              <w:spacing w:line="200" w:lineRule="exact"/>
              <w:jc w:val="left"/>
              <w:rPr>
                <w:rFonts w:eastAsia="Times New Roman"/>
                <w:kern w:val="0"/>
                <w:szCs w:val="21"/>
              </w:rPr>
            </w:pPr>
            <w:r>
              <w:rPr>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67280F91">
            <w:pPr>
              <w:widowControl/>
              <w:spacing w:line="200" w:lineRule="exact"/>
              <w:jc w:val="center"/>
              <w:rPr>
                <w:rFonts w:eastAsia="Times New Roman"/>
                <w:kern w:val="0"/>
                <w:szCs w:val="21"/>
              </w:rPr>
            </w:pPr>
            <w:r>
              <w:rPr>
                <w:rFonts w:hint="eastAsia"/>
                <w:kern w:val="0"/>
                <w:szCs w:val="21"/>
              </w:rPr>
              <w:t>0.78</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0CC9C686">
            <w:pPr>
              <w:widowControl/>
              <w:spacing w:line="200" w:lineRule="exact"/>
              <w:jc w:val="center"/>
              <w:rPr>
                <w:rFonts w:eastAsia="Times New Roman"/>
                <w:kern w:val="0"/>
                <w:szCs w:val="21"/>
              </w:rPr>
            </w:pPr>
            <w:r>
              <w:rPr>
                <w:kern w:val="0"/>
                <w:szCs w:val="21"/>
              </w:rPr>
              <w:t>　</w:t>
            </w:r>
            <w:r>
              <w:rPr>
                <w:rFonts w:hint="eastAsia"/>
                <w:kern w:val="0"/>
                <w:szCs w:val="21"/>
              </w:rPr>
              <w:t>4.00</w:t>
            </w:r>
          </w:p>
        </w:tc>
        <w:tc>
          <w:tcPr>
            <w:tcW w:w="1832" w:type="dxa"/>
            <w:tcBorders>
              <w:top w:val="single" w:color="auto" w:sz="4" w:space="0"/>
              <w:left w:val="nil"/>
              <w:bottom w:val="single" w:color="auto" w:sz="4" w:space="0"/>
              <w:right w:val="single" w:color="000000" w:sz="4" w:space="0"/>
            </w:tcBorders>
            <w:vAlign w:val="center"/>
          </w:tcPr>
          <w:p w14:paraId="7180A20D">
            <w:pPr>
              <w:widowControl/>
              <w:spacing w:line="200" w:lineRule="exact"/>
              <w:jc w:val="center"/>
              <w:rPr>
                <w:rFonts w:eastAsia="Times New Roman"/>
                <w:kern w:val="0"/>
                <w:szCs w:val="21"/>
              </w:rPr>
            </w:pPr>
            <w:r>
              <w:rPr>
                <w:rFonts w:hint="eastAsia"/>
                <w:kern w:val="0"/>
                <w:szCs w:val="21"/>
              </w:rPr>
              <w:t>0.85</w:t>
            </w:r>
            <w:r>
              <w:rPr>
                <w:kern w:val="0"/>
                <w:szCs w:val="21"/>
              </w:rPr>
              <w:t>　</w:t>
            </w:r>
          </w:p>
        </w:tc>
      </w:tr>
      <w:tr w14:paraId="4C544469">
        <w:tblPrEx>
          <w:tblCellMar>
            <w:top w:w="0" w:type="dxa"/>
            <w:left w:w="108" w:type="dxa"/>
            <w:bottom w:w="0" w:type="dxa"/>
            <w:right w:w="108" w:type="dxa"/>
          </w:tblCellMar>
        </w:tblPrEx>
        <w:trPr>
          <w:trHeight w:val="318" w:hRule="atLeast"/>
          <w:jc w:val="center"/>
        </w:trPr>
        <w:tc>
          <w:tcPr>
            <w:tcW w:w="3354" w:type="dxa"/>
            <w:tcBorders>
              <w:top w:val="nil"/>
              <w:left w:val="single" w:color="auto" w:sz="4" w:space="0"/>
              <w:bottom w:val="single" w:color="auto" w:sz="4" w:space="0"/>
              <w:right w:val="single" w:color="auto" w:sz="4" w:space="0"/>
            </w:tcBorders>
            <w:vAlign w:val="center"/>
          </w:tcPr>
          <w:p w14:paraId="01E7091F">
            <w:pPr>
              <w:widowControl/>
              <w:spacing w:line="200" w:lineRule="exact"/>
              <w:jc w:val="left"/>
              <w:rPr>
                <w:rFonts w:eastAsia="Times New Roman"/>
                <w:kern w:val="0"/>
                <w:szCs w:val="21"/>
              </w:rPr>
            </w:pPr>
            <w:r>
              <w:rPr>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6D0B3893">
            <w:pPr>
              <w:widowControl/>
              <w:spacing w:line="200" w:lineRule="exact"/>
              <w:jc w:val="center"/>
              <w:rPr>
                <w:rFonts w:eastAsia="Times New Roman"/>
                <w:kern w:val="0"/>
                <w:szCs w:val="21"/>
              </w:rPr>
            </w:pPr>
            <w:r>
              <w:rPr>
                <w:rFonts w:hint="eastAsia"/>
                <w:kern w:val="0"/>
                <w:szCs w:val="21"/>
              </w:rPr>
              <w:t>0.00</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473828C3">
            <w:pPr>
              <w:widowControl/>
              <w:spacing w:line="200" w:lineRule="exact"/>
              <w:jc w:val="center"/>
              <w:rPr>
                <w:rFonts w:eastAsia="Times New Roman"/>
                <w:kern w:val="0"/>
                <w:szCs w:val="21"/>
              </w:rPr>
            </w:pP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31B0AD5D">
            <w:pPr>
              <w:widowControl/>
              <w:spacing w:line="200" w:lineRule="exact"/>
              <w:jc w:val="center"/>
              <w:rPr>
                <w:rFonts w:eastAsia="Times New Roman"/>
                <w:kern w:val="0"/>
                <w:szCs w:val="21"/>
              </w:rPr>
            </w:pPr>
            <w:r>
              <w:rPr>
                <w:kern w:val="0"/>
                <w:szCs w:val="21"/>
              </w:rPr>
              <w:t>　</w:t>
            </w:r>
          </w:p>
        </w:tc>
      </w:tr>
      <w:tr w14:paraId="025C4359">
        <w:tblPrEx>
          <w:tblCellMar>
            <w:top w:w="0" w:type="dxa"/>
            <w:left w:w="108" w:type="dxa"/>
            <w:bottom w:w="0" w:type="dxa"/>
            <w:right w:w="108" w:type="dxa"/>
          </w:tblCellMar>
        </w:tblPrEx>
        <w:trPr>
          <w:trHeight w:val="396" w:hRule="atLeast"/>
          <w:jc w:val="center"/>
        </w:trPr>
        <w:tc>
          <w:tcPr>
            <w:tcW w:w="3354" w:type="dxa"/>
            <w:tcBorders>
              <w:top w:val="nil"/>
              <w:left w:val="single" w:color="auto" w:sz="4" w:space="0"/>
              <w:bottom w:val="single" w:color="auto" w:sz="4" w:space="0"/>
              <w:right w:val="single" w:color="auto" w:sz="4" w:space="0"/>
            </w:tcBorders>
            <w:vAlign w:val="center"/>
          </w:tcPr>
          <w:p w14:paraId="443D80B1">
            <w:pPr>
              <w:widowControl/>
              <w:spacing w:line="200" w:lineRule="exact"/>
              <w:jc w:val="left"/>
              <w:rPr>
                <w:rFonts w:eastAsia="Times New Roman"/>
                <w:kern w:val="0"/>
                <w:szCs w:val="21"/>
              </w:rPr>
            </w:pPr>
            <w:r>
              <w:rPr>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41875EA0">
            <w:pPr>
              <w:widowControl/>
              <w:spacing w:line="200" w:lineRule="exact"/>
              <w:jc w:val="center"/>
              <w:rPr>
                <w:rFonts w:eastAsia="Times New Roman"/>
                <w:kern w:val="0"/>
                <w:szCs w:val="21"/>
              </w:rPr>
            </w:pPr>
            <w:r>
              <w:rPr>
                <w:kern w:val="0"/>
                <w:szCs w:val="21"/>
              </w:rPr>
              <w:t>　</w:t>
            </w:r>
            <w:r>
              <w:rPr>
                <w:rFonts w:hint="eastAsia"/>
                <w:kern w:val="0"/>
                <w:szCs w:val="21"/>
              </w:rPr>
              <w:t>0.26</w:t>
            </w:r>
          </w:p>
        </w:tc>
        <w:tc>
          <w:tcPr>
            <w:tcW w:w="2240" w:type="dxa"/>
            <w:tcBorders>
              <w:top w:val="single" w:color="auto" w:sz="4" w:space="0"/>
              <w:left w:val="nil"/>
              <w:bottom w:val="single" w:color="auto" w:sz="4" w:space="0"/>
              <w:right w:val="single" w:color="000000" w:sz="4" w:space="0"/>
            </w:tcBorders>
            <w:vAlign w:val="center"/>
          </w:tcPr>
          <w:p w14:paraId="4282CD03">
            <w:pPr>
              <w:widowControl/>
              <w:spacing w:line="200" w:lineRule="exact"/>
              <w:jc w:val="center"/>
              <w:rPr>
                <w:rFonts w:eastAsia="Times New Roman"/>
                <w:kern w:val="0"/>
                <w:szCs w:val="21"/>
              </w:rPr>
            </w:pPr>
            <w:r>
              <w:rPr>
                <w:kern w:val="0"/>
                <w:szCs w:val="21"/>
              </w:rPr>
              <w:t>　</w:t>
            </w:r>
            <w:r>
              <w:rPr>
                <w:rFonts w:hint="eastAsia"/>
                <w:kern w:val="0"/>
                <w:szCs w:val="21"/>
              </w:rPr>
              <w:t>0.8</w:t>
            </w:r>
          </w:p>
        </w:tc>
        <w:tc>
          <w:tcPr>
            <w:tcW w:w="1832" w:type="dxa"/>
            <w:tcBorders>
              <w:top w:val="single" w:color="auto" w:sz="4" w:space="0"/>
              <w:left w:val="nil"/>
              <w:bottom w:val="single" w:color="auto" w:sz="4" w:space="0"/>
              <w:right w:val="single" w:color="000000" w:sz="4" w:space="0"/>
            </w:tcBorders>
            <w:vAlign w:val="center"/>
          </w:tcPr>
          <w:p w14:paraId="3BACB8EC">
            <w:pPr>
              <w:widowControl/>
              <w:spacing w:line="200" w:lineRule="exact"/>
              <w:jc w:val="center"/>
              <w:rPr>
                <w:rFonts w:eastAsia="Times New Roman"/>
                <w:kern w:val="0"/>
                <w:szCs w:val="21"/>
              </w:rPr>
            </w:pPr>
            <w:r>
              <w:rPr>
                <w:rFonts w:hint="eastAsia"/>
                <w:kern w:val="0"/>
                <w:szCs w:val="21"/>
              </w:rPr>
              <w:t>1.00</w:t>
            </w:r>
            <w:r>
              <w:rPr>
                <w:kern w:val="0"/>
                <w:szCs w:val="21"/>
              </w:rPr>
              <w:t>　</w:t>
            </w:r>
          </w:p>
        </w:tc>
      </w:tr>
      <w:tr w14:paraId="738B3495">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EA4D21A">
            <w:pPr>
              <w:widowControl/>
              <w:spacing w:line="200" w:lineRule="exact"/>
              <w:jc w:val="left"/>
              <w:rPr>
                <w:rFonts w:eastAsia="Times New Roman"/>
                <w:kern w:val="0"/>
                <w:szCs w:val="21"/>
              </w:rPr>
            </w:pPr>
            <w:r>
              <w:rPr>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501BEB8D">
            <w:pPr>
              <w:widowControl/>
              <w:spacing w:line="200" w:lineRule="exact"/>
              <w:jc w:val="center"/>
              <w:rPr>
                <w:rFonts w:eastAsia="Times New Roman"/>
                <w:kern w:val="0"/>
                <w:szCs w:val="21"/>
              </w:rPr>
            </w:pPr>
            <w:r>
              <w:rPr>
                <w:rFonts w:hint="eastAsia"/>
                <w:kern w:val="0"/>
                <w:szCs w:val="21"/>
              </w:rPr>
              <w:t>74.76</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3E4C246C">
            <w:pPr>
              <w:widowControl/>
              <w:spacing w:line="200" w:lineRule="exact"/>
              <w:jc w:val="center"/>
              <w:rPr>
                <w:rFonts w:eastAsia="Times New Roman"/>
                <w:kern w:val="0"/>
                <w:szCs w:val="21"/>
              </w:rPr>
            </w:pPr>
            <w:r>
              <w:rPr>
                <w:kern w:val="0"/>
                <w:szCs w:val="21"/>
              </w:rPr>
              <w:t>　</w:t>
            </w:r>
            <w:r>
              <w:rPr>
                <w:rFonts w:hint="eastAsia"/>
                <w:kern w:val="0"/>
                <w:szCs w:val="21"/>
              </w:rPr>
              <w:t>43</w:t>
            </w:r>
          </w:p>
        </w:tc>
        <w:tc>
          <w:tcPr>
            <w:tcW w:w="1832" w:type="dxa"/>
            <w:tcBorders>
              <w:top w:val="single" w:color="auto" w:sz="4" w:space="0"/>
              <w:left w:val="nil"/>
              <w:bottom w:val="single" w:color="auto" w:sz="4" w:space="0"/>
              <w:right w:val="single" w:color="000000" w:sz="4" w:space="0"/>
            </w:tcBorders>
            <w:vAlign w:val="center"/>
          </w:tcPr>
          <w:p w14:paraId="4515681E">
            <w:pPr>
              <w:widowControl/>
              <w:spacing w:line="200" w:lineRule="exact"/>
              <w:jc w:val="center"/>
              <w:rPr>
                <w:rFonts w:eastAsia="Times New Roman"/>
                <w:kern w:val="0"/>
                <w:szCs w:val="21"/>
              </w:rPr>
            </w:pPr>
            <w:r>
              <w:rPr>
                <w:kern w:val="0"/>
                <w:szCs w:val="21"/>
              </w:rPr>
              <w:t>　</w:t>
            </w:r>
            <w:r>
              <w:rPr>
                <w:rFonts w:hint="eastAsia"/>
                <w:kern w:val="0"/>
                <w:szCs w:val="21"/>
              </w:rPr>
              <w:t>93.58</w:t>
            </w:r>
          </w:p>
        </w:tc>
      </w:tr>
      <w:tr w14:paraId="24BA6110">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77443F26">
            <w:pPr>
              <w:widowControl/>
              <w:spacing w:line="200" w:lineRule="exact"/>
              <w:jc w:val="left"/>
              <w:rPr>
                <w:rFonts w:eastAsia="Times New Roman"/>
                <w:kern w:val="0"/>
                <w:szCs w:val="21"/>
              </w:rPr>
            </w:pPr>
            <w:r>
              <w:rPr>
                <w:kern w:val="0"/>
                <w:szCs w:val="21"/>
              </w:rPr>
              <w:t xml:space="preserve"> 1、业务工作专项(一个项目一行)</w:t>
            </w:r>
          </w:p>
        </w:tc>
        <w:tc>
          <w:tcPr>
            <w:tcW w:w="2038" w:type="dxa"/>
            <w:tcBorders>
              <w:top w:val="single" w:color="auto" w:sz="4" w:space="0"/>
              <w:left w:val="nil"/>
              <w:bottom w:val="single" w:color="auto" w:sz="4" w:space="0"/>
              <w:right w:val="single" w:color="000000" w:sz="4" w:space="0"/>
            </w:tcBorders>
            <w:vAlign w:val="center"/>
          </w:tcPr>
          <w:p w14:paraId="47AE4E26">
            <w:pPr>
              <w:widowControl/>
              <w:spacing w:line="200" w:lineRule="exact"/>
              <w:jc w:val="center"/>
              <w:rPr>
                <w:rFonts w:eastAsia="Times New Roman"/>
                <w:kern w:val="0"/>
                <w:szCs w:val="21"/>
              </w:rPr>
            </w:pPr>
            <w:r>
              <w:rPr>
                <w:rFonts w:hint="eastAsia"/>
                <w:kern w:val="0"/>
                <w:szCs w:val="21"/>
              </w:rPr>
              <w:t>8.04</w:t>
            </w: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5713E418">
            <w:pPr>
              <w:widowControl/>
              <w:spacing w:line="200" w:lineRule="exact"/>
              <w:jc w:val="center"/>
              <w:rPr>
                <w:rFonts w:eastAsia="Times New Roman"/>
                <w:kern w:val="0"/>
                <w:szCs w:val="21"/>
              </w:rPr>
            </w:pP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19554495">
            <w:pPr>
              <w:widowControl/>
              <w:spacing w:line="200" w:lineRule="exact"/>
              <w:jc w:val="center"/>
              <w:rPr>
                <w:rFonts w:eastAsia="Times New Roman"/>
                <w:kern w:val="0"/>
                <w:szCs w:val="21"/>
              </w:rPr>
            </w:pPr>
          </w:p>
        </w:tc>
      </w:tr>
      <w:tr w14:paraId="5ABEA5D5">
        <w:tblPrEx>
          <w:tblCellMar>
            <w:top w:w="0" w:type="dxa"/>
            <w:left w:w="108" w:type="dxa"/>
            <w:bottom w:w="0" w:type="dxa"/>
            <w:right w:w="108" w:type="dxa"/>
          </w:tblCellMar>
        </w:tblPrEx>
        <w:trPr>
          <w:trHeight w:val="389" w:hRule="atLeast"/>
          <w:jc w:val="center"/>
        </w:trPr>
        <w:tc>
          <w:tcPr>
            <w:tcW w:w="3354" w:type="dxa"/>
            <w:tcBorders>
              <w:top w:val="nil"/>
              <w:left w:val="single" w:color="auto" w:sz="4" w:space="0"/>
              <w:bottom w:val="single" w:color="auto" w:sz="4" w:space="0"/>
              <w:right w:val="single" w:color="auto" w:sz="4" w:space="0"/>
            </w:tcBorders>
            <w:vAlign w:val="center"/>
          </w:tcPr>
          <w:p w14:paraId="05570B7B">
            <w:pPr>
              <w:widowControl/>
              <w:spacing w:line="200" w:lineRule="exact"/>
              <w:jc w:val="center"/>
              <w:rPr>
                <w:rFonts w:eastAsia="仿宋_GB2312"/>
                <w:kern w:val="0"/>
                <w:szCs w:val="21"/>
              </w:rPr>
            </w:pPr>
            <w:r>
              <w:rPr>
                <w:rFonts w:hint="eastAsia" w:ascii="仿宋_GB2312"/>
                <w:kern w:val="0"/>
                <w:szCs w:val="21"/>
              </w:rPr>
              <w:t>地震事务支出</w:t>
            </w:r>
          </w:p>
        </w:tc>
        <w:tc>
          <w:tcPr>
            <w:tcW w:w="2038" w:type="dxa"/>
            <w:tcBorders>
              <w:top w:val="single" w:color="auto" w:sz="4" w:space="0"/>
              <w:left w:val="nil"/>
              <w:bottom w:val="single" w:color="auto" w:sz="4" w:space="0"/>
              <w:right w:val="single" w:color="000000" w:sz="4" w:space="0"/>
            </w:tcBorders>
            <w:vAlign w:val="center"/>
          </w:tcPr>
          <w:p w14:paraId="52AE9D50">
            <w:pPr>
              <w:widowControl/>
              <w:spacing w:line="200" w:lineRule="exact"/>
              <w:jc w:val="center"/>
              <w:rPr>
                <w:kern w:val="0"/>
                <w:szCs w:val="21"/>
              </w:rPr>
            </w:pPr>
          </w:p>
        </w:tc>
        <w:tc>
          <w:tcPr>
            <w:tcW w:w="2240" w:type="dxa"/>
            <w:tcBorders>
              <w:top w:val="single" w:color="auto" w:sz="4" w:space="0"/>
              <w:left w:val="nil"/>
              <w:bottom w:val="single" w:color="auto" w:sz="4" w:space="0"/>
              <w:right w:val="single" w:color="000000" w:sz="4" w:space="0"/>
            </w:tcBorders>
            <w:vAlign w:val="center"/>
          </w:tcPr>
          <w:p w14:paraId="7EFD45C2">
            <w:pPr>
              <w:widowControl/>
              <w:spacing w:line="200" w:lineRule="exact"/>
              <w:jc w:val="center"/>
              <w:rPr>
                <w:kern w:val="0"/>
                <w:szCs w:val="21"/>
              </w:rPr>
            </w:pPr>
          </w:p>
        </w:tc>
        <w:tc>
          <w:tcPr>
            <w:tcW w:w="1832" w:type="dxa"/>
            <w:tcBorders>
              <w:top w:val="single" w:color="auto" w:sz="4" w:space="0"/>
              <w:left w:val="nil"/>
              <w:bottom w:val="single" w:color="auto" w:sz="4" w:space="0"/>
              <w:right w:val="single" w:color="000000" w:sz="4" w:space="0"/>
            </w:tcBorders>
            <w:vAlign w:val="center"/>
          </w:tcPr>
          <w:p w14:paraId="22F89823">
            <w:pPr>
              <w:widowControl/>
              <w:spacing w:line="200" w:lineRule="exact"/>
              <w:jc w:val="center"/>
              <w:rPr>
                <w:kern w:val="0"/>
                <w:szCs w:val="21"/>
              </w:rPr>
            </w:pPr>
            <w:r>
              <w:rPr>
                <w:rFonts w:hint="eastAsia"/>
                <w:kern w:val="0"/>
                <w:szCs w:val="21"/>
              </w:rPr>
              <w:t>22.46</w:t>
            </w:r>
          </w:p>
        </w:tc>
      </w:tr>
      <w:tr w14:paraId="6A3B76FB">
        <w:tblPrEx>
          <w:tblCellMar>
            <w:top w:w="0" w:type="dxa"/>
            <w:left w:w="108" w:type="dxa"/>
            <w:bottom w:w="0" w:type="dxa"/>
            <w:right w:w="108" w:type="dxa"/>
          </w:tblCellMar>
        </w:tblPrEx>
        <w:trPr>
          <w:trHeight w:val="406" w:hRule="atLeast"/>
          <w:jc w:val="center"/>
        </w:trPr>
        <w:tc>
          <w:tcPr>
            <w:tcW w:w="3354" w:type="dxa"/>
            <w:tcBorders>
              <w:top w:val="nil"/>
              <w:left w:val="single" w:color="auto" w:sz="4" w:space="0"/>
              <w:bottom w:val="single" w:color="auto" w:sz="4" w:space="0"/>
              <w:right w:val="single" w:color="auto" w:sz="4" w:space="0"/>
            </w:tcBorders>
            <w:vAlign w:val="center"/>
          </w:tcPr>
          <w:p w14:paraId="72471611">
            <w:pPr>
              <w:widowControl/>
              <w:spacing w:line="200" w:lineRule="exact"/>
              <w:jc w:val="center"/>
              <w:rPr>
                <w:rFonts w:ascii="仿宋_GB2312"/>
                <w:kern w:val="0"/>
                <w:szCs w:val="21"/>
              </w:rPr>
            </w:pPr>
            <w:r>
              <w:rPr>
                <w:rFonts w:hint="eastAsia" w:ascii="仿宋_GB2312"/>
                <w:kern w:val="0"/>
                <w:szCs w:val="21"/>
              </w:rPr>
              <w:t>科普活动经费</w:t>
            </w:r>
          </w:p>
        </w:tc>
        <w:tc>
          <w:tcPr>
            <w:tcW w:w="2038" w:type="dxa"/>
            <w:tcBorders>
              <w:top w:val="single" w:color="auto" w:sz="4" w:space="0"/>
              <w:left w:val="nil"/>
              <w:bottom w:val="single" w:color="auto" w:sz="4" w:space="0"/>
              <w:right w:val="single" w:color="000000" w:sz="4" w:space="0"/>
            </w:tcBorders>
            <w:vAlign w:val="center"/>
          </w:tcPr>
          <w:p w14:paraId="5F53979E">
            <w:pPr>
              <w:widowControl/>
              <w:spacing w:line="200" w:lineRule="exact"/>
              <w:jc w:val="center"/>
              <w:rPr>
                <w:kern w:val="0"/>
                <w:szCs w:val="21"/>
              </w:rPr>
            </w:pPr>
          </w:p>
        </w:tc>
        <w:tc>
          <w:tcPr>
            <w:tcW w:w="2240" w:type="dxa"/>
            <w:tcBorders>
              <w:top w:val="single" w:color="auto" w:sz="4" w:space="0"/>
              <w:left w:val="nil"/>
              <w:bottom w:val="single" w:color="auto" w:sz="4" w:space="0"/>
              <w:right w:val="single" w:color="000000" w:sz="4" w:space="0"/>
            </w:tcBorders>
            <w:vAlign w:val="center"/>
          </w:tcPr>
          <w:p w14:paraId="613B67EA">
            <w:pPr>
              <w:widowControl/>
              <w:spacing w:line="200" w:lineRule="exact"/>
              <w:jc w:val="center"/>
              <w:rPr>
                <w:kern w:val="0"/>
                <w:szCs w:val="21"/>
              </w:rPr>
            </w:pPr>
          </w:p>
        </w:tc>
        <w:tc>
          <w:tcPr>
            <w:tcW w:w="1832" w:type="dxa"/>
            <w:tcBorders>
              <w:top w:val="single" w:color="auto" w:sz="4" w:space="0"/>
              <w:left w:val="nil"/>
              <w:bottom w:val="single" w:color="auto" w:sz="4" w:space="0"/>
              <w:right w:val="single" w:color="000000" w:sz="4" w:space="0"/>
            </w:tcBorders>
            <w:vAlign w:val="center"/>
          </w:tcPr>
          <w:p w14:paraId="7AE4DD82">
            <w:pPr>
              <w:widowControl/>
              <w:spacing w:line="200" w:lineRule="exact"/>
              <w:jc w:val="center"/>
              <w:rPr>
                <w:kern w:val="0"/>
                <w:szCs w:val="21"/>
              </w:rPr>
            </w:pPr>
            <w:r>
              <w:rPr>
                <w:rFonts w:hint="eastAsia"/>
                <w:kern w:val="0"/>
                <w:szCs w:val="21"/>
              </w:rPr>
              <w:t>7.91</w:t>
            </w:r>
          </w:p>
        </w:tc>
      </w:tr>
      <w:tr w14:paraId="1D07A5FE">
        <w:tblPrEx>
          <w:tblCellMar>
            <w:top w:w="0" w:type="dxa"/>
            <w:left w:w="108" w:type="dxa"/>
            <w:bottom w:w="0" w:type="dxa"/>
            <w:right w:w="108" w:type="dxa"/>
          </w:tblCellMar>
        </w:tblPrEx>
        <w:trPr>
          <w:trHeight w:val="428" w:hRule="atLeast"/>
          <w:jc w:val="center"/>
        </w:trPr>
        <w:tc>
          <w:tcPr>
            <w:tcW w:w="3354" w:type="dxa"/>
            <w:tcBorders>
              <w:top w:val="nil"/>
              <w:left w:val="single" w:color="auto" w:sz="4" w:space="0"/>
              <w:bottom w:val="single" w:color="auto" w:sz="4" w:space="0"/>
              <w:right w:val="single" w:color="auto" w:sz="4" w:space="0"/>
            </w:tcBorders>
            <w:vAlign w:val="center"/>
          </w:tcPr>
          <w:p w14:paraId="6A745255">
            <w:pPr>
              <w:widowControl/>
              <w:spacing w:line="200" w:lineRule="exact"/>
              <w:jc w:val="center"/>
              <w:rPr>
                <w:rFonts w:ascii="仿宋_GB2312"/>
                <w:kern w:val="0"/>
                <w:szCs w:val="21"/>
              </w:rPr>
            </w:pPr>
            <w:r>
              <w:rPr>
                <w:rFonts w:hint="eastAsia" w:ascii="仿宋_GB2312"/>
                <w:kern w:val="0"/>
                <w:szCs w:val="21"/>
              </w:rPr>
              <w:t>地震灾害风险普查工作经费</w:t>
            </w:r>
          </w:p>
        </w:tc>
        <w:tc>
          <w:tcPr>
            <w:tcW w:w="2038" w:type="dxa"/>
            <w:tcBorders>
              <w:top w:val="single" w:color="auto" w:sz="4" w:space="0"/>
              <w:left w:val="nil"/>
              <w:bottom w:val="single" w:color="auto" w:sz="4" w:space="0"/>
              <w:right w:val="single" w:color="000000" w:sz="4" w:space="0"/>
            </w:tcBorders>
            <w:vAlign w:val="center"/>
          </w:tcPr>
          <w:p w14:paraId="647F1808">
            <w:pPr>
              <w:widowControl/>
              <w:spacing w:line="200" w:lineRule="exact"/>
              <w:jc w:val="center"/>
              <w:rPr>
                <w:kern w:val="0"/>
                <w:szCs w:val="21"/>
              </w:rPr>
            </w:pPr>
          </w:p>
        </w:tc>
        <w:tc>
          <w:tcPr>
            <w:tcW w:w="2240" w:type="dxa"/>
            <w:tcBorders>
              <w:top w:val="single" w:color="auto" w:sz="4" w:space="0"/>
              <w:left w:val="nil"/>
              <w:bottom w:val="single" w:color="auto" w:sz="4" w:space="0"/>
              <w:right w:val="single" w:color="000000" w:sz="4" w:space="0"/>
            </w:tcBorders>
            <w:vAlign w:val="center"/>
          </w:tcPr>
          <w:p w14:paraId="5B190B2E">
            <w:pPr>
              <w:widowControl/>
              <w:spacing w:line="200" w:lineRule="exact"/>
              <w:jc w:val="center"/>
              <w:rPr>
                <w:kern w:val="0"/>
                <w:szCs w:val="21"/>
              </w:rPr>
            </w:pPr>
          </w:p>
        </w:tc>
        <w:tc>
          <w:tcPr>
            <w:tcW w:w="1832" w:type="dxa"/>
            <w:tcBorders>
              <w:top w:val="single" w:color="auto" w:sz="4" w:space="0"/>
              <w:left w:val="nil"/>
              <w:bottom w:val="single" w:color="auto" w:sz="4" w:space="0"/>
              <w:right w:val="single" w:color="000000" w:sz="4" w:space="0"/>
            </w:tcBorders>
            <w:vAlign w:val="center"/>
          </w:tcPr>
          <w:p w14:paraId="61AD28EE">
            <w:pPr>
              <w:widowControl/>
              <w:spacing w:line="200" w:lineRule="exact"/>
              <w:jc w:val="center"/>
              <w:rPr>
                <w:kern w:val="0"/>
                <w:szCs w:val="21"/>
              </w:rPr>
            </w:pPr>
            <w:r>
              <w:rPr>
                <w:rFonts w:hint="eastAsia"/>
                <w:kern w:val="0"/>
                <w:szCs w:val="21"/>
              </w:rPr>
              <w:t>15.21</w:t>
            </w:r>
          </w:p>
        </w:tc>
      </w:tr>
      <w:tr w14:paraId="4E5E0095">
        <w:tblPrEx>
          <w:tblCellMar>
            <w:top w:w="0" w:type="dxa"/>
            <w:left w:w="108" w:type="dxa"/>
            <w:bottom w:w="0" w:type="dxa"/>
            <w:right w:w="108" w:type="dxa"/>
          </w:tblCellMar>
        </w:tblPrEx>
        <w:trPr>
          <w:trHeight w:val="364" w:hRule="atLeast"/>
          <w:jc w:val="center"/>
        </w:trPr>
        <w:tc>
          <w:tcPr>
            <w:tcW w:w="3354" w:type="dxa"/>
            <w:tcBorders>
              <w:top w:val="nil"/>
              <w:left w:val="single" w:color="auto" w:sz="4" w:space="0"/>
              <w:bottom w:val="single" w:color="auto" w:sz="4" w:space="0"/>
              <w:right w:val="single" w:color="auto" w:sz="4" w:space="0"/>
            </w:tcBorders>
            <w:vAlign w:val="center"/>
          </w:tcPr>
          <w:p w14:paraId="05252FE6">
            <w:pPr>
              <w:widowControl/>
              <w:spacing w:line="200" w:lineRule="exact"/>
              <w:jc w:val="center"/>
              <w:rPr>
                <w:rFonts w:ascii="仿宋_GB2312"/>
                <w:kern w:val="0"/>
                <w:szCs w:val="21"/>
              </w:rPr>
            </w:pPr>
            <w:r>
              <w:rPr>
                <w:rFonts w:hint="eastAsia"/>
                <w:kern w:val="0"/>
                <w:szCs w:val="21"/>
              </w:rPr>
              <w:t>安全监管</w:t>
            </w:r>
          </w:p>
        </w:tc>
        <w:tc>
          <w:tcPr>
            <w:tcW w:w="2038" w:type="dxa"/>
            <w:tcBorders>
              <w:top w:val="single" w:color="auto" w:sz="4" w:space="0"/>
              <w:left w:val="nil"/>
              <w:bottom w:val="single" w:color="auto" w:sz="4" w:space="0"/>
              <w:right w:val="single" w:color="000000" w:sz="4" w:space="0"/>
            </w:tcBorders>
            <w:vAlign w:val="center"/>
          </w:tcPr>
          <w:p w14:paraId="56F5CDD1">
            <w:pPr>
              <w:widowControl/>
              <w:spacing w:line="200" w:lineRule="exact"/>
              <w:jc w:val="center"/>
              <w:rPr>
                <w:kern w:val="0"/>
                <w:szCs w:val="21"/>
              </w:rPr>
            </w:pPr>
            <w:r>
              <w:rPr>
                <w:rFonts w:hint="eastAsia"/>
                <w:kern w:val="0"/>
                <w:szCs w:val="21"/>
              </w:rPr>
              <w:t>8.04</w:t>
            </w:r>
          </w:p>
        </w:tc>
        <w:tc>
          <w:tcPr>
            <w:tcW w:w="2240" w:type="dxa"/>
            <w:tcBorders>
              <w:top w:val="single" w:color="auto" w:sz="4" w:space="0"/>
              <w:left w:val="nil"/>
              <w:bottom w:val="single" w:color="auto" w:sz="4" w:space="0"/>
              <w:right w:val="single" w:color="000000" w:sz="4" w:space="0"/>
            </w:tcBorders>
            <w:vAlign w:val="center"/>
          </w:tcPr>
          <w:p w14:paraId="094CE7F9">
            <w:pPr>
              <w:widowControl/>
              <w:spacing w:line="200" w:lineRule="exact"/>
              <w:jc w:val="center"/>
              <w:rPr>
                <w:kern w:val="0"/>
                <w:szCs w:val="21"/>
              </w:rPr>
            </w:pPr>
          </w:p>
        </w:tc>
        <w:tc>
          <w:tcPr>
            <w:tcW w:w="1832" w:type="dxa"/>
            <w:tcBorders>
              <w:top w:val="single" w:color="auto" w:sz="4" w:space="0"/>
              <w:left w:val="nil"/>
              <w:bottom w:val="single" w:color="auto" w:sz="4" w:space="0"/>
              <w:right w:val="single" w:color="000000" w:sz="4" w:space="0"/>
            </w:tcBorders>
            <w:vAlign w:val="center"/>
          </w:tcPr>
          <w:p w14:paraId="161BAF4C">
            <w:pPr>
              <w:widowControl/>
              <w:spacing w:line="200" w:lineRule="exact"/>
              <w:jc w:val="center"/>
              <w:rPr>
                <w:kern w:val="0"/>
                <w:szCs w:val="21"/>
              </w:rPr>
            </w:pPr>
          </w:p>
        </w:tc>
      </w:tr>
      <w:tr w14:paraId="5076E033">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1C6A3563">
            <w:pPr>
              <w:widowControl/>
              <w:spacing w:line="200" w:lineRule="exact"/>
              <w:ind w:firstLine="210" w:firstLineChars="100"/>
              <w:jc w:val="left"/>
              <w:rPr>
                <w:kern w:val="0"/>
                <w:szCs w:val="21"/>
              </w:rPr>
            </w:pPr>
            <w:r>
              <w:rPr>
                <w:rFonts w:hint="eastAsia"/>
                <w:kern w:val="0"/>
                <w:szCs w:val="21"/>
              </w:rPr>
              <w:t>2</w:t>
            </w:r>
            <w:r>
              <w:rPr>
                <w:kern w:val="0"/>
                <w:szCs w:val="21"/>
              </w:rPr>
              <w:t>、</w:t>
            </w:r>
            <w:r>
              <w:rPr>
                <w:rFonts w:hint="eastAsia"/>
                <w:kern w:val="0"/>
                <w:szCs w:val="21"/>
              </w:rPr>
              <w:t>运行维护</w:t>
            </w:r>
            <w:r>
              <w:rPr>
                <w:kern w:val="0"/>
                <w:szCs w:val="21"/>
              </w:rPr>
              <w:t>专项(一个项目一行)</w:t>
            </w:r>
          </w:p>
        </w:tc>
        <w:tc>
          <w:tcPr>
            <w:tcW w:w="2038" w:type="dxa"/>
            <w:tcBorders>
              <w:top w:val="single" w:color="auto" w:sz="4" w:space="0"/>
              <w:left w:val="nil"/>
              <w:bottom w:val="single" w:color="auto" w:sz="4" w:space="0"/>
              <w:right w:val="single" w:color="000000" w:sz="4" w:space="0"/>
            </w:tcBorders>
            <w:vAlign w:val="center"/>
          </w:tcPr>
          <w:p w14:paraId="2C4BE8D2">
            <w:pPr>
              <w:widowControl/>
              <w:spacing w:line="200" w:lineRule="exact"/>
              <w:jc w:val="center"/>
              <w:rPr>
                <w:rFonts w:eastAsiaTheme="minorEastAsia"/>
                <w:kern w:val="0"/>
                <w:szCs w:val="21"/>
              </w:rPr>
            </w:pPr>
            <w:r>
              <w:rPr>
                <w:rFonts w:hint="eastAsia" w:eastAsiaTheme="minorEastAsia"/>
                <w:kern w:val="0"/>
                <w:szCs w:val="21"/>
              </w:rPr>
              <w:t>66.72</w:t>
            </w:r>
          </w:p>
        </w:tc>
        <w:tc>
          <w:tcPr>
            <w:tcW w:w="2240" w:type="dxa"/>
            <w:tcBorders>
              <w:top w:val="single" w:color="auto" w:sz="4" w:space="0"/>
              <w:left w:val="nil"/>
              <w:bottom w:val="single" w:color="auto" w:sz="4" w:space="0"/>
              <w:right w:val="single" w:color="000000" w:sz="4" w:space="0"/>
            </w:tcBorders>
            <w:vAlign w:val="center"/>
          </w:tcPr>
          <w:p w14:paraId="138C374F">
            <w:pPr>
              <w:widowControl/>
              <w:spacing w:line="200" w:lineRule="exact"/>
              <w:jc w:val="center"/>
              <w:rPr>
                <w:rFonts w:eastAsiaTheme="minorEastAsia"/>
                <w:kern w:val="0"/>
                <w:szCs w:val="21"/>
              </w:rPr>
            </w:pPr>
            <w:r>
              <w:rPr>
                <w:rFonts w:hint="eastAsia" w:eastAsiaTheme="minorEastAsia"/>
                <w:kern w:val="0"/>
                <w:szCs w:val="21"/>
              </w:rPr>
              <w:t>43</w:t>
            </w:r>
          </w:p>
        </w:tc>
        <w:tc>
          <w:tcPr>
            <w:tcW w:w="1832" w:type="dxa"/>
            <w:tcBorders>
              <w:top w:val="single" w:color="auto" w:sz="4" w:space="0"/>
              <w:left w:val="nil"/>
              <w:bottom w:val="single" w:color="auto" w:sz="4" w:space="0"/>
              <w:right w:val="single" w:color="000000" w:sz="4" w:space="0"/>
            </w:tcBorders>
            <w:vAlign w:val="center"/>
          </w:tcPr>
          <w:p w14:paraId="647C5E72">
            <w:pPr>
              <w:widowControl/>
              <w:spacing w:line="200" w:lineRule="exact"/>
              <w:jc w:val="center"/>
              <w:rPr>
                <w:rFonts w:eastAsiaTheme="minorEastAsia"/>
                <w:kern w:val="0"/>
                <w:szCs w:val="21"/>
              </w:rPr>
            </w:pPr>
            <w:r>
              <w:rPr>
                <w:rFonts w:hint="eastAsia" w:eastAsiaTheme="minorEastAsia"/>
                <w:kern w:val="0"/>
                <w:szCs w:val="21"/>
              </w:rPr>
              <w:t>47.98</w:t>
            </w:r>
          </w:p>
        </w:tc>
      </w:tr>
      <w:tr w14:paraId="2A83C234">
        <w:tblPrEx>
          <w:tblCellMar>
            <w:top w:w="0" w:type="dxa"/>
            <w:left w:w="108" w:type="dxa"/>
            <w:bottom w:w="0" w:type="dxa"/>
            <w:right w:w="108" w:type="dxa"/>
          </w:tblCellMar>
        </w:tblPrEx>
        <w:trPr>
          <w:trHeight w:val="323" w:hRule="atLeast"/>
          <w:jc w:val="center"/>
        </w:trPr>
        <w:tc>
          <w:tcPr>
            <w:tcW w:w="3354" w:type="dxa"/>
            <w:tcBorders>
              <w:top w:val="nil"/>
              <w:left w:val="single" w:color="auto" w:sz="4" w:space="0"/>
              <w:bottom w:val="single" w:color="auto" w:sz="4" w:space="0"/>
              <w:right w:val="single" w:color="auto" w:sz="4" w:space="0"/>
            </w:tcBorders>
            <w:vAlign w:val="center"/>
          </w:tcPr>
          <w:p w14:paraId="6671BCD5">
            <w:pPr>
              <w:widowControl/>
              <w:spacing w:line="200" w:lineRule="exact"/>
              <w:jc w:val="center"/>
              <w:rPr>
                <w:rFonts w:ascii="仿宋_GB2312"/>
                <w:kern w:val="0"/>
                <w:szCs w:val="21"/>
              </w:rPr>
            </w:pPr>
            <w:r>
              <w:rPr>
                <w:rFonts w:hint="eastAsia" w:ascii="仿宋_GB2312"/>
                <w:kern w:val="0"/>
                <w:szCs w:val="21"/>
              </w:rPr>
              <w:t>地震台维护经费</w:t>
            </w:r>
          </w:p>
        </w:tc>
        <w:tc>
          <w:tcPr>
            <w:tcW w:w="2038" w:type="dxa"/>
            <w:tcBorders>
              <w:top w:val="single" w:color="auto" w:sz="4" w:space="0"/>
              <w:left w:val="nil"/>
              <w:bottom w:val="single" w:color="auto" w:sz="4" w:space="0"/>
              <w:right w:val="single" w:color="000000" w:sz="4" w:space="0"/>
            </w:tcBorders>
            <w:vAlign w:val="center"/>
          </w:tcPr>
          <w:p w14:paraId="49F95404">
            <w:pPr>
              <w:widowControl/>
              <w:spacing w:line="200" w:lineRule="exact"/>
              <w:jc w:val="center"/>
              <w:rPr>
                <w:rFonts w:eastAsiaTheme="minorEastAsia"/>
                <w:kern w:val="0"/>
                <w:szCs w:val="21"/>
              </w:rPr>
            </w:pPr>
            <w:r>
              <w:rPr>
                <w:rFonts w:hint="eastAsia" w:eastAsiaTheme="minorEastAsia"/>
                <w:kern w:val="0"/>
                <w:szCs w:val="21"/>
              </w:rPr>
              <w:t>46.46</w:t>
            </w:r>
          </w:p>
        </w:tc>
        <w:tc>
          <w:tcPr>
            <w:tcW w:w="2240" w:type="dxa"/>
            <w:tcBorders>
              <w:top w:val="single" w:color="auto" w:sz="4" w:space="0"/>
              <w:left w:val="nil"/>
              <w:bottom w:val="single" w:color="auto" w:sz="4" w:space="0"/>
              <w:right w:val="single" w:color="000000" w:sz="4" w:space="0"/>
            </w:tcBorders>
            <w:vAlign w:val="center"/>
          </w:tcPr>
          <w:p w14:paraId="4E718105">
            <w:pPr>
              <w:widowControl/>
              <w:spacing w:line="200" w:lineRule="exact"/>
              <w:jc w:val="center"/>
              <w:rPr>
                <w:rFonts w:eastAsiaTheme="minorEastAsia"/>
                <w:kern w:val="0"/>
                <w:szCs w:val="21"/>
              </w:rPr>
            </w:pPr>
            <w:r>
              <w:rPr>
                <w:rFonts w:hint="eastAsia" w:eastAsiaTheme="minorEastAsia"/>
                <w:kern w:val="0"/>
                <w:szCs w:val="21"/>
              </w:rPr>
              <w:t>23</w:t>
            </w:r>
          </w:p>
        </w:tc>
        <w:tc>
          <w:tcPr>
            <w:tcW w:w="1832" w:type="dxa"/>
            <w:tcBorders>
              <w:top w:val="single" w:color="auto" w:sz="4" w:space="0"/>
              <w:left w:val="nil"/>
              <w:bottom w:val="single" w:color="auto" w:sz="4" w:space="0"/>
              <w:right w:val="single" w:color="000000" w:sz="4" w:space="0"/>
            </w:tcBorders>
            <w:vAlign w:val="center"/>
          </w:tcPr>
          <w:p w14:paraId="0DC4FEC6">
            <w:pPr>
              <w:widowControl/>
              <w:spacing w:line="200" w:lineRule="exact"/>
              <w:jc w:val="center"/>
              <w:rPr>
                <w:rFonts w:eastAsiaTheme="minorEastAsia"/>
                <w:kern w:val="0"/>
                <w:szCs w:val="21"/>
              </w:rPr>
            </w:pPr>
            <w:r>
              <w:rPr>
                <w:rFonts w:hint="eastAsia" w:eastAsiaTheme="minorEastAsia"/>
                <w:kern w:val="0"/>
                <w:szCs w:val="21"/>
              </w:rPr>
              <w:t>27.98</w:t>
            </w:r>
          </w:p>
        </w:tc>
      </w:tr>
      <w:tr w14:paraId="04A4D0FD">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4BF13909">
            <w:pPr>
              <w:widowControl/>
              <w:spacing w:line="200" w:lineRule="exact"/>
              <w:jc w:val="center"/>
              <w:rPr>
                <w:rFonts w:ascii="仿宋_GB2312"/>
                <w:kern w:val="0"/>
                <w:szCs w:val="21"/>
              </w:rPr>
            </w:pPr>
            <w:r>
              <w:rPr>
                <w:rFonts w:hint="eastAsia" w:ascii="仿宋_GB2312"/>
                <w:kern w:val="0"/>
                <w:szCs w:val="21"/>
              </w:rPr>
              <w:t>地震局民居保安专项资金</w:t>
            </w:r>
          </w:p>
        </w:tc>
        <w:tc>
          <w:tcPr>
            <w:tcW w:w="2038" w:type="dxa"/>
            <w:tcBorders>
              <w:top w:val="single" w:color="auto" w:sz="4" w:space="0"/>
              <w:left w:val="nil"/>
              <w:bottom w:val="single" w:color="auto" w:sz="4" w:space="0"/>
              <w:right w:val="single" w:color="000000" w:sz="4" w:space="0"/>
            </w:tcBorders>
            <w:vAlign w:val="center"/>
          </w:tcPr>
          <w:p w14:paraId="124F9A86">
            <w:pPr>
              <w:widowControl/>
              <w:spacing w:line="200" w:lineRule="exact"/>
              <w:jc w:val="center"/>
              <w:rPr>
                <w:rFonts w:eastAsiaTheme="minorEastAsia"/>
                <w:kern w:val="0"/>
                <w:szCs w:val="21"/>
              </w:rPr>
            </w:pPr>
            <w:r>
              <w:rPr>
                <w:rFonts w:hint="eastAsia" w:eastAsiaTheme="minorEastAsia"/>
                <w:kern w:val="0"/>
                <w:szCs w:val="21"/>
              </w:rPr>
              <w:t>20.26</w:t>
            </w:r>
          </w:p>
        </w:tc>
        <w:tc>
          <w:tcPr>
            <w:tcW w:w="2240" w:type="dxa"/>
            <w:tcBorders>
              <w:top w:val="single" w:color="auto" w:sz="4" w:space="0"/>
              <w:left w:val="nil"/>
              <w:bottom w:val="single" w:color="auto" w:sz="4" w:space="0"/>
              <w:right w:val="single" w:color="000000" w:sz="4" w:space="0"/>
            </w:tcBorders>
            <w:vAlign w:val="center"/>
          </w:tcPr>
          <w:p w14:paraId="6D7486BB">
            <w:pPr>
              <w:widowControl/>
              <w:spacing w:line="200" w:lineRule="exact"/>
              <w:jc w:val="center"/>
              <w:rPr>
                <w:rFonts w:eastAsiaTheme="minorEastAsia"/>
                <w:kern w:val="0"/>
                <w:szCs w:val="21"/>
              </w:rPr>
            </w:pPr>
            <w:r>
              <w:rPr>
                <w:rFonts w:hint="eastAsia" w:eastAsiaTheme="minorEastAsia"/>
                <w:kern w:val="0"/>
                <w:szCs w:val="21"/>
              </w:rPr>
              <w:t>20</w:t>
            </w:r>
          </w:p>
        </w:tc>
        <w:tc>
          <w:tcPr>
            <w:tcW w:w="1832" w:type="dxa"/>
            <w:tcBorders>
              <w:top w:val="single" w:color="auto" w:sz="4" w:space="0"/>
              <w:left w:val="nil"/>
              <w:bottom w:val="single" w:color="auto" w:sz="4" w:space="0"/>
              <w:right w:val="single" w:color="000000" w:sz="4" w:space="0"/>
            </w:tcBorders>
            <w:vAlign w:val="center"/>
          </w:tcPr>
          <w:p w14:paraId="15A1C13B">
            <w:pPr>
              <w:widowControl/>
              <w:spacing w:line="200" w:lineRule="exact"/>
              <w:jc w:val="center"/>
              <w:rPr>
                <w:rFonts w:eastAsiaTheme="minorEastAsia"/>
                <w:kern w:val="0"/>
                <w:szCs w:val="21"/>
              </w:rPr>
            </w:pPr>
            <w:r>
              <w:rPr>
                <w:rFonts w:hint="eastAsia" w:eastAsiaTheme="minorEastAsia"/>
                <w:kern w:val="0"/>
                <w:szCs w:val="21"/>
              </w:rPr>
              <w:t>20</w:t>
            </w:r>
          </w:p>
        </w:tc>
      </w:tr>
      <w:tr w14:paraId="7A3E2C2C">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0F6D8EE7">
            <w:pPr>
              <w:widowControl/>
              <w:spacing w:line="200" w:lineRule="exact"/>
              <w:jc w:val="left"/>
              <w:rPr>
                <w:rFonts w:eastAsia="Times New Roman"/>
                <w:kern w:val="0"/>
                <w:szCs w:val="21"/>
              </w:rPr>
            </w:pPr>
            <w:r>
              <w:rPr>
                <w:kern w:val="0"/>
                <w:szCs w:val="21"/>
              </w:rPr>
              <w:t xml:space="preserve"> </w:t>
            </w:r>
            <w:r>
              <w:rPr>
                <w:rFonts w:hint="eastAsia"/>
                <w:kern w:val="0"/>
                <w:szCs w:val="21"/>
              </w:rPr>
              <w:t>3</w:t>
            </w:r>
            <w:r>
              <w:rPr>
                <w:kern w:val="0"/>
                <w:szCs w:val="21"/>
              </w:rPr>
              <w:t>、</w:t>
            </w:r>
            <w:r>
              <w:rPr>
                <w:rFonts w:hint="eastAsia"/>
                <w:kern w:val="0"/>
                <w:szCs w:val="21"/>
              </w:rPr>
              <w:t>市级专项资金</w:t>
            </w:r>
            <w:r>
              <w:rPr>
                <w:kern w:val="0"/>
                <w:szCs w:val="21"/>
              </w:rPr>
              <w:t>(一个项目一行)</w:t>
            </w:r>
          </w:p>
        </w:tc>
        <w:tc>
          <w:tcPr>
            <w:tcW w:w="2038" w:type="dxa"/>
            <w:tcBorders>
              <w:top w:val="single" w:color="auto" w:sz="4" w:space="0"/>
              <w:left w:val="nil"/>
              <w:bottom w:val="single" w:color="auto" w:sz="4" w:space="0"/>
              <w:right w:val="single" w:color="000000" w:sz="4" w:space="0"/>
            </w:tcBorders>
            <w:vAlign w:val="center"/>
          </w:tcPr>
          <w:p w14:paraId="47AB4015">
            <w:pPr>
              <w:widowControl/>
              <w:spacing w:line="200" w:lineRule="exact"/>
              <w:jc w:val="center"/>
              <w:rPr>
                <w:rFonts w:eastAsia="Times New Roman"/>
                <w:kern w:val="0"/>
                <w:szCs w:val="21"/>
              </w:rPr>
            </w:pPr>
            <w:r>
              <w:rPr>
                <w:kern w:val="0"/>
                <w:szCs w:val="21"/>
              </w:rPr>
              <w:t>　</w:t>
            </w:r>
          </w:p>
        </w:tc>
        <w:tc>
          <w:tcPr>
            <w:tcW w:w="2240" w:type="dxa"/>
            <w:tcBorders>
              <w:top w:val="single" w:color="auto" w:sz="4" w:space="0"/>
              <w:left w:val="nil"/>
              <w:bottom w:val="single" w:color="auto" w:sz="4" w:space="0"/>
              <w:right w:val="single" w:color="000000" w:sz="4" w:space="0"/>
            </w:tcBorders>
            <w:vAlign w:val="center"/>
          </w:tcPr>
          <w:p w14:paraId="400DE1DF">
            <w:pPr>
              <w:widowControl/>
              <w:spacing w:line="200" w:lineRule="exact"/>
              <w:jc w:val="center"/>
              <w:rPr>
                <w:rFonts w:eastAsia="Times New Roman"/>
                <w:kern w:val="0"/>
                <w:szCs w:val="21"/>
              </w:rPr>
            </w:pP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460AA2A0">
            <w:pPr>
              <w:widowControl/>
              <w:spacing w:line="200" w:lineRule="exact"/>
              <w:jc w:val="center"/>
              <w:rPr>
                <w:rFonts w:eastAsia="Times New Roman"/>
                <w:kern w:val="0"/>
                <w:szCs w:val="21"/>
              </w:rPr>
            </w:pPr>
            <w:r>
              <w:rPr>
                <w:kern w:val="0"/>
                <w:szCs w:val="21"/>
              </w:rPr>
              <w:t>　</w:t>
            </w:r>
          </w:p>
        </w:tc>
      </w:tr>
      <w:tr w14:paraId="1F975831">
        <w:tblPrEx>
          <w:tblCellMar>
            <w:top w:w="0" w:type="dxa"/>
            <w:left w:w="108" w:type="dxa"/>
            <w:bottom w:w="0" w:type="dxa"/>
            <w:right w:w="108" w:type="dxa"/>
          </w:tblCellMar>
        </w:tblPrEx>
        <w:trPr>
          <w:trHeight w:val="370" w:hRule="atLeast"/>
          <w:jc w:val="center"/>
        </w:trPr>
        <w:tc>
          <w:tcPr>
            <w:tcW w:w="3354" w:type="dxa"/>
            <w:tcBorders>
              <w:top w:val="nil"/>
              <w:left w:val="single" w:color="auto" w:sz="4" w:space="0"/>
              <w:bottom w:val="single" w:color="auto" w:sz="4" w:space="0"/>
              <w:right w:val="single" w:color="auto" w:sz="4" w:space="0"/>
            </w:tcBorders>
            <w:vAlign w:val="center"/>
          </w:tcPr>
          <w:p w14:paraId="020F987A">
            <w:pPr>
              <w:widowControl/>
              <w:spacing w:line="200" w:lineRule="exact"/>
              <w:jc w:val="left"/>
              <w:rPr>
                <w:rFonts w:eastAsia="Times New Roman"/>
                <w:kern w:val="0"/>
                <w:szCs w:val="21"/>
              </w:rPr>
            </w:pPr>
            <w:r>
              <w:rPr>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6C0825E4">
            <w:pPr>
              <w:widowControl/>
              <w:spacing w:line="200" w:lineRule="exact"/>
              <w:jc w:val="center"/>
              <w:rPr>
                <w:rFonts w:eastAsia="Times New Roman"/>
                <w:kern w:val="0"/>
                <w:szCs w:val="21"/>
              </w:rPr>
            </w:pPr>
            <w:r>
              <w:rPr>
                <w:kern w:val="0"/>
                <w:szCs w:val="21"/>
              </w:rPr>
              <w:t>　</w:t>
            </w:r>
            <w:r>
              <w:rPr>
                <w:rFonts w:hint="eastAsia"/>
                <w:kern w:val="0"/>
                <w:szCs w:val="21"/>
              </w:rPr>
              <w:t>0.00</w:t>
            </w:r>
          </w:p>
        </w:tc>
        <w:tc>
          <w:tcPr>
            <w:tcW w:w="2240" w:type="dxa"/>
            <w:tcBorders>
              <w:top w:val="single" w:color="auto" w:sz="4" w:space="0"/>
              <w:left w:val="nil"/>
              <w:bottom w:val="single" w:color="auto" w:sz="4" w:space="0"/>
              <w:right w:val="single" w:color="000000" w:sz="4" w:space="0"/>
            </w:tcBorders>
            <w:vAlign w:val="center"/>
          </w:tcPr>
          <w:p w14:paraId="1444483D">
            <w:pPr>
              <w:widowControl/>
              <w:spacing w:line="200" w:lineRule="exact"/>
              <w:jc w:val="center"/>
              <w:rPr>
                <w:rFonts w:eastAsia="Times New Roman"/>
                <w:kern w:val="0"/>
                <w:szCs w:val="21"/>
              </w:rPr>
            </w:pPr>
            <w:r>
              <w:rPr>
                <w:rFonts w:hint="eastAsia"/>
                <w:kern w:val="0"/>
                <w:szCs w:val="21"/>
              </w:rPr>
              <w:t>0.00</w:t>
            </w:r>
            <w:r>
              <w:rPr>
                <w:kern w:val="0"/>
                <w:szCs w:val="21"/>
              </w:rPr>
              <w:t>　</w:t>
            </w:r>
          </w:p>
        </w:tc>
        <w:tc>
          <w:tcPr>
            <w:tcW w:w="1832" w:type="dxa"/>
            <w:tcBorders>
              <w:top w:val="single" w:color="auto" w:sz="4" w:space="0"/>
              <w:left w:val="nil"/>
              <w:bottom w:val="single" w:color="auto" w:sz="4" w:space="0"/>
              <w:right w:val="single" w:color="000000" w:sz="4" w:space="0"/>
            </w:tcBorders>
            <w:vAlign w:val="center"/>
          </w:tcPr>
          <w:p w14:paraId="6DB2B8AA">
            <w:pPr>
              <w:widowControl/>
              <w:spacing w:line="200" w:lineRule="exact"/>
              <w:jc w:val="center"/>
              <w:rPr>
                <w:rFonts w:eastAsia="Times New Roman"/>
                <w:kern w:val="0"/>
                <w:szCs w:val="21"/>
              </w:rPr>
            </w:pPr>
            <w:r>
              <w:rPr>
                <w:rFonts w:hint="eastAsia"/>
                <w:kern w:val="0"/>
                <w:szCs w:val="21"/>
              </w:rPr>
              <w:t>0.00</w:t>
            </w:r>
            <w:r>
              <w:rPr>
                <w:kern w:val="0"/>
                <w:szCs w:val="21"/>
              </w:rPr>
              <w:t>　</w:t>
            </w:r>
          </w:p>
        </w:tc>
      </w:tr>
      <w:tr w14:paraId="64FD11F9">
        <w:tblPrEx>
          <w:tblCellMar>
            <w:top w:w="0" w:type="dxa"/>
            <w:left w:w="108" w:type="dxa"/>
            <w:bottom w:w="0" w:type="dxa"/>
            <w:right w:w="108" w:type="dxa"/>
          </w:tblCellMar>
        </w:tblPrEx>
        <w:trPr>
          <w:trHeight w:val="381" w:hRule="atLeast"/>
          <w:jc w:val="center"/>
        </w:trPr>
        <w:tc>
          <w:tcPr>
            <w:tcW w:w="3354" w:type="dxa"/>
            <w:tcBorders>
              <w:top w:val="nil"/>
              <w:left w:val="single" w:color="auto" w:sz="4" w:space="0"/>
              <w:bottom w:val="single" w:color="auto" w:sz="4" w:space="0"/>
              <w:right w:val="single" w:color="auto" w:sz="4" w:space="0"/>
            </w:tcBorders>
            <w:vAlign w:val="center"/>
          </w:tcPr>
          <w:p w14:paraId="0E25AA64">
            <w:pPr>
              <w:widowControl/>
              <w:spacing w:line="200" w:lineRule="exact"/>
              <w:jc w:val="center"/>
              <w:rPr>
                <w:rFonts w:eastAsia="Times New Roman"/>
                <w:kern w:val="0"/>
                <w:szCs w:val="21"/>
              </w:rPr>
            </w:pPr>
            <w:r>
              <w:rPr>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0268A39E">
            <w:pPr>
              <w:widowControl/>
              <w:spacing w:line="200" w:lineRule="exact"/>
              <w:jc w:val="center"/>
              <w:rPr>
                <w:rFonts w:eastAsia="Times New Roman"/>
                <w:kern w:val="0"/>
                <w:szCs w:val="21"/>
              </w:rPr>
            </w:pPr>
            <w:r>
              <w:rPr>
                <w:kern w:val="0"/>
                <w:szCs w:val="21"/>
              </w:rPr>
              <w:t>　</w:t>
            </w:r>
          </w:p>
        </w:tc>
      </w:tr>
    </w:tbl>
    <w:p w14:paraId="38F67486">
      <w:pPr>
        <w:rPr>
          <w:kern w:val="0"/>
          <w:sz w:val="22"/>
        </w:rPr>
      </w:pPr>
      <w:r>
        <w:rPr>
          <w:kern w:val="0"/>
          <w:sz w:val="22"/>
        </w:rPr>
        <w:t>说明：“项目支出”需要填报基本支出以外的所有项目支出情况，包括业务工作项目、运行维护项目和市级专项资金等；“公用经费”填报基本支出中的一般商品和服务支出。</w:t>
      </w:r>
    </w:p>
    <w:p w14:paraId="75E6ADD4">
      <w:pPr>
        <w:rPr>
          <w:kern w:val="0"/>
          <w:sz w:val="22"/>
        </w:rPr>
      </w:pPr>
    </w:p>
    <w:p w14:paraId="22312C24">
      <w:pPr>
        <w:rPr>
          <w:kern w:val="0"/>
          <w:sz w:val="22"/>
        </w:rPr>
      </w:pPr>
    </w:p>
    <w:p w14:paraId="1A24CB79">
      <w:pPr>
        <w:rPr>
          <w:rFonts w:eastAsia="黑体"/>
          <w:sz w:val="32"/>
          <w:szCs w:val="32"/>
        </w:rPr>
      </w:pPr>
      <w:r>
        <w:rPr>
          <w:rFonts w:eastAsia="仿宋_GB2312"/>
          <w:sz w:val="24"/>
        </w:rPr>
        <w:t>填表人：</w:t>
      </w:r>
      <w:r>
        <w:rPr>
          <w:rFonts w:hint="eastAsia" w:eastAsia="仿宋_GB2312"/>
          <w:sz w:val="24"/>
        </w:rPr>
        <w:t xml:space="preserve">黄荟琳 </w:t>
      </w:r>
      <w:r>
        <w:rPr>
          <w:rFonts w:eastAsia="仿宋_GB2312"/>
          <w:sz w:val="24"/>
        </w:rPr>
        <w:t>填报日期：</w:t>
      </w:r>
      <w:r>
        <w:rPr>
          <w:rFonts w:hint="eastAsia" w:eastAsia="仿宋_GB2312"/>
          <w:sz w:val="24"/>
        </w:rPr>
        <w:t>2022年4月15日</w:t>
      </w:r>
      <w:r>
        <w:rPr>
          <w:rFonts w:eastAsia="仿宋_GB2312"/>
          <w:sz w:val="24"/>
        </w:rPr>
        <w:t>联系电话：</w:t>
      </w:r>
      <w:r>
        <w:rPr>
          <w:rFonts w:hint="eastAsia" w:eastAsia="仿宋_GB2312"/>
          <w:sz w:val="24"/>
        </w:rPr>
        <w:t>18073483067</w:t>
      </w:r>
      <w:r>
        <w:rPr>
          <w:rFonts w:eastAsia="仿宋_GB2312"/>
          <w:sz w:val="24"/>
        </w:rPr>
        <w:t xml:space="preserve"> 单位负责人签字：</w:t>
      </w:r>
    </w:p>
    <w:p w14:paraId="43AAD76A">
      <w:pPr>
        <w:rPr>
          <w:kern w:val="0"/>
          <w:sz w:val="22"/>
        </w:rPr>
      </w:pPr>
    </w:p>
    <w:p w14:paraId="17E23C92">
      <w:pPr>
        <w:rPr>
          <w:rFonts w:eastAsia="黑体"/>
        </w:rPr>
      </w:pPr>
      <w:r>
        <w:rPr>
          <w:rFonts w:eastAsia="黑体"/>
          <w:sz w:val="32"/>
          <w:szCs w:val="32"/>
        </w:rPr>
        <w:t>附件3</w:t>
      </w:r>
    </w:p>
    <w:tbl>
      <w:tblPr>
        <w:tblStyle w:val="8"/>
        <w:tblW w:w="10103" w:type="dxa"/>
        <w:jc w:val="center"/>
        <w:tblLayout w:type="fixed"/>
        <w:tblCellMar>
          <w:top w:w="0" w:type="dxa"/>
          <w:left w:w="108" w:type="dxa"/>
          <w:bottom w:w="0" w:type="dxa"/>
          <w:right w:w="108" w:type="dxa"/>
        </w:tblCellMar>
      </w:tblPr>
      <w:tblGrid>
        <w:gridCol w:w="1083"/>
        <w:gridCol w:w="852"/>
        <w:gridCol w:w="850"/>
        <w:gridCol w:w="1276"/>
        <w:gridCol w:w="1603"/>
        <w:gridCol w:w="807"/>
        <w:gridCol w:w="992"/>
        <w:gridCol w:w="851"/>
        <w:gridCol w:w="655"/>
        <w:gridCol w:w="59"/>
        <w:gridCol w:w="1075"/>
      </w:tblGrid>
      <w:tr w14:paraId="3E34D8B8">
        <w:tblPrEx>
          <w:tblCellMar>
            <w:top w:w="0" w:type="dxa"/>
            <w:left w:w="108" w:type="dxa"/>
            <w:bottom w:w="0" w:type="dxa"/>
            <w:right w:w="108" w:type="dxa"/>
          </w:tblCellMar>
        </w:tblPrEx>
        <w:trPr>
          <w:trHeight w:val="549" w:hRule="atLeast"/>
          <w:jc w:val="center"/>
        </w:trPr>
        <w:tc>
          <w:tcPr>
            <w:tcW w:w="10103" w:type="dxa"/>
            <w:gridSpan w:val="11"/>
            <w:tcBorders>
              <w:top w:val="nil"/>
              <w:left w:val="nil"/>
              <w:bottom w:val="nil"/>
              <w:right w:val="nil"/>
            </w:tcBorders>
            <w:shd w:val="clear" w:color="auto" w:fill="auto"/>
            <w:noWrap/>
            <w:vAlign w:val="center"/>
          </w:tcPr>
          <w:p w14:paraId="286D32FD">
            <w:pPr>
              <w:ind w:firstLine="2880" w:firstLineChars="800"/>
              <w:rPr>
                <w:rFonts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7E30AE0E">
        <w:tblPrEx>
          <w:tblCellMar>
            <w:top w:w="0" w:type="dxa"/>
            <w:left w:w="108" w:type="dxa"/>
            <w:bottom w:w="0" w:type="dxa"/>
            <w:right w:w="108" w:type="dxa"/>
          </w:tblCellMar>
        </w:tblPrEx>
        <w:trPr>
          <w:trHeight w:val="270" w:hRule="atLeast"/>
          <w:jc w:val="center"/>
        </w:trPr>
        <w:tc>
          <w:tcPr>
            <w:tcW w:w="10103" w:type="dxa"/>
            <w:gridSpan w:val="11"/>
            <w:tcBorders>
              <w:top w:val="nil"/>
              <w:left w:val="nil"/>
              <w:bottom w:val="single" w:color="auto" w:sz="4" w:space="0"/>
              <w:right w:val="nil"/>
            </w:tcBorders>
            <w:shd w:val="clear" w:color="auto" w:fill="auto"/>
            <w:noWrap/>
            <w:vAlign w:val="center"/>
          </w:tcPr>
          <w:p w14:paraId="798610EE">
            <w:pPr>
              <w:widowControl/>
              <w:rPr>
                <w:color w:val="000000"/>
                <w:kern w:val="0"/>
                <w:sz w:val="22"/>
              </w:rPr>
            </w:pPr>
            <w:r>
              <w:rPr>
                <w:color w:val="000000"/>
                <w:kern w:val="0"/>
                <w:sz w:val="22"/>
              </w:rPr>
              <w:t>填报单位： （盖章）</w:t>
            </w:r>
            <w:r>
              <w:rPr>
                <w:rFonts w:hint="eastAsia"/>
                <w:color w:val="000000"/>
                <w:kern w:val="0"/>
                <w:sz w:val="22"/>
              </w:rPr>
              <w:t xml:space="preserve">                 （2021年度）</w:t>
            </w:r>
          </w:p>
        </w:tc>
      </w:tr>
      <w:tr w14:paraId="1F853A17">
        <w:tblPrEx>
          <w:tblCellMar>
            <w:top w:w="0" w:type="dxa"/>
            <w:left w:w="108" w:type="dxa"/>
            <w:bottom w:w="0" w:type="dxa"/>
            <w:right w:w="108" w:type="dxa"/>
          </w:tblCellMar>
        </w:tblPrEx>
        <w:trPr>
          <w:trHeight w:val="480" w:hRule="atLeast"/>
          <w:jc w:val="center"/>
        </w:trPr>
        <w:tc>
          <w:tcPr>
            <w:tcW w:w="1083" w:type="dxa"/>
            <w:tcBorders>
              <w:top w:val="nil"/>
              <w:left w:val="single" w:color="auto" w:sz="4" w:space="0"/>
              <w:bottom w:val="single" w:color="auto" w:sz="4" w:space="0"/>
              <w:right w:val="single" w:color="auto" w:sz="4" w:space="0"/>
            </w:tcBorders>
            <w:shd w:val="clear" w:color="auto" w:fill="auto"/>
            <w:noWrap/>
            <w:vAlign w:val="center"/>
          </w:tcPr>
          <w:p w14:paraId="7D469641">
            <w:pPr>
              <w:widowControl/>
              <w:spacing w:line="260" w:lineRule="exact"/>
              <w:jc w:val="center"/>
              <w:rPr>
                <w:rFonts w:eastAsia="仿宋_GB2312"/>
                <w:color w:val="000000"/>
                <w:kern w:val="0"/>
                <w:szCs w:val="21"/>
              </w:rPr>
            </w:pPr>
            <w:r>
              <w:rPr>
                <w:rFonts w:eastAsia="仿宋_GB2312"/>
                <w:color w:val="000000"/>
                <w:kern w:val="0"/>
                <w:szCs w:val="21"/>
              </w:rPr>
              <w:t>部门名称</w:t>
            </w: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3FA3F3BA">
            <w:pPr>
              <w:widowControl/>
              <w:jc w:val="center"/>
              <w:rPr>
                <w:rFonts w:eastAsia="仿宋_GB2312"/>
                <w:color w:val="000000"/>
                <w:kern w:val="0"/>
                <w:szCs w:val="21"/>
              </w:rPr>
            </w:pPr>
            <w:r>
              <w:rPr>
                <w:rFonts w:eastAsia="仿宋_GB2312"/>
                <w:color w:val="000000"/>
                <w:kern w:val="0"/>
                <w:szCs w:val="21"/>
              </w:rPr>
              <w:t>　</w:t>
            </w:r>
          </w:p>
        </w:tc>
        <w:tc>
          <w:tcPr>
            <w:tcW w:w="1799" w:type="dxa"/>
            <w:gridSpan w:val="2"/>
            <w:tcBorders>
              <w:top w:val="single" w:color="auto" w:sz="4" w:space="0"/>
              <w:left w:val="nil"/>
              <w:bottom w:val="single" w:color="auto" w:sz="4" w:space="0"/>
              <w:right w:val="single" w:color="000000" w:sz="4" w:space="0"/>
            </w:tcBorders>
            <w:shd w:val="clear" w:color="auto" w:fill="auto"/>
            <w:noWrap/>
            <w:vAlign w:val="center"/>
          </w:tcPr>
          <w:p w14:paraId="42738F1B">
            <w:pPr>
              <w:widowControl/>
              <w:jc w:val="center"/>
              <w:rPr>
                <w:rFonts w:eastAsia="仿宋_GB2312"/>
                <w:color w:val="000000"/>
                <w:kern w:val="0"/>
                <w:szCs w:val="21"/>
              </w:rPr>
            </w:pPr>
            <w:r>
              <w:rPr>
                <w:rFonts w:hint="eastAsia" w:eastAsia="仿宋_GB2312"/>
                <w:color w:val="000000"/>
                <w:kern w:val="0"/>
                <w:szCs w:val="21"/>
              </w:rPr>
              <w:t>执行数</w:t>
            </w:r>
          </w:p>
        </w:tc>
        <w:tc>
          <w:tcPr>
            <w:tcW w:w="851" w:type="dxa"/>
            <w:tcBorders>
              <w:top w:val="single" w:color="auto" w:sz="4" w:space="0"/>
              <w:left w:val="nil"/>
              <w:bottom w:val="single" w:color="auto" w:sz="4" w:space="0"/>
              <w:right w:val="single" w:color="000000" w:sz="4" w:space="0"/>
            </w:tcBorders>
            <w:shd w:val="clear" w:color="auto" w:fill="auto"/>
            <w:noWrap/>
          </w:tcPr>
          <w:p w14:paraId="2DA3F652">
            <w:pPr>
              <w:widowControl/>
              <w:spacing w:line="240" w:lineRule="exact"/>
              <w:jc w:val="center"/>
              <w:rPr>
                <w:rFonts w:eastAsia="仿宋_GB2312"/>
                <w:color w:val="000000"/>
                <w:kern w:val="0"/>
                <w:szCs w:val="21"/>
              </w:rPr>
            </w:pPr>
            <w:r>
              <w:rPr>
                <w:rFonts w:hint="eastAsia" w:eastAsia="仿宋_GB2312"/>
                <w:color w:val="000000"/>
                <w:kern w:val="0"/>
                <w:szCs w:val="21"/>
              </w:rPr>
              <w:t>资金执行率</w:t>
            </w:r>
          </w:p>
        </w:tc>
        <w:tc>
          <w:tcPr>
            <w:tcW w:w="714" w:type="dxa"/>
            <w:gridSpan w:val="2"/>
            <w:tcBorders>
              <w:top w:val="single" w:color="auto" w:sz="4" w:space="0"/>
              <w:left w:val="nil"/>
              <w:bottom w:val="single" w:color="auto" w:sz="4" w:space="0"/>
              <w:right w:val="single" w:color="000000" w:sz="4" w:space="0"/>
            </w:tcBorders>
            <w:shd w:val="clear" w:color="auto" w:fill="auto"/>
            <w:noWrap/>
            <w:vAlign w:val="center"/>
          </w:tcPr>
          <w:p w14:paraId="224D7936">
            <w:pPr>
              <w:widowControl/>
              <w:jc w:val="center"/>
              <w:rPr>
                <w:rFonts w:eastAsia="仿宋_GB2312"/>
                <w:color w:val="000000"/>
                <w:kern w:val="0"/>
                <w:szCs w:val="21"/>
              </w:rPr>
            </w:pPr>
            <w:r>
              <w:rPr>
                <w:rFonts w:hint="eastAsia" w:eastAsia="仿宋_GB2312"/>
                <w:color w:val="000000"/>
                <w:kern w:val="0"/>
                <w:szCs w:val="21"/>
              </w:rPr>
              <w:t>分值</w:t>
            </w:r>
          </w:p>
        </w:tc>
        <w:tc>
          <w:tcPr>
            <w:tcW w:w="1075" w:type="dxa"/>
            <w:tcBorders>
              <w:top w:val="single" w:color="auto" w:sz="4" w:space="0"/>
              <w:left w:val="nil"/>
              <w:bottom w:val="single" w:color="auto" w:sz="4" w:space="0"/>
              <w:right w:val="single" w:color="000000" w:sz="4" w:space="0"/>
            </w:tcBorders>
            <w:shd w:val="clear" w:color="auto" w:fill="auto"/>
            <w:noWrap/>
            <w:vAlign w:val="center"/>
          </w:tcPr>
          <w:p w14:paraId="352D48B4">
            <w:pPr>
              <w:widowControl/>
              <w:jc w:val="center"/>
              <w:rPr>
                <w:rFonts w:eastAsia="仿宋_GB2312"/>
                <w:color w:val="000000"/>
                <w:kern w:val="0"/>
                <w:szCs w:val="21"/>
              </w:rPr>
            </w:pPr>
            <w:r>
              <w:rPr>
                <w:rFonts w:hint="eastAsia" w:eastAsia="仿宋_GB2312"/>
                <w:color w:val="000000"/>
                <w:kern w:val="0"/>
                <w:szCs w:val="21"/>
              </w:rPr>
              <w:t>得分</w:t>
            </w:r>
          </w:p>
        </w:tc>
      </w:tr>
      <w:tr w14:paraId="747FBF29">
        <w:tblPrEx>
          <w:tblCellMar>
            <w:top w:w="0" w:type="dxa"/>
            <w:left w:w="108" w:type="dxa"/>
            <w:bottom w:w="0" w:type="dxa"/>
            <w:right w:w="108" w:type="dxa"/>
          </w:tblCellMar>
        </w:tblPrEx>
        <w:trPr>
          <w:trHeight w:val="395" w:hRule="atLeast"/>
          <w:jc w:val="center"/>
        </w:trPr>
        <w:tc>
          <w:tcPr>
            <w:tcW w:w="1083" w:type="dxa"/>
            <w:vMerge w:val="restart"/>
            <w:tcBorders>
              <w:top w:val="nil"/>
              <w:left w:val="single" w:color="auto" w:sz="4" w:space="0"/>
              <w:right w:val="single" w:color="auto" w:sz="4" w:space="0"/>
            </w:tcBorders>
            <w:shd w:val="clear" w:color="auto" w:fill="auto"/>
            <w:noWrap/>
            <w:vAlign w:val="center"/>
          </w:tcPr>
          <w:p w14:paraId="15F960B8">
            <w:pPr>
              <w:widowControl/>
              <w:spacing w:line="260" w:lineRule="exact"/>
              <w:jc w:val="center"/>
              <w:rPr>
                <w:rFonts w:eastAsia="仿宋_GB2312"/>
                <w:color w:val="000000"/>
                <w:kern w:val="0"/>
                <w:szCs w:val="21"/>
              </w:rPr>
            </w:pPr>
            <w:r>
              <w:rPr>
                <w:rFonts w:eastAsia="仿宋_GB2312"/>
                <w:color w:val="000000"/>
                <w:kern w:val="0"/>
                <w:szCs w:val="21"/>
              </w:rPr>
              <w:t>年度预算</w:t>
            </w:r>
          </w:p>
          <w:p w14:paraId="0DC37EE6">
            <w:pPr>
              <w:widowControl/>
              <w:spacing w:line="260" w:lineRule="exact"/>
              <w:jc w:val="center"/>
              <w:rPr>
                <w:rFonts w:eastAsia="仿宋_GB2312"/>
                <w:color w:val="000000"/>
                <w:kern w:val="0"/>
                <w:szCs w:val="21"/>
              </w:rPr>
            </w:pPr>
            <w:r>
              <w:rPr>
                <w:rFonts w:eastAsia="仿宋_GB2312"/>
                <w:color w:val="000000"/>
                <w:kern w:val="0"/>
                <w:szCs w:val="21"/>
              </w:rPr>
              <w:t>申请（万元）</w:t>
            </w: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04AEBFBB">
            <w:pPr>
              <w:widowControl/>
              <w:rPr>
                <w:rFonts w:eastAsia="仿宋_GB2312"/>
                <w:color w:val="000000"/>
                <w:kern w:val="0"/>
                <w:szCs w:val="21"/>
              </w:rPr>
            </w:pPr>
            <w:r>
              <w:rPr>
                <w:rFonts w:eastAsia="仿宋_GB2312"/>
                <w:color w:val="000000"/>
                <w:kern w:val="0"/>
                <w:szCs w:val="21"/>
              </w:rPr>
              <w:t>资金总额：</w:t>
            </w:r>
            <w:r>
              <w:rPr>
                <w:rFonts w:hint="eastAsia" w:eastAsia="仿宋_GB2312"/>
                <w:color w:val="000000"/>
                <w:kern w:val="0"/>
                <w:szCs w:val="21"/>
              </w:rPr>
              <w:t>178.87万元</w:t>
            </w:r>
          </w:p>
        </w:tc>
        <w:tc>
          <w:tcPr>
            <w:tcW w:w="1799" w:type="dxa"/>
            <w:gridSpan w:val="2"/>
            <w:tcBorders>
              <w:top w:val="single" w:color="auto" w:sz="4" w:space="0"/>
              <w:left w:val="nil"/>
              <w:bottom w:val="single" w:color="auto" w:sz="4" w:space="0"/>
              <w:right w:val="single" w:color="000000" w:sz="4" w:space="0"/>
            </w:tcBorders>
            <w:shd w:val="clear" w:color="auto" w:fill="auto"/>
            <w:noWrap/>
            <w:vAlign w:val="center"/>
          </w:tcPr>
          <w:p w14:paraId="30EFDBD0">
            <w:pPr>
              <w:widowControl/>
              <w:rPr>
                <w:rFonts w:eastAsia="仿宋_GB2312"/>
                <w:color w:val="000000"/>
                <w:kern w:val="0"/>
                <w:szCs w:val="21"/>
              </w:rPr>
            </w:pPr>
            <w:r>
              <w:rPr>
                <w:rFonts w:hint="eastAsia" w:eastAsia="仿宋_GB2312"/>
                <w:color w:val="000000"/>
                <w:kern w:val="0"/>
                <w:szCs w:val="21"/>
              </w:rPr>
              <w:t>233.03万元</w:t>
            </w:r>
          </w:p>
        </w:tc>
        <w:tc>
          <w:tcPr>
            <w:tcW w:w="851" w:type="dxa"/>
            <w:tcBorders>
              <w:top w:val="single" w:color="auto" w:sz="4" w:space="0"/>
              <w:left w:val="nil"/>
              <w:bottom w:val="single" w:color="auto" w:sz="4" w:space="0"/>
              <w:right w:val="single" w:color="000000" w:sz="4" w:space="0"/>
            </w:tcBorders>
            <w:shd w:val="clear" w:color="auto" w:fill="auto"/>
            <w:noWrap/>
            <w:vAlign w:val="center"/>
          </w:tcPr>
          <w:p w14:paraId="21DCE01E">
            <w:pPr>
              <w:widowControl/>
              <w:rPr>
                <w:rFonts w:eastAsia="仿宋_GB2312"/>
                <w:color w:val="000000"/>
                <w:kern w:val="0"/>
                <w:szCs w:val="21"/>
              </w:rPr>
            </w:pPr>
            <w:r>
              <w:rPr>
                <w:rFonts w:hint="eastAsia" w:eastAsia="仿宋_GB2312"/>
                <w:color w:val="000000"/>
                <w:kern w:val="0"/>
                <w:szCs w:val="21"/>
              </w:rPr>
              <w:t>130.28%</w:t>
            </w:r>
          </w:p>
        </w:tc>
        <w:tc>
          <w:tcPr>
            <w:tcW w:w="714" w:type="dxa"/>
            <w:gridSpan w:val="2"/>
            <w:tcBorders>
              <w:top w:val="single" w:color="auto" w:sz="4" w:space="0"/>
              <w:left w:val="nil"/>
              <w:bottom w:val="single" w:color="auto" w:sz="4" w:space="0"/>
              <w:right w:val="single" w:color="000000" w:sz="4" w:space="0"/>
            </w:tcBorders>
            <w:shd w:val="clear" w:color="auto" w:fill="auto"/>
            <w:noWrap/>
            <w:vAlign w:val="center"/>
          </w:tcPr>
          <w:p w14:paraId="3D9E536D">
            <w:pPr>
              <w:widowControl/>
              <w:ind w:firstLine="420" w:firstLineChars="200"/>
              <w:rPr>
                <w:rFonts w:eastAsia="仿宋_GB2312"/>
                <w:color w:val="000000"/>
                <w:kern w:val="0"/>
                <w:szCs w:val="21"/>
              </w:rPr>
            </w:pPr>
            <w:r>
              <w:rPr>
                <w:rFonts w:hint="eastAsia" w:eastAsia="仿宋_GB2312"/>
                <w:color w:val="000000"/>
                <w:kern w:val="0"/>
                <w:szCs w:val="21"/>
              </w:rPr>
              <w:t>10</w:t>
            </w:r>
          </w:p>
        </w:tc>
        <w:tc>
          <w:tcPr>
            <w:tcW w:w="1075" w:type="dxa"/>
            <w:tcBorders>
              <w:top w:val="single" w:color="auto" w:sz="4" w:space="0"/>
              <w:left w:val="nil"/>
              <w:bottom w:val="single" w:color="auto" w:sz="4" w:space="0"/>
              <w:right w:val="single" w:color="000000" w:sz="4" w:space="0"/>
            </w:tcBorders>
            <w:shd w:val="clear" w:color="auto" w:fill="auto"/>
            <w:noWrap/>
            <w:vAlign w:val="center"/>
          </w:tcPr>
          <w:p w14:paraId="1E03FAE1">
            <w:pPr>
              <w:widowControl/>
              <w:rPr>
                <w:rFonts w:eastAsia="仿宋_GB2312"/>
                <w:color w:val="000000"/>
                <w:kern w:val="0"/>
                <w:szCs w:val="21"/>
              </w:rPr>
            </w:pPr>
            <w:r>
              <w:rPr>
                <w:rFonts w:hint="eastAsia" w:eastAsia="仿宋_GB2312"/>
                <w:color w:val="000000"/>
                <w:kern w:val="0"/>
                <w:szCs w:val="21"/>
              </w:rPr>
              <w:t>10</w:t>
            </w:r>
          </w:p>
        </w:tc>
      </w:tr>
      <w:tr w14:paraId="65E470B1">
        <w:tblPrEx>
          <w:tblCellMar>
            <w:top w:w="0" w:type="dxa"/>
            <w:left w:w="108" w:type="dxa"/>
            <w:bottom w:w="0" w:type="dxa"/>
            <w:right w:w="108" w:type="dxa"/>
          </w:tblCellMar>
        </w:tblPrEx>
        <w:trPr>
          <w:trHeight w:val="370" w:hRule="atLeast"/>
          <w:jc w:val="center"/>
        </w:trPr>
        <w:tc>
          <w:tcPr>
            <w:tcW w:w="1083" w:type="dxa"/>
            <w:vMerge w:val="continue"/>
            <w:tcBorders>
              <w:left w:val="single" w:color="auto" w:sz="4" w:space="0"/>
              <w:right w:val="single" w:color="auto" w:sz="4" w:space="0"/>
            </w:tcBorders>
            <w:shd w:val="clear" w:color="auto" w:fill="auto"/>
            <w:noWrap/>
            <w:vAlign w:val="center"/>
          </w:tcPr>
          <w:p w14:paraId="52F0C1F2">
            <w:pPr>
              <w:widowControl/>
              <w:spacing w:line="260" w:lineRule="exact"/>
              <w:jc w:val="center"/>
              <w:rPr>
                <w:rFonts w:eastAsia="仿宋_GB2312"/>
                <w:color w:val="000000"/>
                <w:kern w:val="0"/>
                <w:szCs w:val="21"/>
              </w:rPr>
            </w:pP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264E1D24">
            <w:pPr>
              <w:widowControl/>
              <w:rPr>
                <w:rFonts w:eastAsia="仿宋_GB2312"/>
                <w:color w:val="000000"/>
                <w:kern w:val="0"/>
                <w:szCs w:val="21"/>
              </w:rPr>
            </w:pPr>
            <w:r>
              <w:rPr>
                <w:rFonts w:eastAsia="仿宋_GB2312"/>
                <w:color w:val="000000"/>
                <w:kern w:val="0"/>
                <w:szCs w:val="21"/>
              </w:rPr>
              <w:t>按收入性质分：</w:t>
            </w:r>
            <w:r>
              <w:rPr>
                <w:rFonts w:hint="eastAsia" w:eastAsia="仿宋_GB2312"/>
                <w:color w:val="000000"/>
                <w:kern w:val="0"/>
                <w:szCs w:val="21"/>
              </w:rPr>
              <w:t xml:space="preserve">                         </w:t>
            </w:r>
          </w:p>
        </w:tc>
        <w:tc>
          <w:tcPr>
            <w:tcW w:w="4439" w:type="dxa"/>
            <w:gridSpan w:val="6"/>
            <w:tcBorders>
              <w:top w:val="single" w:color="auto" w:sz="4" w:space="0"/>
              <w:left w:val="nil"/>
              <w:bottom w:val="single" w:color="auto" w:sz="4" w:space="0"/>
              <w:right w:val="single" w:color="000000" w:sz="4" w:space="0"/>
            </w:tcBorders>
            <w:shd w:val="clear" w:color="auto" w:fill="auto"/>
            <w:noWrap/>
            <w:vAlign w:val="center"/>
          </w:tcPr>
          <w:p w14:paraId="1D1924C3">
            <w:pPr>
              <w:widowControl/>
              <w:rPr>
                <w:rFonts w:eastAsia="仿宋_GB2312"/>
                <w:color w:val="000000"/>
                <w:kern w:val="0"/>
                <w:szCs w:val="21"/>
              </w:rPr>
            </w:pPr>
            <w:r>
              <w:rPr>
                <w:rFonts w:hint="eastAsia" w:eastAsia="仿宋_GB2312"/>
                <w:color w:val="000000"/>
                <w:kern w:val="0"/>
                <w:szCs w:val="21"/>
              </w:rPr>
              <w:t>按支出性质分：</w:t>
            </w:r>
          </w:p>
        </w:tc>
      </w:tr>
      <w:tr w14:paraId="439A450B">
        <w:tblPrEx>
          <w:tblCellMar>
            <w:top w:w="0" w:type="dxa"/>
            <w:left w:w="108" w:type="dxa"/>
            <w:bottom w:w="0" w:type="dxa"/>
            <w:right w:w="108" w:type="dxa"/>
          </w:tblCellMar>
        </w:tblPrEx>
        <w:trPr>
          <w:trHeight w:val="355" w:hRule="atLeast"/>
          <w:jc w:val="center"/>
        </w:trPr>
        <w:tc>
          <w:tcPr>
            <w:tcW w:w="1083" w:type="dxa"/>
            <w:vMerge w:val="continue"/>
            <w:tcBorders>
              <w:left w:val="single" w:color="auto" w:sz="4" w:space="0"/>
              <w:right w:val="single" w:color="auto" w:sz="4" w:space="0"/>
            </w:tcBorders>
            <w:shd w:val="clear" w:color="auto" w:fill="auto"/>
            <w:noWrap/>
            <w:vAlign w:val="center"/>
          </w:tcPr>
          <w:p w14:paraId="3CB92D38">
            <w:pPr>
              <w:widowControl/>
              <w:spacing w:line="260" w:lineRule="exact"/>
              <w:jc w:val="center"/>
              <w:rPr>
                <w:rFonts w:eastAsia="仿宋_GB2312"/>
                <w:color w:val="000000"/>
                <w:kern w:val="0"/>
                <w:szCs w:val="21"/>
              </w:rPr>
            </w:pP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662D6856">
            <w:pPr>
              <w:widowControl/>
              <w:rPr>
                <w:rFonts w:eastAsia="仿宋_GB2312"/>
                <w:color w:val="000000"/>
                <w:kern w:val="0"/>
                <w:szCs w:val="21"/>
              </w:rPr>
            </w:pPr>
            <w:r>
              <w:rPr>
                <w:rFonts w:eastAsia="仿宋_GB2312"/>
                <w:color w:val="000000"/>
                <w:kern w:val="0"/>
                <w:szCs w:val="21"/>
              </w:rPr>
              <w:t>其中： 一般公共预算收入：</w:t>
            </w:r>
            <w:r>
              <w:rPr>
                <w:rFonts w:hint="eastAsia" w:eastAsia="仿宋_GB2312"/>
                <w:color w:val="000000"/>
                <w:kern w:val="0"/>
                <w:szCs w:val="21"/>
              </w:rPr>
              <w:t>178.87万元</w:t>
            </w:r>
          </w:p>
        </w:tc>
        <w:tc>
          <w:tcPr>
            <w:tcW w:w="4439" w:type="dxa"/>
            <w:gridSpan w:val="6"/>
            <w:tcBorders>
              <w:top w:val="single" w:color="auto" w:sz="4" w:space="0"/>
              <w:left w:val="nil"/>
              <w:bottom w:val="single" w:color="auto" w:sz="4" w:space="0"/>
              <w:right w:val="single" w:color="000000" w:sz="4" w:space="0"/>
            </w:tcBorders>
            <w:shd w:val="clear" w:color="auto" w:fill="auto"/>
            <w:noWrap/>
            <w:vAlign w:val="center"/>
          </w:tcPr>
          <w:p w14:paraId="79B4C2B6">
            <w:pPr>
              <w:widowControl/>
              <w:rPr>
                <w:rFonts w:eastAsia="仿宋_GB2312"/>
                <w:color w:val="000000"/>
                <w:kern w:val="0"/>
                <w:szCs w:val="21"/>
              </w:rPr>
            </w:pPr>
            <w:r>
              <w:rPr>
                <w:rFonts w:hint="eastAsia" w:eastAsia="仿宋_GB2312"/>
                <w:color w:val="000000"/>
                <w:kern w:val="0"/>
                <w:szCs w:val="21"/>
              </w:rPr>
              <w:t xml:space="preserve"> 其中：基本支出：135.87万元</w:t>
            </w:r>
          </w:p>
        </w:tc>
      </w:tr>
      <w:tr w14:paraId="67A98409">
        <w:tblPrEx>
          <w:tblCellMar>
            <w:top w:w="0" w:type="dxa"/>
            <w:left w:w="108" w:type="dxa"/>
            <w:bottom w:w="0" w:type="dxa"/>
            <w:right w:w="108" w:type="dxa"/>
          </w:tblCellMar>
        </w:tblPrEx>
        <w:trPr>
          <w:trHeight w:val="385" w:hRule="atLeast"/>
          <w:jc w:val="center"/>
        </w:trPr>
        <w:tc>
          <w:tcPr>
            <w:tcW w:w="1083" w:type="dxa"/>
            <w:vMerge w:val="continue"/>
            <w:tcBorders>
              <w:left w:val="single" w:color="auto" w:sz="4" w:space="0"/>
              <w:right w:val="single" w:color="auto" w:sz="4" w:space="0"/>
            </w:tcBorders>
            <w:shd w:val="clear" w:color="auto" w:fill="auto"/>
            <w:noWrap/>
            <w:vAlign w:val="center"/>
          </w:tcPr>
          <w:p w14:paraId="53E616B8">
            <w:pPr>
              <w:widowControl/>
              <w:spacing w:line="260" w:lineRule="exact"/>
              <w:jc w:val="center"/>
              <w:rPr>
                <w:rFonts w:eastAsia="仿宋_GB2312"/>
                <w:color w:val="000000"/>
                <w:kern w:val="0"/>
                <w:szCs w:val="21"/>
              </w:rPr>
            </w:pP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43BE69D6">
            <w:pPr>
              <w:widowControl/>
              <w:ind w:firstLine="840" w:firstLineChars="400"/>
              <w:rPr>
                <w:rFonts w:eastAsia="仿宋_GB2312"/>
                <w:color w:val="000000"/>
                <w:kern w:val="0"/>
                <w:szCs w:val="21"/>
              </w:rPr>
            </w:pPr>
            <w:r>
              <w:rPr>
                <w:rFonts w:eastAsia="仿宋_GB2312"/>
                <w:color w:val="000000"/>
                <w:kern w:val="0"/>
                <w:szCs w:val="21"/>
              </w:rPr>
              <w:t>政府性基金拨款：</w:t>
            </w:r>
            <w:r>
              <w:rPr>
                <w:rFonts w:hint="eastAsia" w:eastAsia="仿宋_GB2312"/>
                <w:color w:val="000000"/>
                <w:kern w:val="0"/>
                <w:szCs w:val="21"/>
              </w:rPr>
              <w:t>0.00</w:t>
            </w:r>
          </w:p>
        </w:tc>
        <w:tc>
          <w:tcPr>
            <w:tcW w:w="4439" w:type="dxa"/>
            <w:gridSpan w:val="6"/>
            <w:tcBorders>
              <w:top w:val="single" w:color="auto" w:sz="4" w:space="0"/>
              <w:left w:val="nil"/>
              <w:bottom w:val="single" w:color="auto" w:sz="4" w:space="0"/>
              <w:right w:val="single" w:color="000000" w:sz="4" w:space="0"/>
            </w:tcBorders>
            <w:shd w:val="clear" w:color="auto" w:fill="auto"/>
            <w:noWrap/>
            <w:vAlign w:val="center"/>
          </w:tcPr>
          <w:p w14:paraId="000D9E49">
            <w:pPr>
              <w:widowControl/>
              <w:ind w:firstLine="840" w:firstLineChars="400"/>
              <w:rPr>
                <w:rFonts w:eastAsia="仿宋_GB2312"/>
                <w:color w:val="000000"/>
                <w:kern w:val="0"/>
                <w:szCs w:val="21"/>
              </w:rPr>
            </w:pPr>
            <w:r>
              <w:rPr>
                <w:rFonts w:hint="eastAsia" w:eastAsia="仿宋_GB2312"/>
                <w:color w:val="000000"/>
                <w:kern w:val="0"/>
                <w:szCs w:val="21"/>
              </w:rPr>
              <w:t>项目支出：43万元</w:t>
            </w:r>
          </w:p>
        </w:tc>
      </w:tr>
      <w:tr w14:paraId="5BD1EFE2">
        <w:tblPrEx>
          <w:tblCellMar>
            <w:top w:w="0" w:type="dxa"/>
            <w:left w:w="108" w:type="dxa"/>
            <w:bottom w:w="0" w:type="dxa"/>
            <w:right w:w="108" w:type="dxa"/>
          </w:tblCellMar>
        </w:tblPrEx>
        <w:trPr>
          <w:trHeight w:val="385" w:hRule="atLeast"/>
          <w:jc w:val="center"/>
        </w:trPr>
        <w:tc>
          <w:tcPr>
            <w:tcW w:w="1083" w:type="dxa"/>
            <w:vMerge w:val="continue"/>
            <w:tcBorders>
              <w:left w:val="single" w:color="auto" w:sz="4" w:space="0"/>
              <w:right w:val="single" w:color="auto" w:sz="4" w:space="0"/>
            </w:tcBorders>
            <w:shd w:val="clear" w:color="auto" w:fill="auto"/>
            <w:noWrap/>
            <w:vAlign w:val="center"/>
          </w:tcPr>
          <w:p w14:paraId="680932D2">
            <w:pPr>
              <w:widowControl/>
              <w:spacing w:line="260" w:lineRule="exact"/>
              <w:jc w:val="center"/>
              <w:rPr>
                <w:rFonts w:eastAsia="仿宋_GB2312"/>
                <w:color w:val="000000"/>
                <w:kern w:val="0"/>
                <w:szCs w:val="21"/>
              </w:rPr>
            </w:pP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05643E1A">
            <w:pPr>
              <w:widowControl/>
              <w:jc w:val="left"/>
              <w:rPr>
                <w:rFonts w:eastAsia="仿宋_GB2312"/>
                <w:color w:val="000000"/>
                <w:kern w:val="0"/>
                <w:szCs w:val="21"/>
              </w:rPr>
            </w:pPr>
            <w:r>
              <w:rPr>
                <w:rFonts w:eastAsia="仿宋_GB2312"/>
                <w:color w:val="000000"/>
                <w:kern w:val="0"/>
                <w:szCs w:val="21"/>
              </w:rPr>
              <w:t>纳入专户管理的非税收入拨款：</w:t>
            </w:r>
            <w:r>
              <w:rPr>
                <w:rFonts w:hint="eastAsia" w:eastAsia="仿宋_GB2312"/>
                <w:color w:val="000000"/>
                <w:kern w:val="0"/>
                <w:szCs w:val="21"/>
              </w:rPr>
              <w:t>0.00</w:t>
            </w:r>
          </w:p>
        </w:tc>
        <w:tc>
          <w:tcPr>
            <w:tcW w:w="4439" w:type="dxa"/>
            <w:gridSpan w:val="6"/>
            <w:tcBorders>
              <w:top w:val="single" w:color="auto" w:sz="4" w:space="0"/>
              <w:left w:val="nil"/>
              <w:bottom w:val="single" w:color="auto" w:sz="4" w:space="0"/>
              <w:right w:val="single" w:color="000000" w:sz="4" w:space="0"/>
            </w:tcBorders>
            <w:shd w:val="clear" w:color="auto" w:fill="auto"/>
            <w:noWrap/>
            <w:vAlign w:val="center"/>
          </w:tcPr>
          <w:p w14:paraId="73BF5FD0">
            <w:pPr>
              <w:widowControl/>
              <w:jc w:val="left"/>
              <w:rPr>
                <w:rFonts w:eastAsia="仿宋_GB2312"/>
                <w:color w:val="000000"/>
                <w:kern w:val="0"/>
                <w:szCs w:val="21"/>
              </w:rPr>
            </w:pPr>
          </w:p>
        </w:tc>
      </w:tr>
      <w:tr w14:paraId="7DAECC5D">
        <w:tblPrEx>
          <w:tblCellMar>
            <w:top w:w="0" w:type="dxa"/>
            <w:left w:w="108" w:type="dxa"/>
            <w:bottom w:w="0" w:type="dxa"/>
            <w:right w:w="108" w:type="dxa"/>
          </w:tblCellMar>
        </w:tblPrEx>
        <w:trPr>
          <w:trHeight w:val="375" w:hRule="atLeast"/>
          <w:jc w:val="center"/>
        </w:trPr>
        <w:tc>
          <w:tcPr>
            <w:tcW w:w="1083" w:type="dxa"/>
            <w:vMerge w:val="continue"/>
            <w:tcBorders>
              <w:left w:val="single" w:color="auto" w:sz="4" w:space="0"/>
              <w:bottom w:val="single" w:color="auto" w:sz="4" w:space="0"/>
              <w:right w:val="single" w:color="auto" w:sz="4" w:space="0"/>
            </w:tcBorders>
            <w:shd w:val="clear" w:color="auto" w:fill="auto"/>
            <w:noWrap/>
            <w:vAlign w:val="center"/>
          </w:tcPr>
          <w:p w14:paraId="46840715">
            <w:pPr>
              <w:widowControl/>
              <w:spacing w:line="260" w:lineRule="exact"/>
              <w:jc w:val="center"/>
              <w:rPr>
                <w:rFonts w:eastAsia="仿宋_GB2312"/>
                <w:color w:val="000000"/>
                <w:kern w:val="0"/>
                <w:szCs w:val="21"/>
              </w:rPr>
            </w:pPr>
          </w:p>
        </w:tc>
        <w:tc>
          <w:tcPr>
            <w:tcW w:w="4581" w:type="dxa"/>
            <w:gridSpan w:val="4"/>
            <w:tcBorders>
              <w:top w:val="single" w:color="auto" w:sz="4" w:space="0"/>
              <w:left w:val="nil"/>
              <w:bottom w:val="single" w:color="auto" w:sz="4" w:space="0"/>
              <w:right w:val="single" w:color="000000" w:sz="4" w:space="0"/>
            </w:tcBorders>
            <w:shd w:val="clear" w:color="auto" w:fill="auto"/>
            <w:noWrap/>
            <w:vAlign w:val="center"/>
          </w:tcPr>
          <w:p w14:paraId="288467E4">
            <w:pPr>
              <w:widowControl/>
              <w:ind w:firstLine="1680" w:firstLineChars="800"/>
              <w:jc w:val="left"/>
              <w:rPr>
                <w:rFonts w:eastAsia="仿宋_GB2312"/>
                <w:color w:val="000000"/>
                <w:kern w:val="0"/>
                <w:szCs w:val="21"/>
              </w:rPr>
            </w:pPr>
            <w:r>
              <w:rPr>
                <w:rFonts w:eastAsia="仿宋_GB2312"/>
                <w:color w:val="000000"/>
                <w:kern w:val="0"/>
                <w:szCs w:val="21"/>
              </w:rPr>
              <w:t>其他资金：</w:t>
            </w:r>
          </w:p>
        </w:tc>
        <w:tc>
          <w:tcPr>
            <w:tcW w:w="4439" w:type="dxa"/>
            <w:gridSpan w:val="6"/>
            <w:tcBorders>
              <w:top w:val="single" w:color="auto" w:sz="4" w:space="0"/>
              <w:left w:val="nil"/>
              <w:bottom w:val="single" w:color="auto" w:sz="4" w:space="0"/>
              <w:right w:val="single" w:color="000000" w:sz="4" w:space="0"/>
            </w:tcBorders>
            <w:shd w:val="clear" w:color="auto" w:fill="auto"/>
            <w:noWrap/>
            <w:vAlign w:val="center"/>
          </w:tcPr>
          <w:p w14:paraId="45D9D217">
            <w:pPr>
              <w:widowControl/>
              <w:ind w:firstLine="1680" w:firstLineChars="800"/>
              <w:jc w:val="left"/>
              <w:rPr>
                <w:rFonts w:eastAsia="仿宋_GB2312"/>
                <w:color w:val="000000"/>
                <w:kern w:val="0"/>
                <w:szCs w:val="21"/>
              </w:rPr>
            </w:pPr>
          </w:p>
        </w:tc>
      </w:tr>
      <w:tr w14:paraId="3D8DE86C">
        <w:tblPrEx>
          <w:tblCellMar>
            <w:top w:w="0" w:type="dxa"/>
            <w:left w:w="108" w:type="dxa"/>
            <w:bottom w:w="0" w:type="dxa"/>
            <w:right w:w="108" w:type="dxa"/>
          </w:tblCellMar>
        </w:tblPrEx>
        <w:trPr>
          <w:trHeight w:val="609" w:hRule="atLeast"/>
          <w:jc w:val="center"/>
        </w:trPr>
        <w:tc>
          <w:tcPr>
            <w:tcW w:w="1083" w:type="dxa"/>
            <w:tcBorders>
              <w:top w:val="nil"/>
              <w:left w:val="single" w:color="auto" w:sz="4" w:space="0"/>
              <w:bottom w:val="single" w:color="auto" w:sz="4" w:space="0"/>
              <w:right w:val="single" w:color="auto" w:sz="4" w:space="0"/>
            </w:tcBorders>
            <w:shd w:val="clear" w:color="auto" w:fill="auto"/>
            <w:noWrap/>
            <w:vAlign w:val="center"/>
          </w:tcPr>
          <w:p w14:paraId="28766811">
            <w:pPr>
              <w:widowControl/>
              <w:spacing w:line="240" w:lineRule="exact"/>
              <w:jc w:val="center"/>
              <w:rPr>
                <w:rFonts w:eastAsia="仿宋_GB2312"/>
                <w:color w:val="000000"/>
                <w:kern w:val="0"/>
                <w:szCs w:val="21"/>
              </w:rPr>
            </w:pPr>
            <w:r>
              <w:rPr>
                <w:rFonts w:eastAsia="仿宋_GB2312"/>
                <w:color w:val="000000"/>
                <w:kern w:val="0"/>
                <w:szCs w:val="21"/>
              </w:rPr>
              <w:t>部门职能职责概述</w:t>
            </w:r>
          </w:p>
        </w:tc>
        <w:tc>
          <w:tcPr>
            <w:tcW w:w="9020" w:type="dxa"/>
            <w:gridSpan w:val="10"/>
            <w:tcBorders>
              <w:top w:val="single" w:color="auto" w:sz="4" w:space="0"/>
              <w:left w:val="nil"/>
              <w:bottom w:val="single" w:color="auto" w:sz="4" w:space="0"/>
              <w:right w:val="single" w:color="auto" w:sz="4" w:space="0"/>
            </w:tcBorders>
            <w:shd w:val="clear" w:color="auto" w:fill="auto"/>
            <w:noWrap/>
            <w:vAlign w:val="center"/>
          </w:tcPr>
          <w:p w14:paraId="5888E144">
            <w:pPr>
              <w:widowControl/>
              <w:jc w:val="center"/>
              <w:rPr>
                <w:rFonts w:eastAsia="仿宋_GB2312"/>
                <w:color w:val="000000"/>
                <w:kern w:val="0"/>
                <w:szCs w:val="21"/>
              </w:rPr>
            </w:pPr>
            <w:r>
              <w:rPr>
                <w:rFonts w:hint="eastAsia" w:eastAsia="仿宋_GB2312"/>
                <w:color w:val="000000"/>
                <w:kern w:val="0"/>
                <w:szCs w:val="21"/>
              </w:rPr>
              <w:t>地震监测预报、预警、抗震设防、管理、地震灾害损失评估、紧急救援、地震科普宣传等，为国家建设和人民生活提供地震安全保障。</w:t>
            </w:r>
          </w:p>
        </w:tc>
      </w:tr>
      <w:tr w14:paraId="6965FFCC">
        <w:tblPrEx>
          <w:tblCellMar>
            <w:top w:w="0" w:type="dxa"/>
            <w:left w:w="108" w:type="dxa"/>
            <w:bottom w:w="0" w:type="dxa"/>
            <w:right w:w="108" w:type="dxa"/>
          </w:tblCellMar>
        </w:tblPrEx>
        <w:trPr>
          <w:trHeight w:val="476" w:hRule="atLeast"/>
          <w:jc w:val="center"/>
        </w:trPr>
        <w:tc>
          <w:tcPr>
            <w:tcW w:w="1083" w:type="dxa"/>
            <w:tcBorders>
              <w:top w:val="nil"/>
              <w:left w:val="single" w:color="auto" w:sz="4" w:space="0"/>
              <w:bottom w:val="single" w:color="auto" w:sz="4" w:space="0"/>
              <w:right w:val="single" w:color="auto" w:sz="4" w:space="0"/>
            </w:tcBorders>
            <w:shd w:val="clear" w:color="auto" w:fill="auto"/>
            <w:noWrap/>
            <w:vAlign w:val="center"/>
          </w:tcPr>
          <w:p w14:paraId="2FF0C428">
            <w:pPr>
              <w:widowControl/>
              <w:spacing w:line="240" w:lineRule="exact"/>
              <w:jc w:val="center"/>
              <w:rPr>
                <w:rFonts w:eastAsia="仿宋_GB2312"/>
                <w:color w:val="000000"/>
                <w:kern w:val="0"/>
                <w:szCs w:val="21"/>
              </w:rPr>
            </w:pPr>
            <w:r>
              <w:rPr>
                <w:rFonts w:eastAsia="仿宋_GB2312"/>
                <w:color w:val="000000"/>
                <w:kern w:val="0"/>
                <w:szCs w:val="21"/>
              </w:rPr>
              <w:t>整体绩效</w:t>
            </w:r>
          </w:p>
          <w:p w14:paraId="7DDEE822">
            <w:pPr>
              <w:widowControl/>
              <w:spacing w:line="240" w:lineRule="exact"/>
              <w:jc w:val="center"/>
              <w:rPr>
                <w:rFonts w:eastAsia="仿宋_GB2312"/>
                <w:color w:val="000000"/>
                <w:kern w:val="0"/>
                <w:szCs w:val="21"/>
              </w:rPr>
            </w:pPr>
            <w:r>
              <w:rPr>
                <w:rFonts w:eastAsia="仿宋_GB2312"/>
                <w:color w:val="000000"/>
                <w:kern w:val="0"/>
                <w:szCs w:val="21"/>
              </w:rPr>
              <w:t>目标</w:t>
            </w:r>
          </w:p>
        </w:tc>
        <w:tc>
          <w:tcPr>
            <w:tcW w:w="9020" w:type="dxa"/>
            <w:gridSpan w:val="10"/>
            <w:tcBorders>
              <w:top w:val="single" w:color="auto" w:sz="4" w:space="0"/>
              <w:left w:val="nil"/>
              <w:bottom w:val="single" w:color="auto" w:sz="4" w:space="0"/>
              <w:right w:val="single" w:color="auto" w:sz="4" w:space="0"/>
            </w:tcBorders>
            <w:shd w:val="clear" w:color="auto" w:fill="auto"/>
            <w:noWrap/>
            <w:vAlign w:val="center"/>
          </w:tcPr>
          <w:p w14:paraId="5B79C757">
            <w:pPr>
              <w:widowControl/>
              <w:jc w:val="center"/>
              <w:rPr>
                <w:rFonts w:eastAsia="仿宋_GB2312"/>
                <w:color w:val="000000"/>
                <w:kern w:val="0"/>
                <w:szCs w:val="21"/>
              </w:rPr>
            </w:pPr>
            <w:r>
              <w:rPr>
                <w:rFonts w:hint="eastAsia" w:eastAsia="仿宋_GB2312"/>
                <w:color w:val="000000"/>
                <w:kern w:val="0"/>
                <w:szCs w:val="21"/>
              </w:rPr>
              <w:t>保障机构正常运行，地震台网中心的建设，大力推进农村民居地震安全工程建设，市县防震减灾工作培训</w:t>
            </w:r>
          </w:p>
        </w:tc>
      </w:tr>
      <w:tr w14:paraId="3684EF84">
        <w:tblPrEx>
          <w:tblCellMar>
            <w:top w:w="0" w:type="dxa"/>
            <w:left w:w="108" w:type="dxa"/>
            <w:bottom w:w="0" w:type="dxa"/>
            <w:right w:w="108" w:type="dxa"/>
          </w:tblCellMar>
        </w:tblPrEx>
        <w:trPr>
          <w:trHeight w:val="763" w:hRule="atLeast"/>
          <w:jc w:val="center"/>
        </w:trPr>
        <w:tc>
          <w:tcPr>
            <w:tcW w:w="1083" w:type="dxa"/>
            <w:vMerge w:val="restart"/>
            <w:tcBorders>
              <w:top w:val="single" w:color="auto" w:sz="4" w:space="0"/>
              <w:left w:val="single" w:color="auto" w:sz="4" w:space="0"/>
              <w:right w:val="single" w:color="auto" w:sz="4" w:space="0"/>
            </w:tcBorders>
            <w:shd w:val="clear" w:color="auto" w:fill="auto"/>
            <w:noWrap/>
            <w:vAlign w:val="center"/>
          </w:tcPr>
          <w:p w14:paraId="64FF23DA">
            <w:pPr>
              <w:widowControl/>
              <w:jc w:val="center"/>
              <w:rPr>
                <w:rFonts w:eastAsia="仿宋_GB2312"/>
                <w:color w:val="000000"/>
                <w:kern w:val="0"/>
                <w:szCs w:val="21"/>
              </w:rPr>
            </w:pPr>
            <w:r>
              <w:rPr>
                <w:rFonts w:eastAsia="仿宋_GB2312"/>
                <w:color w:val="000000"/>
                <w:kern w:val="0"/>
                <w:szCs w:val="21"/>
              </w:rPr>
              <w:t>部门整体支出年度绩效指标</w:t>
            </w:r>
          </w:p>
        </w:tc>
        <w:tc>
          <w:tcPr>
            <w:tcW w:w="852" w:type="dxa"/>
            <w:tcBorders>
              <w:top w:val="single" w:color="auto" w:sz="4" w:space="0"/>
              <w:left w:val="nil"/>
              <w:bottom w:val="single" w:color="auto" w:sz="4" w:space="0"/>
              <w:right w:val="single" w:color="auto" w:sz="4" w:space="0"/>
            </w:tcBorders>
            <w:shd w:val="clear" w:color="auto" w:fill="auto"/>
            <w:noWrap/>
            <w:vAlign w:val="center"/>
          </w:tcPr>
          <w:p w14:paraId="068AF641">
            <w:pPr>
              <w:widowControl/>
              <w:spacing w:line="240" w:lineRule="exact"/>
              <w:jc w:val="center"/>
              <w:rPr>
                <w:rFonts w:eastAsia="仿宋_GB2312"/>
                <w:color w:val="000000"/>
                <w:kern w:val="0"/>
                <w:szCs w:val="21"/>
              </w:rPr>
            </w:pPr>
            <w:r>
              <w:rPr>
                <w:rFonts w:eastAsia="仿宋_GB2312"/>
                <w:color w:val="000000"/>
                <w:kern w:val="0"/>
                <w:szCs w:val="21"/>
              </w:rPr>
              <w:t>一级指标</w:t>
            </w: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3CF4FC1A">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9BF1B61">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7546621D">
            <w:pPr>
              <w:widowControl/>
              <w:spacing w:line="240" w:lineRule="exact"/>
              <w:jc w:val="center"/>
              <w:rPr>
                <w:rFonts w:eastAsia="仿宋_GB2312"/>
                <w:color w:val="000000"/>
                <w:kern w:val="0"/>
                <w:szCs w:val="21"/>
              </w:rPr>
            </w:pPr>
            <w:r>
              <w:rPr>
                <w:rFonts w:eastAsia="仿宋_GB2312"/>
                <w:color w:val="000000"/>
                <w:kern w:val="0"/>
                <w:szCs w:val="21"/>
              </w:rPr>
              <w:t>年度</w:t>
            </w:r>
          </w:p>
          <w:p w14:paraId="65AFB8C7">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7A8ACFA">
            <w:pPr>
              <w:widowControl/>
              <w:spacing w:line="240" w:lineRule="exact"/>
              <w:jc w:val="center"/>
              <w:rPr>
                <w:rFonts w:eastAsia="仿宋_GB2312"/>
                <w:color w:val="000000"/>
                <w:kern w:val="0"/>
                <w:szCs w:val="21"/>
              </w:rPr>
            </w:pPr>
            <w:r>
              <w:rPr>
                <w:rFonts w:eastAsia="仿宋_GB2312"/>
                <w:color w:val="000000"/>
                <w:kern w:val="0"/>
                <w:szCs w:val="21"/>
              </w:rPr>
              <w:t>实际</w:t>
            </w:r>
          </w:p>
          <w:p w14:paraId="7D4F9A95">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B5A4C18">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275C35B4">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0DF24194">
            <w:pPr>
              <w:widowControl/>
              <w:spacing w:line="240" w:lineRule="exact"/>
              <w:jc w:val="center"/>
              <w:rPr>
                <w:rFonts w:eastAsia="仿宋_GB2312"/>
                <w:color w:val="000000"/>
                <w:kern w:val="0"/>
                <w:szCs w:val="21"/>
              </w:rPr>
            </w:pPr>
            <w:r>
              <w:rPr>
                <w:rFonts w:eastAsia="仿宋_GB2312"/>
                <w:color w:val="000000"/>
                <w:kern w:val="0"/>
                <w:szCs w:val="21"/>
              </w:rPr>
              <w:t>偏差原因</w:t>
            </w:r>
          </w:p>
          <w:p w14:paraId="1E40C8F3">
            <w:pPr>
              <w:widowControl/>
              <w:spacing w:line="240" w:lineRule="exact"/>
              <w:jc w:val="center"/>
              <w:rPr>
                <w:rFonts w:eastAsia="仿宋_GB2312"/>
                <w:color w:val="000000"/>
                <w:kern w:val="0"/>
                <w:szCs w:val="21"/>
              </w:rPr>
            </w:pPr>
            <w:r>
              <w:rPr>
                <w:rFonts w:eastAsia="仿宋_GB2312"/>
                <w:color w:val="000000"/>
                <w:kern w:val="0"/>
                <w:szCs w:val="21"/>
              </w:rPr>
              <w:t>分析及</w:t>
            </w:r>
          </w:p>
          <w:p w14:paraId="55328368">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14:paraId="7C80CBF9">
        <w:tblPrEx>
          <w:tblCellMar>
            <w:top w:w="0" w:type="dxa"/>
            <w:left w:w="108" w:type="dxa"/>
            <w:bottom w:w="0" w:type="dxa"/>
            <w:right w:w="108" w:type="dxa"/>
          </w:tblCellMar>
        </w:tblPrEx>
        <w:trPr>
          <w:trHeight w:val="780" w:hRule="atLeast"/>
          <w:jc w:val="center"/>
        </w:trPr>
        <w:tc>
          <w:tcPr>
            <w:tcW w:w="1083" w:type="dxa"/>
            <w:vMerge w:val="continue"/>
            <w:tcBorders>
              <w:left w:val="single" w:color="auto" w:sz="4" w:space="0"/>
              <w:right w:val="single" w:color="auto" w:sz="4" w:space="0"/>
            </w:tcBorders>
            <w:shd w:val="clear" w:color="auto" w:fill="auto"/>
            <w:noWrap/>
            <w:vAlign w:val="center"/>
          </w:tcPr>
          <w:p w14:paraId="07F14309">
            <w:pPr>
              <w:jc w:val="center"/>
              <w:rPr>
                <w:rFonts w:eastAsia="仿宋_GB2312"/>
                <w:color w:val="000000"/>
                <w:kern w:val="0"/>
                <w:szCs w:val="21"/>
              </w:rPr>
            </w:pPr>
          </w:p>
        </w:tc>
        <w:tc>
          <w:tcPr>
            <w:tcW w:w="852" w:type="dxa"/>
            <w:vMerge w:val="restart"/>
            <w:tcBorders>
              <w:top w:val="single" w:color="auto" w:sz="4" w:space="0"/>
              <w:left w:val="nil"/>
              <w:bottom w:val="single" w:color="auto" w:sz="4" w:space="0"/>
              <w:right w:val="single" w:color="auto" w:sz="4" w:space="0"/>
            </w:tcBorders>
            <w:shd w:val="clear" w:color="auto" w:fill="auto"/>
            <w:noWrap/>
            <w:vAlign w:val="center"/>
          </w:tcPr>
          <w:p w14:paraId="44CDEEF9">
            <w:pPr>
              <w:widowControl/>
              <w:jc w:val="center"/>
              <w:rPr>
                <w:rFonts w:eastAsia="仿宋_GB2312"/>
                <w:color w:val="000000"/>
                <w:kern w:val="0"/>
                <w:szCs w:val="21"/>
              </w:rPr>
            </w:pPr>
            <w:r>
              <w:rPr>
                <w:rFonts w:eastAsia="仿宋_GB2312"/>
                <w:color w:val="000000"/>
                <w:kern w:val="0"/>
                <w:szCs w:val="21"/>
              </w:rPr>
              <w:t>产出</w:t>
            </w:r>
          </w:p>
          <w:p w14:paraId="6B9A0391">
            <w:pPr>
              <w:widowControl/>
              <w:jc w:val="center"/>
              <w:rPr>
                <w:rFonts w:eastAsia="仿宋_GB2312"/>
                <w:color w:val="000000"/>
                <w:kern w:val="0"/>
                <w:szCs w:val="21"/>
              </w:rPr>
            </w:pPr>
            <w:r>
              <w:rPr>
                <w:rFonts w:eastAsia="仿宋_GB2312"/>
                <w:color w:val="000000"/>
                <w:kern w:val="0"/>
                <w:szCs w:val="21"/>
              </w:rPr>
              <w:t>指标</w:t>
            </w:r>
          </w:p>
          <w:p w14:paraId="303B1FB6">
            <w:pPr>
              <w:widowControl/>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50</w:t>
            </w:r>
            <w:r>
              <w:rPr>
                <w:rFonts w:eastAsia="仿宋_GB2312"/>
                <w:color w:val="000000"/>
                <w:kern w:val="0"/>
                <w:szCs w:val="21"/>
              </w:rPr>
              <w:t>分)</w:t>
            </w:r>
          </w:p>
        </w:tc>
        <w:tc>
          <w:tcPr>
            <w:tcW w:w="850" w:type="dxa"/>
            <w:vMerge w:val="restart"/>
            <w:tcBorders>
              <w:top w:val="single" w:color="auto" w:sz="4" w:space="0"/>
              <w:left w:val="nil"/>
              <w:bottom w:val="single" w:color="auto" w:sz="4" w:space="0"/>
              <w:right w:val="single" w:color="auto" w:sz="4" w:space="0"/>
            </w:tcBorders>
            <w:shd w:val="clear" w:color="auto" w:fill="auto"/>
            <w:noWrap/>
            <w:vAlign w:val="center"/>
          </w:tcPr>
          <w:p w14:paraId="2BD0E88C">
            <w:pPr>
              <w:widowControl/>
              <w:jc w:val="center"/>
              <w:rPr>
                <w:rFonts w:eastAsia="仿宋_GB2312"/>
                <w:color w:val="000000"/>
                <w:kern w:val="0"/>
                <w:szCs w:val="21"/>
              </w:rPr>
            </w:pPr>
            <w:r>
              <w:rPr>
                <w:rFonts w:eastAsia="仿宋_GB2312"/>
                <w:color w:val="000000"/>
                <w:kern w:val="0"/>
                <w:szCs w:val="21"/>
              </w:rPr>
              <w:t>数量指标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6AD01C2">
            <w:pPr>
              <w:widowControl/>
              <w:jc w:val="left"/>
              <w:rPr>
                <w:rFonts w:ascii="仿宋" w:hAnsi="仿宋" w:eastAsia="仿宋"/>
                <w:color w:val="000000"/>
                <w:kern w:val="0"/>
                <w:szCs w:val="21"/>
              </w:rPr>
            </w:pPr>
            <w:r>
              <w:rPr>
                <w:rFonts w:hint="eastAsia" w:ascii="仿宋" w:hAnsi="仿宋" w:eastAsia="仿宋"/>
                <w:kern w:val="0"/>
                <w:szCs w:val="21"/>
              </w:rPr>
              <w:t>地震预警站点投入运行</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3915A609">
            <w:pPr>
              <w:widowControl/>
              <w:jc w:val="center"/>
              <w:rPr>
                <w:rFonts w:ascii="仿宋" w:hAnsi="仿宋" w:eastAsia="仿宋"/>
                <w:color w:val="000000"/>
                <w:kern w:val="0"/>
                <w:szCs w:val="21"/>
              </w:rPr>
            </w:pPr>
            <w:r>
              <w:rPr>
                <w:rFonts w:hint="eastAsia" w:ascii="仿宋" w:hAnsi="仿宋" w:eastAsia="仿宋"/>
                <w:kern w:val="0"/>
                <w:szCs w:val="21"/>
              </w:rPr>
              <w:t>10个</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3310584">
            <w:pPr>
              <w:widowControl/>
              <w:jc w:val="center"/>
              <w:rPr>
                <w:rFonts w:ascii="仿宋" w:hAnsi="仿宋" w:eastAsia="仿宋"/>
                <w:color w:val="000000"/>
                <w:kern w:val="0"/>
                <w:szCs w:val="21"/>
              </w:rPr>
            </w:pPr>
            <w:r>
              <w:rPr>
                <w:rFonts w:hint="eastAsia" w:ascii="仿宋" w:hAnsi="仿宋" w:eastAsia="仿宋"/>
                <w:kern w:val="0"/>
                <w:szCs w:val="21"/>
              </w:rPr>
              <w:t>10个</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79EB161">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60EAB93E">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2601C0B7">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继续保持</w:t>
            </w:r>
          </w:p>
        </w:tc>
      </w:tr>
      <w:tr w14:paraId="3DFDA591">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477E055B">
            <w:pPr>
              <w:jc w:val="center"/>
              <w:rPr>
                <w:rFonts w:eastAsia="仿宋_GB2312"/>
                <w:color w:val="000000"/>
                <w:kern w:val="0"/>
                <w:szCs w:val="21"/>
              </w:rPr>
            </w:pPr>
          </w:p>
        </w:tc>
        <w:tc>
          <w:tcPr>
            <w:tcW w:w="852" w:type="dxa"/>
            <w:vMerge w:val="continue"/>
            <w:tcBorders>
              <w:top w:val="single" w:color="auto" w:sz="4" w:space="0"/>
              <w:left w:val="nil"/>
              <w:bottom w:val="single" w:color="auto" w:sz="4" w:space="0"/>
              <w:right w:val="single" w:color="auto" w:sz="4" w:space="0"/>
            </w:tcBorders>
            <w:shd w:val="clear" w:color="auto" w:fill="auto"/>
            <w:noWrap/>
            <w:vAlign w:val="center"/>
          </w:tcPr>
          <w:p w14:paraId="70E2D17B">
            <w:pPr>
              <w:jc w:val="left"/>
              <w:rPr>
                <w:rFonts w:eastAsia="仿宋_GB2312"/>
                <w:color w:val="000000"/>
                <w:kern w:val="0"/>
                <w:szCs w:val="21"/>
              </w:rPr>
            </w:pPr>
          </w:p>
        </w:tc>
        <w:tc>
          <w:tcPr>
            <w:tcW w:w="850" w:type="dxa"/>
            <w:vMerge w:val="continue"/>
            <w:tcBorders>
              <w:top w:val="single" w:color="auto" w:sz="4" w:space="0"/>
              <w:left w:val="nil"/>
              <w:bottom w:val="single" w:color="auto" w:sz="4" w:space="0"/>
              <w:right w:val="single" w:color="auto" w:sz="4" w:space="0"/>
            </w:tcBorders>
            <w:shd w:val="clear" w:color="auto" w:fill="auto"/>
            <w:noWrap/>
            <w:vAlign w:val="center"/>
          </w:tcPr>
          <w:p w14:paraId="6444C65E">
            <w:pPr>
              <w:widowControl/>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BDC916A">
            <w:pPr>
              <w:widowControl/>
              <w:jc w:val="left"/>
              <w:rPr>
                <w:rFonts w:ascii="仿宋" w:hAnsi="仿宋" w:eastAsia="仿宋"/>
                <w:color w:val="000000"/>
                <w:kern w:val="0"/>
                <w:szCs w:val="21"/>
              </w:rPr>
            </w:pPr>
            <w:r>
              <w:rPr>
                <w:rFonts w:hint="eastAsia" w:ascii="仿宋" w:hAnsi="仿宋" w:eastAsia="仿宋"/>
                <w:kern w:val="0"/>
                <w:szCs w:val="21"/>
              </w:rPr>
              <w:t>编印图集</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57270BDE">
            <w:pPr>
              <w:widowControl/>
              <w:jc w:val="center"/>
              <w:rPr>
                <w:rFonts w:ascii="仿宋" w:hAnsi="仿宋" w:eastAsia="仿宋"/>
                <w:color w:val="000000"/>
                <w:kern w:val="0"/>
                <w:szCs w:val="21"/>
              </w:rPr>
            </w:pPr>
            <w:r>
              <w:rPr>
                <w:rFonts w:hint="eastAsia" w:ascii="仿宋" w:hAnsi="仿宋" w:eastAsia="仿宋"/>
                <w:kern w:val="0"/>
                <w:szCs w:val="21"/>
              </w:rPr>
              <w:t>30000册</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0F78908">
            <w:pPr>
              <w:widowControl/>
              <w:jc w:val="center"/>
              <w:rPr>
                <w:rFonts w:ascii="仿宋" w:hAnsi="仿宋" w:eastAsia="仿宋"/>
                <w:color w:val="000000"/>
                <w:kern w:val="0"/>
                <w:szCs w:val="21"/>
              </w:rPr>
            </w:pPr>
            <w:r>
              <w:rPr>
                <w:rFonts w:hint="eastAsia" w:ascii="仿宋" w:hAnsi="仿宋" w:eastAsia="仿宋"/>
                <w:kern w:val="0"/>
                <w:szCs w:val="21"/>
              </w:rPr>
              <w:t>30000册</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399E39D3">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77EF98D4">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2884E7CE">
            <w:pPr>
              <w:jc w:val="center"/>
            </w:pPr>
            <w:r>
              <w:rPr>
                <w:rFonts w:hint="eastAsia" w:ascii="仿宋" w:hAnsi="仿宋" w:eastAsia="仿宋"/>
                <w:color w:val="000000"/>
                <w:kern w:val="0"/>
                <w:szCs w:val="21"/>
              </w:rPr>
              <w:t>继续保持</w:t>
            </w:r>
          </w:p>
        </w:tc>
      </w:tr>
      <w:tr w14:paraId="6B378683">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2093C00F">
            <w:pPr>
              <w:jc w:val="center"/>
              <w:rPr>
                <w:rFonts w:eastAsia="仿宋_GB2312"/>
                <w:color w:val="000000"/>
                <w:kern w:val="0"/>
                <w:szCs w:val="21"/>
              </w:rPr>
            </w:pPr>
          </w:p>
        </w:tc>
        <w:tc>
          <w:tcPr>
            <w:tcW w:w="852" w:type="dxa"/>
            <w:vMerge w:val="continue"/>
            <w:tcBorders>
              <w:top w:val="single" w:color="auto" w:sz="4" w:space="0"/>
              <w:left w:val="nil"/>
              <w:bottom w:val="single" w:color="auto" w:sz="4" w:space="0"/>
              <w:right w:val="single" w:color="auto" w:sz="4" w:space="0"/>
            </w:tcBorders>
            <w:shd w:val="clear" w:color="auto" w:fill="auto"/>
            <w:noWrap/>
            <w:vAlign w:val="center"/>
          </w:tcPr>
          <w:p w14:paraId="563C8D09">
            <w:pPr>
              <w:jc w:val="left"/>
              <w:rPr>
                <w:rFonts w:eastAsia="仿宋_GB2312"/>
                <w:color w:val="000000"/>
                <w:kern w:val="0"/>
                <w:szCs w:val="21"/>
              </w:rPr>
            </w:pPr>
          </w:p>
        </w:tc>
        <w:tc>
          <w:tcPr>
            <w:tcW w:w="850" w:type="dxa"/>
            <w:vMerge w:val="restart"/>
            <w:tcBorders>
              <w:top w:val="single" w:color="auto" w:sz="4" w:space="0"/>
              <w:left w:val="nil"/>
              <w:bottom w:val="single" w:color="auto" w:sz="4" w:space="0"/>
              <w:right w:val="single" w:color="auto" w:sz="4" w:space="0"/>
            </w:tcBorders>
            <w:shd w:val="clear" w:color="auto" w:fill="auto"/>
            <w:noWrap/>
            <w:vAlign w:val="center"/>
          </w:tcPr>
          <w:p w14:paraId="120A21AD">
            <w:pPr>
              <w:widowControl/>
              <w:jc w:val="center"/>
              <w:rPr>
                <w:rFonts w:eastAsia="仿宋_GB2312"/>
                <w:color w:val="000000"/>
                <w:kern w:val="0"/>
                <w:szCs w:val="21"/>
              </w:rPr>
            </w:pPr>
            <w:r>
              <w:rPr>
                <w:rFonts w:eastAsia="仿宋_GB2312"/>
                <w:color w:val="000000"/>
                <w:kern w:val="0"/>
                <w:szCs w:val="21"/>
              </w:rPr>
              <w:t>质量指标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4289167">
            <w:pPr>
              <w:widowControl/>
              <w:spacing w:line="240" w:lineRule="exact"/>
              <w:jc w:val="left"/>
              <w:rPr>
                <w:rFonts w:ascii="仿宋" w:hAnsi="仿宋" w:eastAsia="仿宋"/>
                <w:color w:val="000000"/>
                <w:kern w:val="0"/>
                <w:szCs w:val="21"/>
              </w:rPr>
            </w:pPr>
            <w:r>
              <w:rPr>
                <w:rFonts w:hint="eastAsia" w:ascii="仿宋" w:hAnsi="仿宋" w:eastAsia="仿宋"/>
                <w:kern w:val="0"/>
                <w:szCs w:val="21"/>
              </w:rPr>
              <w:t>地震监测与预警监测数据准确</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409EBA6A">
            <w:pPr>
              <w:widowControl/>
              <w:jc w:val="center"/>
              <w:rPr>
                <w:rFonts w:ascii="仿宋" w:hAnsi="仿宋" w:eastAsia="仿宋"/>
                <w:color w:val="000000"/>
                <w:kern w:val="0"/>
                <w:szCs w:val="21"/>
              </w:rPr>
            </w:pPr>
            <w:r>
              <w:rPr>
                <w:rFonts w:hint="eastAsia" w:ascii="仿宋" w:hAnsi="仿宋" w:eastAsia="仿宋"/>
                <w:kern w:val="0"/>
                <w:szCs w:val="21"/>
              </w:rPr>
              <w:t>99%</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96FD21B">
            <w:pPr>
              <w:widowControl/>
              <w:jc w:val="center"/>
              <w:rPr>
                <w:rFonts w:ascii="仿宋" w:hAnsi="仿宋" w:eastAsia="仿宋"/>
                <w:color w:val="000000"/>
                <w:kern w:val="0"/>
                <w:szCs w:val="21"/>
              </w:rPr>
            </w:pPr>
            <w:r>
              <w:rPr>
                <w:rFonts w:hint="eastAsia" w:ascii="仿宋" w:hAnsi="仿宋" w:eastAsia="仿宋"/>
                <w:kern w:val="0"/>
                <w:szCs w:val="21"/>
              </w:rPr>
              <w:t>99%</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6266247B">
            <w:pPr>
              <w:widowControl/>
              <w:jc w:val="center"/>
              <w:rPr>
                <w:rFonts w:ascii="仿宋" w:hAnsi="仿宋" w:eastAsia="仿宋"/>
                <w:color w:val="000000"/>
                <w:kern w:val="0"/>
                <w:szCs w:val="21"/>
              </w:rPr>
            </w:pPr>
            <w:r>
              <w:rPr>
                <w:rFonts w:hint="eastAsia" w:ascii="仿宋" w:hAnsi="仿宋" w:eastAsia="仿宋"/>
                <w:color w:val="000000"/>
                <w:kern w:val="0"/>
                <w:szCs w:val="21"/>
              </w:rPr>
              <w:t>5</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71D2747E">
            <w:pPr>
              <w:widowControl/>
              <w:jc w:val="center"/>
              <w:rPr>
                <w:rFonts w:ascii="仿宋" w:hAnsi="仿宋" w:eastAsia="仿宋"/>
                <w:color w:val="000000"/>
                <w:kern w:val="0"/>
                <w:szCs w:val="21"/>
              </w:rPr>
            </w:pPr>
            <w:r>
              <w:rPr>
                <w:rFonts w:hint="eastAsia" w:ascii="仿宋" w:hAnsi="仿宋" w:eastAsia="仿宋"/>
                <w:color w:val="000000"/>
                <w:kern w:val="0"/>
                <w:szCs w:val="21"/>
              </w:rPr>
              <w:t>5</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09B68DD9">
            <w:pPr>
              <w:jc w:val="center"/>
            </w:pPr>
            <w:r>
              <w:rPr>
                <w:rFonts w:hint="eastAsia" w:ascii="仿宋" w:hAnsi="仿宋" w:eastAsia="仿宋"/>
                <w:color w:val="000000"/>
                <w:kern w:val="0"/>
                <w:szCs w:val="21"/>
              </w:rPr>
              <w:t>继续保持</w:t>
            </w:r>
          </w:p>
        </w:tc>
      </w:tr>
      <w:tr w14:paraId="7457BBB4">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6968D251">
            <w:pPr>
              <w:jc w:val="center"/>
              <w:rPr>
                <w:rFonts w:eastAsia="仿宋_GB2312"/>
                <w:color w:val="000000"/>
                <w:kern w:val="0"/>
                <w:szCs w:val="21"/>
              </w:rPr>
            </w:pPr>
          </w:p>
        </w:tc>
        <w:tc>
          <w:tcPr>
            <w:tcW w:w="852" w:type="dxa"/>
            <w:vMerge w:val="continue"/>
            <w:tcBorders>
              <w:top w:val="single" w:color="auto" w:sz="4" w:space="0"/>
              <w:left w:val="nil"/>
              <w:bottom w:val="single" w:color="auto" w:sz="4" w:space="0"/>
              <w:right w:val="single" w:color="auto" w:sz="4" w:space="0"/>
            </w:tcBorders>
            <w:shd w:val="clear" w:color="auto" w:fill="auto"/>
            <w:noWrap/>
            <w:vAlign w:val="center"/>
          </w:tcPr>
          <w:p w14:paraId="3CF6966C">
            <w:pPr>
              <w:jc w:val="left"/>
              <w:rPr>
                <w:rFonts w:eastAsia="仿宋_GB2312"/>
                <w:color w:val="000000"/>
                <w:kern w:val="0"/>
                <w:szCs w:val="21"/>
              </w:rPr>
            </w:pPr>
          </w:p>
        </w:tc>
        <w:tc>
          <w:tcPr>
            <w:tcW w:w="850" w:type="dxa"/>
            <w:vMerge w:val="continue"/>
            <w:tcBorders>
              <w:top w:val="single" w:color="auto" w:sz="4" w:space="0"/>
              <w:left w:val="nil"/>
              <w:bottom w:val="single" w:color="auto" w:sz="4" w:space="0"/>
              <w:right w:val="single" w:color="auto" w:sz="4" w:space="0"/>
            </w:tcBorders>
            <w:shd w:val="clear" w:color="auto" w:fill="auto"/>
            <w:noWrap/>
            <w:vAlign w:val="center"/>
          </w:tcPr>
          <w:p w14:paraId="60A265BC">
            <w:pPr>
              <w:widowControl/>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2CEBD25">
            <w:pPr>
              <w:widowControl/>
              <w:spacing w:line="240" w:lineRule="exact"/>
              <w:jc w:val="left"/>
              <w:rPr>
                <w:rFonts w:ascii="仿宋" w:hAnsi="仿宋" w:eastAsia="仿宋"/>
                <w:color w:val="000000"/>
                <w:kern w:val="0"/>
                <w:szCs w:val="21"/>
              </w:rPr>
            </w:pPr>
            <w:r>
              <w:rPr>
                <w:rFonts w:hint="eastAsia" w:ascii="仿宋" w:hAnsi="仿宋" w:eastAsia="仿宋"/>
                <w:kern w:val="0"/>
                <w:szCs w:val="21"/>
              </w:rPr>
              <w:t>地震监测定位精度</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71616298">
            <w:pPr>
              <w:widowControl/>
              <w:jc w:val="center"/>
              <w:rPr>
                <w:rFonts w:ascii="仿宋" w:hAnsi="仿宋" w:eastAsia="仿宋"/>
                <w:color w:val="000000"/>
                <w:kern w:val="0"/>
                <w:szCs w:val="21"/>
              </w:rPr>
            </w:pPr>
            <w:r>
              <w:rPr>
                <w:rFonts w:hint="eastAsia" w:ascii="仿宋" w:hAnsi="仿宋" w:eastAsia="仿宋"/>
                <w:kern w:val="0"/>
                <w:szCs w:val="21"/>
              </w:rPr>
              <w:t>提升10%</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DF55E1B">
            <w:pPr>
              <w:widowControl/>
              <w:jc w:val="center"/>
              <w:rPr>
                <w:rFonts w:ascii="仿宋" w:hAnsi="仿宋" w:eastAsia="仿宋"/>
                <w:color w:val="000000"/>
                <w:kern w:val="0"/>
                <w:szCs w:val="21"/>
              </w:rPr>
            </w:pPr>
            <w:r>
              <w:rPr>
                <w:rFonts w:hint="eastAsia" w:ascii="仿宋" w:hAnsi="仿宋" w:eastAsia="仿宋"/>
                <w:kern w:val="0"/>
                <w:szCs w:val="21"/>
              </w:rPr>
              <w:t>100%</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5EADE2C3">
            <w:pPr>
              <w:widowControl/>
              <w:jc w:val="center"/>
              <w:rPr>
                <w:rFonts w:ascii="仿宋" w:hAnsi="仿宋" w:eastAsia="仿宋"/>
                <w:color w:val="000000"/>
                <w:kern w:val="0"/>
                <w:szCs w:val="21"/>
              </w:rPr>
            </w:pPr>
            <w:r>
              <w:rPr>
                <w:rFonts w:hint="eastAsia" w:ascii="仿宋" w:hAnsi="仿宋" w:eastAsia="仿宋"/>
                <w:color w:val="000000"/>
                <w:kern w:val="0"/>
                <w:szCs w:val="21"/>
              </w:rPr>
              <w:t>5</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435A6AC3">
            <w:pPr>
              <w:widowControl/>
              <w:jc w:val="center"/>
              <w:rPr>
                <w:rFonts w:ascii="仿宋" w:hAnsi="仿宋" w:eastAsia="仿宋"/>
                <w:color w:val="000000"/>
                <w:kern w:val="0"/>
                <w:szCs w:val="21"/>
              </w:rPr>
            </w:pPr>
            <w:r>
              <w:rPr>
                <w:rFonts w:hint="eastAsia" w:ascii="仿宋" w:hAnsi="仿宋" w:eastAsia="仿宋"/>
                <w:color w:val="000000"/>
                <w:kern w:val="0"/>
                <w:szCs w:val="21"/>
              </w:rPr>
              <w:t>5</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476E9609">
            <w:pPr>
              <w:jc w:val="center"/>
            </w:pPr>
            <w:r>
              <w:rPr>
                <w:rFonts w:hint="eastAsia" w:ascii="仿宋" w:hAnsi="仿宋" w:eastAsia="仿宋"/>
                <w:color w:val="000000"/>
                <w:kern w:val="0"/>
                <w:szCs w:val="21"/>
              </w:rPr>
              <w:t>继续保持</w:t>
            </w:r>
          </w:p>
        </w:tc>
      </w:tr>
      <w:tr w14:paraId="39657755">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6F9FB5D9">
            <w:pPr>
              <w:jc w:val="center"/>
              <w:rPr>
                <w:rFonts w:eastAsia="仿宋_GB2312"/>
                <w:color w:val="000000"/>
                <w:kern w:val="0"/>
                <w:szCs w:val="21"/>
              </w:rPr>
            </w:pPr>
          </w:p>
        </w:tc>
        <w:tc>
          <w:tcPr>
            <w:tcW w:w="852" w:type="dxa"/>
            <w:vMerge w:val="continue"/>
            <w:tcBorders>
              <w:top w:val="single" w:color="auto" w:sz="4" w:space="0"/>
              <w:left w:val="nil"/>
              <w:bottom w:val="single" w:color="auto" w:sz="4" w:space="0"/>
              <w:right w:val="single" w:color="auto" w:sz="4" w:space="0"/>
            </w:tcBorders>
            <w:shd w:val="clear" w:color="auto" w:fill="auto"/>
            <w:noWrap/>
            <w:vAlign w:val="center"/>
          </w:tcPr>
          <w:p w14:paraId="75D1DF3B">
            <w:pPr>
              <w:jc w:val="left"/>
              <w:rPr>
                <w:rFonts w:eastAsia="仿宋_GB2312"/>
                <w:color w:val="000000"/>
                <w:kern w:val="0"/>
                <w:szCs w:val="21"/>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1A57DADD">
            <w:pPr>
              <w:widowControl/>
              <w:jc w:val="center"/>
              <w:rPr>
                <w:rFonts w:eastAsia="仿宋_GB2312"/>
                <w:color w:val="000000"/>
                <w:kern w:val="0"/>
                <w:szCs w:val="21"/>
              </w:rPr>
            </w:pPr>
            <w:r>
              <w:rPr>
                <w:rFonts w:eastAsia="仿宋_GB2312"/>
                <w:color w:val="000000"/>
                <w:kern w:val="0"/>
                <w:szCs w:val="21"/>
              </w:rPr>
              <w:t>时效指标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7222A9C">
            <w:pPr>
              <w:widowControl/>
              <w:jc w:val="left"/>
              <w:rPr>
                <w:rFonts w:ascii="仿宋" w:hAnsi="仿宋" w:eastAsia="仿宋"/>
                <w:color w:val="000000"/>
                <w:kern w:val="0"/>
                <w:szCs w:val="21"/>
              </w:rPr>
            </w:pPr>
            <w:r>
              <w:rPr>
                <w:rFonts w:hint="eastAsia" w:ascii="仿宋" w:hAnsi="仿宋" w:eastAsia="仿宋"/>
                <w:kern w:val="0"/>
                <w:szCs w:val="21"/>
              </w:rPr>
              <w:t>项目完成执行率</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2AE613B7">
            <w:pPr>
              <w:widowControl/>
              <w:jc w:val="center"/>
              <w:rPr>
                <w:rFonts w:ascii="仿宋" w:hAnsi="仿宋" w:eastAsia="仿宋"/>
                <w:color w:val="000000"/>
                <w:kern w:val="0"/>
                <w:szCs w:val="21"/>
              </w:rPr>
            </w:pPr>
            <w:r>
              <w:rPr>
                <w:rFonts w:hint="eastAsia" w:ascii="仿宋" w:hAnsi="仿宋" w:eastAsia="仿宋"/>
                <w:kern w:val="0"/>
                <w:szCs w:val="21"/>
              </w:rPr>
              <w:t>2022年底</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5C472E7">
            <w:pPr>
              <w:widowControl/>
              <w:jc w:val="center"/>
              <w:rPr>
                <w:rFonts w:ascii="仿宋" w:hAnsi="仿宋" w:eastAsia="仿宋"/>
                <w:color w:val="000000"/>
                <w:kern w:val="0"/>
                <w:szCs w:val="21"/>
              </w:rPr>
            </w:pPr>
            <w:r>
              <w:rPr>
                <w:rFonts w:hint="eastAsia" w:ascii="仿宋" w:hAnsi="仿宋" w:eastAsia="仿宋"/>
                <w:kern w:val="0"/>
                <w:szCs w:val="21"/>
              </w:rPr>
              <w:t>100%</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FC286F7">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01F1E230">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0AD51CC2">
            <w:pPr>
              <w:jc w:val="center"/>
            </w:pPr>
            <w:r>
              <w:rPr>
                <w:rFonts w:hint="eastAsia" w:ascii="仿宋" w:hAnsi="仿宋" w:eastAsia="仿宋"/>
                <w:color w:val="000000"/>
                <w:kern w:val="0"/>
                <w:szCs w:val="21"/>
              </w:rPr>
              <w:t>继续保持</w:t>
            </w:r>
          </w:p>
        </w:tc>
      </w:tr>
      <w:tr w14:paraId="0EC39553">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280F4B88">
            <w:pPr>
              <w:jc w:val="center"/>
              <w:rPr>
                <w:rFonts w:eastAsia="仿宋_GB2312"/>
                <w:color w:val="000000"/>
                <w:kern w:val="0"/>
                <w:szCs w:val="21"/>
              </w:rPr>
            </w:pPr>
          </w:p>
        </w:tc>
        <w:tc>
          <w:tcPr>
            <w:tcW w:w="852" w:type="dxa"/>
            <w:vMerge w:val="continue"/>
            <w:tcBorders>
              <w:top w:val="single" w:color="auto" w:sz="4" w:space="0"/>
              <w:left w:val="nil"/>
              <w:bottom w:val="single" w:color="auto" w:sz="4" w:space="0"/>
              <w:right w:val="single" w:color="auto" w:sz="4" w:space="0"/>
            </w:tcBorders>
            <w:shd w:val="clear" w:color="auto" w:fill="auto"/>
            <w:noWrap/>
            <w:vAlign w:val="center"/>
          </w:tcPr>
          <w:p w14:paraId="0B15A602">
            <w:pPr>
              <w:jc w:val="left"/>
              <w:rPr>
                <w:rFonts w:eastAsia="仿宋_GB2312"/>
                <w:color w:val="000000"/>
                <w:kern w:val="0"/>
                <w:szCs w:val="21"/>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7FE29833">
            <w:pPr>
              <w:widowControl/>
              <w:jc w:val="center"/>
              <w:rPr>
                <w:rFonts w:eastAsia="仿宋_GB2312"/>
                <w:color w:val="000000"/>
                <w:kern w:val="0"/>
                <w:szCs w:val="21"/>
              </w:rPr>
            </w:pPr>
            <w:r>
              <w:rPr>
                <w:rFonts w:eastAsia="仿宋_GB2312"/>
                <w:color w:val="000000"/>
                <w:kern w:val="0"/>
                <w:szCs w:val="21"/>
              </w:rPr>
              <w:t>成本指标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2B4CD75">
            <w:pPr>
              <w:widowControl/>
              <w:jc w:val="left"/>
              <w:rPr>
                <w:rFonts w:ascii="仿宋" w:hAnsi="仿宋" w:eastAsia="仿宋"/>
                <w:color w:val="000000"/>
                <w:kern w:val="0"/>
                <w:szCs w:val="21"/>
              </w:rPr>
            </w:pPr>
            <w:r>
              <w:rPr>
                <w:rFonts w:hint="eastAsia" w:ascii="仿宋" w:hAnsi="仿宋" w:eastAsia="仿宋"/>
                <w:kern w:val="0"/>
                <w:szCs w:val="21"/>
              </w:rPr>
              <w:t>控制成本</w:t>
            </w:r>
          </w:p>
        </w:tc>
        <w:tc>
          <w:tcPr>
            <w:tcW w:w="2410" w:type="dxa"/>
            <w:gridSpan w:val="2"/>
            <w:tcBorders>
              <w:top w:val="single" w:color="auto" w:sz="4" w:space="0"/>
              <w:left w:val="nil"/>
              <w:bottom w:val="single" w:color="auto" w:sz="4" w:space="0"/>
              <w:right w:val="single" w:color="auto" w:sz="4" w:space="0"/>
            </w:tcBorders>
            <w:shd w:val="clear" w:color="auto" w:fill="auto"/>
            <w:noWrap/>
            <w:vAlign w:val="center"/>
          </w:tcPr>
          <w:p w14:paraId="7BD2CAD3">
            <w:pPr>
              <w:widowControl/>
              <w:jc w:val="center"/>
              <w:rPr>
                <w:rFonts w:ascii="仿宋" w:hAnsi="仿宋" w:eastAsia="仿宋"/>
                <w:color w:val="000000"/>
                <w:kern w:val="0"/>
                <w:szCs w:val="21"/>
              </w:rPr>
            </w:pPr>
            <w:r>
              <w:rPr>
                <w:rFonts w:hint="eastAsia" w:ascii="仿宋" w:hAnsi="仿宋" w:eastAsia="仿宋"/>
                <w:kern w:val="0"/>
                <w:szCs w:val="21"/>
              </w:rPr>
              <w:t>成本控制在预算内</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3AE6A10">
            <w:pPr>
              <w:widowControl/>
              <w:jc w:val="center"/>
              <w:rPr>
                <w:rFonts w:ascii="仿宋" w:hAnsi="仿宋" w:eastAsia="仿宋"/>
                <w:color w:val="000000"/>
                <w:kern w:val="0"/>
                <w:szCs w:val="21"/>
              </w:rPr>
            </w:pPr>
            <w:r>
              <w:rPr>
                <w:rFonts w:hint="eastAsia" w:ascii="仿宋" w:hAnsi="仿宋" w:eastAsia="仿宋"/>
                <w:kern w:val="0"/>
                <w:szCs w:val="21"/>
              </w:rPr>
              <w:t>100%</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5CFA4C85">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168CE575">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4607A769">
            <w:pPr>
              <w:jc w:val="center"/>
            </w:pPr>
            <w:r>
              <w:rPr>
                <w:rFonts w:hint="eastAsia" w:ascii="仿宋" w:hAnsi="仿宋" w:eastAsia="仿宋"/>
                <w:color w:val="000000"/>
                <w:kern w:val="0"/>
                <w:szCs w:val="21"/>
              </w:rPr>
              <w:t>继续保持</w:t>
            </w:r>
          </w:p>
        </w:tc>
      </w:tr>
      <w:tr w14:paraId="26AC40BF">
        <w:tblPrEx>
          <w:tblCellMar>
            <w:top w:w="0" w:type="dxa"/>
            <w:left w:w="108" w:type="dxa"/>
            <w:bottom w:w="0" w:type="dxa"/>
            <w:right w:w="108" w:type="dxa"/>
          </w:tblCellMar>
        </w:tblPrEx>
        <w:trPr>
          <w:trHeight w:val="992" w:hRule="atLeast"/>
          <w:jc w:val="center"/>
        </w:trPr>
        <w:tc>
          <w:tcPr>
            <w:tcW w:w="1083" w:type="dxa"/>
            <w:vMerge w:val="continue"/>
            <w:tcBorders>
              <w:left w:val="single" w:color="auto" w:sz="4" w:space="0"/>
              <w:right w:val="single" w:color="auto" w:sz="4" w:space="0"/>
            </w:tcBorders>
            <w:shd w:val="clear" w:color="auto" w:fill="auto"/>
            <w:noWrap/>
            <w:vAlign w:val="center"/>
          </w:tcPr>
          <w:p w14:paraId="4901A338">
            <w:pPr>
              <w:jc w:val="center"/>
              <w:rPr>
                <w:rFonts w:eastAsia="仿宋_GB2312"/>
                <w:color w:val="000000"/>
                <w:kern w:val="0"/>
                <w:szCs w:val="21"/>
              </w:rPr>
            </w:pPr>
          </w:p>
        </w:tc>
        <w:tc>
          <w:tcPr>
            <w:tcW w:w="852" w:type="dxa"/>
            <w:vMerge w:val="continue"/>
            <w:tcBorders>
              <w:left w:val="nil"/>
              <w:right w:val="single" w:color="auto" w:sz="4" w:space="0"/>
            </w:tcBorders>
            <w:shd w:val="clear" w:color="auto" w:fill="auto"/>
            <w:noWrap/>
            <w:vAlign w:val="center"/>
          </w:tcPr>
          <w:p w14:paraId="7603F364">
            <w:pPr>
              <w:jc w:val="left"/>
              <w:rPr>
                <w:rFonts w:eastAsia="仿宋_GB2312"/>
                <w:color w:val="000000"/>
                <w:kern w:val="0"/>
                <w:szCs w:val="21"/>
              </w:rPr>
            </w:pPr>
          </w:p>
        </w:tc>
        <w:tc>
          <w:tcPr>
            <w:tcW w:w="850" w:type="dxa"/>
            <w:vMerge w:val="restart"/>
            <w:tcBorders>
              <w:top w:val="single" w:color="auto" w:sz="4" w:space="0"/>
              <w:left w:val="nil"/>
              <w:bottom w:val="single" w:color="auto" w:sz="4" w:space="0"/>
              <w:right w:val="single" w:color="auto" w:sz="4" w:space="0"/>
            </w:tcBorders>
            <w:shd w:val="clear" w:color="auto" w:fill="auto"/>
            <w:noWrap/>
            <w:vAlign w:val="center"/>
          </w:tcPr>
          <w:p w14:paraId="2D64FFC4">
            <w:pPr>
              <w:widowControl/>
              <w:spacing w:line="240" w:lineRule="exact"/>
              <w:jc w:val="center"/>
              <w:rPr>
                <w:rFonts w:eastAsia="仿宋_GB2312"/>
                <w:color w:val="000000"/>
                <w:kern w:val="0"/>
                <w:szCs w:val="21"/>
              </w:rPr>
            </w:pPr>
            <w:r>
              <w:rPr>
                <w:rFonts w:eastAsia="仿宋_GB2312"/>
                <w:color w:val="000000"/>
                <w:kern w:val="0"/>
                <w:szCs w:val="21"/>
              </w:rPr>
              <w:t>社会效</w:t>
            </w:r>
          </w:p>
          <w:p w14:paraId="361F4445">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69C006F">
            <w:pPr>
              <w:widowControl/>
              <w:spacing w:line="240" w:lineRule="exact"/>
              <w:jc w:val="left"/>
              <w:rPr>
                <w:rFonts w:ascii="仿宋" w:hAnsi="仿宋" w:eastAsia="仿宋"/>
                <w:color w:val="000000"/>
                <w:kern w:val="0"/>
                <w:szCs w:val="21"/>
              </w:rPr>
            </w:pPr>
            <w:r>
              <w:rPr>
                <w:rFonts w:hint="eastAsia" w:ascii="仿宋" w:hAnsi="仿宋" w:eastAsia="仿宋"/>
                <w:kern w:val="0"/>
                <w:szCs w:val="21"/>
              </w:rPr>
              <w:t>提升了地震监测与预警能力</w:t>
            </w:r>
          </w:p>
        </w:tc>
        <w:tc>
          <w:tcPr>
            <w:tcW w:w="2410" w:type="dxa"/>
            <w:gridSpan w:val="2"/>
            <w:tcBorders>
              <w:top w:val="single" w:color="auto" w:sz="4" w:space="0"/>
              <w:left w:val="nil"/>
              <w:bottom w:val="single" w:color="auto" w:sz="4" w:space="0"/>
              <w:right w:val="single" w:color="auto" w:sz="4" w:space="0"/>
            </w:tcBorders>
            <w:shd w:val="clear" w:color="auto" w:fill="auto"/>
            <w:noWrap/>
          </w:tcPr>
          <w:p w14:paraId="17F8B8DE">
            <w:pPr>
              <w:widowControl/>
              <w:spacing w:line="240" w:lineRule="exact"/>
              <w:rPr>
                <w:rFonts w:ascii="仿宋" w:hAnsi="仿宋" w:eastAsia="仿宋"/>
                <w:color w:val="000000"/>
                <w:kern w:val="0"/>
                <w:szCs w:val="21"/>
              </w:rPr>
            </w:pPr>
            <w:r>
              <w:rPr>
                <w:rFonts w:hint="eastAsia" w:ascii="仿宋" w:hAnsi="仿宋" w:eastAsia="仿宋"/>
                <w:kern w:val="0"/>
                <w:szCs w:val="21"/>
              </w:rPr>
              <w:t>地壳形变台投入运行，10个预警站点投入试运行，提供地震烈度速报信息发布服务。</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1EFC300">
            <w:pPr>
              <w:widowControl/>
              <w:jc w:val="center"/>
              <w:rPr>
                <w:rFonts w:ascii="仿宋" w:hAnsi="仿宋" w:eastAsia="仿宋"/>
                <w:color w:val="000000"/>
                <w:kern w:val="0"/>
                <w:szCs w:val="21"/>
              </w:rPr>
            </w:pPr>
            <w:r>
              <w:rPr>
                <w:rFonts w:hint="eastAsia" w:ascii="仿宋" w:hAnsi="仿宋" w:eastAsia="仿宋"/>
                <w:color w:val="000000"/>
                <w:kern w:val="0"/>
                <w:szCs w:val="21"/>
              </w:rPr>
              <w:t>100%</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02E0F258">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06721FD9">
            <w:pPr>
              <w:widowControl/>
              <w:jc w:val="center"/>
              <w:rPr>
                <w:rFonts w:ascii="仿宋" w:hAnsi="仿宋" w:eastAsia="仿宋"/>
                <w:color w:val="000000"/>
                <w:kern w:val="0"/>
                <w:szCs w:val="21"/>
              </w:rPr>
            </w:pP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1B6245DC">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继续保持</w:t>
            </w:r>
          </w:p>
        </w:tc>
      </w:tr>
      <w:tr w14:paraId="0D6DBFA7">
        <w:tblPrEx>
          <w:tblCellMar>
            <w:top w:w="0" w:type="dxa"/>
            <w:left w:w="108" w:type="dxa"/>
            <w:bottom w:w="0" w:type="dxa"/>
            <w:right w:w="108" w:type="dxa"/>
          </w:tblCellMar>
        </w:tblPrEx>
        <w:trPr>
          <w:trHeight w:val="567" w:hRule="atLeast"/>
          <w:jc w:val="center"/>
        </w:trPr>
        <w:tc>
          <w:tcPr>
            <w:tcW w:w="1083" w:type="dxa"/>
            <w:vMerge w:val="continue"/>
            <w:tcBorders>
              <w:left w:val="single" w:color="auto" w:sz="4" w:space="0"/>
              <w:right w:val="single" w:color="auto" w:sz="4" w:space="0"/>
            </w:tcBorders>
            <w:shd w:val="clear" w:color="auto" w:fill="auto"/>
            <w:noWrap/>
            <w:vAlign w:val="center"/>
          </w:tcPr>
          <w:p w14:paraId="5C2BFD6A">
            <w:pPr>
              <w:jc w:val="center"/>
              <w:rPr>
                <w:rFonts w:eastAsia="仿宋_GB2312"/>
                <w:color w:val="000000"/>
                <w:kern w:val="0"/>
                <w:szCs w:val="21"/>
              </w:rPr>
            </w:pPr>
          </w:p>
        </w:tc>
        <w:tc>
          <w:tcPr>
            <w:tcW w:w="852" w:type="dxa"/>
            <w:vMerge w:val="continue"/>
            <w:tcBorders>
              <w:left w:val="nil"/>
              <w:right w:val="single" w:color="auto" w:sz="4" w:space="0"/>
            </w:tcBorders>
            <w:shd w:val="clear" w:color="auto" w:fill="auto"/>
            <w:noWrap/>
            <w:vAlign w:val="center"/>
          </w:tcPr>
          <w:p w14:paraId="34E73FE5">
            <w:pPr>
              <w:jc w:val="left"/>
              <w:rPr>
                <w:rFonts w:eastAsia="仿宋_GB2312"/>
                <w:color w:val="000000"/>
                <w:kern w:val="0"/>
                <w:szCs w:val="21"/>
              </w:rPr>
            </w:pPr>
          </w:p>
        </w:tc>
        <w:tc>
          <w:tcPr>
            <w:tcW w:w="850" w:type="dxa"/>
            <w:vMerge w:val="continue"/>
            <w:tcBorders>
              <w:top w:val="single" w:color="auto" w:sz="4" w:space="0"/>
              <w:left w:val="nil"/>
              <w:bottom w:val="single" w:color="auto" w:sz="4" w:space="0"/>
              <w:right w:val="single" w:color="auto" w:sz="4" w:space="0"/>
            </w:tcBorders>
            <w:shd w:val="clear" w:color="auto" w:fill="auto"/>
            <w:noWrap/>
            <w:vAlign w:val="center"/>
          </w:tcPr>
          <w:p w14:paraId="35A74298">
            <w:pPr>
              <w:widowControl/>
              <w:spacing w:line="240" w:lineRule="exact"/>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5C5A6AC">
            <w:pPr>
              <w:widowControl/>
              <w:jc w:val="left"/>
              <w:rPr>
                <w:rFonts w:ascii="仿宋" w:hAnsi="仿宋" w:eastAsia="仿宋"/>
                <w:color w:val="000000"/>
                <w:kern w:val="0"/>
                <w:szCs w:val="21"/>
              </w:rPr>
            </w:pPr>
            <w:r>
              <w:rPr>
                <w:rFonts w:hint="eastAsia" w:ascii="仿宋" w:hAnsi="仿宋" w:eastAsia="仿宋"/>
                <w:kern w:val="0"/>
                <w:szCs w:val="21"/>
              </w:rPr>
              <w:t>提升民众抗震意识</w:t>
            </w:r>
          </w:p>
        </w:tc>
        <w:tc>
          <w:tcPr>
            <w:tcW w:w="2410" w:type="dxa"/>
            <w:gridSpan w:val="2"/>
            <w:tcBorders>
              <w:top w:val="single" w:color="auto" w:sz="4" w:space="0"/>
              <w:left w:val="nil"/>
              <w:bottom w:val="single" w:color="auto" w:sz="4" w:space="0"/>
              <w:right w:val="single" w:color="auto" w:sz="4" w:space="0"/>
            </w:tcBorders>
            <w:shd w:val="clear" w:color="auto" w:fill="auto"/>
            <w:noWrap/>
          </w:tcPr>
          <w:p w14:paraId="0C69223D">
            <w:pPr>
              <w:widowControl/>
              <w:rPr>
                <w:rFonts w:ascii="仿宋" w:hAnsi="仿宋" w:eastAsia="仿宋"/>
                <w:color w:val="000000"/>
                <w:kern w:val="0"/>
                <w:szCs w:val="21"/>
              </w:rPr>
            </w:pPr>
            <w:r>
              <w:rPr>
                <w:rFonts w:hint="eastAsia" w:ascii="仿宋" w:hAnsi="仿宋" w:eastAsia="仿宋"/>
                <w:kern w:val="0"/>
                <w:szCs w:val="21"/>
              </w:rPr>
              <w:t>民众防震减灾意识及自救互救能力有较大提升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E7556CD">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100%</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39E688AE">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w:t>
            </w:r>
          </w:p>
        </w:tc>
        <w:tc>
          <w:tcPr>
            <w:tcW w:w="655" w:type="dxa"/>
            <w:tcBorders>
              <w:top w:val="single" w:color="auto" w:sz="4" w:space="0"/>
              <w:left w:val="nil"/>
              <w:bottom w:val="single" w:color="auto" w:sz="4" w:space="0"/>
              <w:right w:val="single" w:color="auto" w:sz="4" w:space="0"/>
            </w:tcBorders>
            <w:shd w:val="clear" w:color="auto" w:fill="auto"/>
            <w:noWrap/>
            <w:vAlign w:val="center"/>
          </w:tcPr>
          <w:p w14:paraId="6484BC0B">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w:t>
            </w:r>
          </w:p>
        </w:tc>
        <w:tc>
          <w:tcPr>
            <w:tcW w:w="1134" w:type="dxa"/>
            <w:gridSpan w:val="2"/>
            <w:tcBorders>
              <w:top w:val="single" w:color="auto" w:sz="4" w:space="0"/>
              <w:left w:val="nil"/>
              <w:bottom w:val="single" w:color="auto" w:sz="4" w:space="0"/>
              <w:right w:val="single" w:color="auto" w:sz="4" w:space="0"/>
            </w:tcBorders>
            <w:shd w:val="clear" w:color="auto" w:fill="auto"/>
            <w:noWrap/>
            <w:vAlign w:val="center"/>
          </w:tcPr>
          <w:p w14:paraId="6A619F6A">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继续保持</w:t>
            </w:r>
          </w:p>
        </w:tc>
      </w:tr>
      <w:tr w14:paraId="50D668BD">
        <w:tblPrEx>
          <w:tblCellMar>
            <w:top w:w="0" w:type="dxa"/>
            <w:left w:w="108" w:type="dxa"/>
            <w:bottom w:w="0" w:type="dxa"/>
            <w:right w:w="108" w:type="dxa"/>
          </w:tblCellMar>
        </w:tblPrEx>
        <w:trPr>
          <w:trHeight w:val="340" w:hRule="atLeast"/>
          <w:jc w:val="center"/>
        </w:trPr>
        <w:tc>
          <w:tcPr>
            <w:tcW w:w="1083" w:type="dxa"/>
            <w:vMerge w:val="continue"/>
            <w:tcBorders>
              <w:left w:val="single" w:color="auto" w:sz="4" w:space="0"/>
              <w:right w:val="single" w:color="auto" w:sz="4" w:space="0"/>
            </w:tcBorders>
            <w:shd w:val="clear" w:color="auto" w:fill="auto"/>
            <w:noWrap/>
            <w:vAlign w:val="center"/>
          </w:tcPr>
          <w:p w14:paraId="7477D1E6">
            <w:pPr>
              <w:widowControl/>
              <w:jc w:val="center"/>
              <w:rPr>
                <w:rFonts w:eastAsia="仿宋_GB2312"/>
                <w:color w:val="000000"/>
                <w:kern w:val="0"/>
                <w:szCs w:val="21"/>
              </w:rPr>
            </w:pPr>
          </w:p>
        </w:tc>
        <w:tc>
          <w:tcPr>
            <w:tcW w:w="852" w:type="dxa"/>
            <w:vMerge w:val="continue"/>
            <w:tcBorders>
              <w:left w:val="nil"/>
              <w:right w:val="single" w:color="auto" w:sz="4" w:space="0"/>
            </w:tcBorders>
            <w:shd w:val="clear" w:color="auto" w:fill="auto"/>
            <w:noWrap/>
            <w:vAlign w:val="center"/>
          </w:tcPr>
          <w:p w14:paraId="29D93C47">
            <w:pPr>
              <w:widowControl/>
              <w:jc w:val="left"/>
              <w:rPr>
                <w:rFonts w:eastAsia="仿宋_GB2312"/>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0FFCCF">
            <w:pPr>
              <w:widowControl/>
              <w:spacing w:line="240" w:lineRule="exact"/>
              <w:jc w:val="center"/>
              <w:rPr>
                <w:rFonts w:eastAsia="仿宋_GB2312"/>
                <w:color w:val="000000"/>
                <w:kern w:val="0"/>
                <w:szCs w:val="21"/>
              </w:rPr>
            </w:pPr>
            <w:r>
              <w:rPr>
                <w:rFonts w:eastAsia="仿宋_GB2312"/>
                <w:color w:val="000000"/>
                <w:kern w:val="0"/>
                <w:szCs w:val="21"/>
              </w:rPr>
              <w:t>可持续影响指标</w:t>
            </w:r>
          </w:p>
        </w:tc>
        <w:tc>
          <w:tcPr>
            <w:tcW w:w="12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75F913">
            <w:pPr>
              <w:widowControl/>
              <w:jc w:val="left"/>
              <w:rPr>
                <w:rFonts w:ascii="仿宋" w:hAnsi="仿宋" w:eastAsia="仿宋"/>
                <w:color w:val="000000"/>
                <w:kern w:val="0"/>
                <w:szCs w:val="21"/>
              </w:rPr>
            </w:pPr>
            <w:r>
              <w:rPr>
                <w:rFonts w:hint="eastAsia" w:ascii="仿宋" w:hAnsi="仿宋" w:eastAsia="仿宋"/>
                <w:kern w:val="0"/>
                <w:szCs w:val="21"/>
              </w:rPr>
              <w:t>发挥作用的期限</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8A9C7AF">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kern w:val="0"/>
                <w:szCs w:val="21"/>
              </w:rPr>
              <w:t>长期稳定的对地震进行监测</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B0239E">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100%</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AF7333">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w:t>
            </w: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4C25AD">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10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67C981">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继续保持</w:t>
            </w:r>
          </w:p>
        </w:tc>
      </w:tr>
      <w:tr w14:paraId="3568DD8E">
        <w:tblPrEx>
          <w:tblCellMar>
            <w:top w:w="0" w:type="dxa"/>
            <w:left w:w="108" w:type="dxa"/>
            <w:bottom w:w="0" w:type="dxa"/>
            <w:right w:w="108" w:type="dxa"/>
          </w:tblCellMar>
        </w:tblPrEx>
        <w:trPr>
          <w:trHeight w:val="526" w:hRule="atLeast"/>
          <w:jc w:val="center"/>
        </w:trPr>
        <w:tc>
          <w:tcPr>
            <w:tcW w:w="1083" w:type="dxa"/>
            <w:vMerge w:val="continue"/>
            <w:tcBorders>
              <w:left w:val="single" w:color="auto" w:sz="4" w:space="0"/>
              <w:right w:val="single" w:color="auto" w:sz="4" w:space="0"/>
            </w:tcBorders>
            <w:shd w:val="clear" w:color="auto" w:fill="auto"/>
            <w:noWrap/>
            <w:vAlign w:val="center"/>
          </w:tcPr>
          <w:p w14:paraId="39E372D0">
            <w:pPr>
              <w:jc w:val="left"/>
              <w:rPr>
                <w:rFonts w:eastAsia="仿宋_GB2312"/>
                <w:color w:val="000000"/>
                <w:kern w:val="0"/>
                <w:szCs w:val="21"/>
              </w:rPr>
            </w:pPr>
          </w:p>
        </w:tc>
        <w:tc>
          <w:tcPr>
            <w:tcW w:w="852" w:type="dxa"/>
            <w:vMerge w:val="continue"/>
            <w:tcBorders>
              <w:left w:val="nil"/>
              <w:right w:val="single" w:color="auto" w:sz="4" w:space="0"/>
            </w:tcBorders>
            <w:shd w:val="clear" w:color="auto" w:fill="auto"/>
            <w:noWrap/>
            <w:vAlign w:val="center"/>
          </w:tcPr>
          <w:p w14:paraId="095A86FA">
            <w:pPr>
              <w:widowControl/>
              <w:jc w:val="center"/>
              <w:rPr>
                <w:rFonts w:eastAsia="仿宋_GB2312"/>
                <w:color w:val="000000"/>
                <w:kern w:val="0"/>
                <w:szCs w:val="21"/>
              </w:rPr>
            </w:pPr>
          </w:p>
        </w:tc>
        <w:tc>
          <w:tcPr>
            <w:tcW w:w="850" w:type="dxa"/>
            <w:tcBorders>
              <w:top w:val="nil"/>
              <w:left w:val="nil"/>
              <w:bottom w:val="single" w:color="auto" w:sz="4" w:space="0"/>
              <w:right w:val="single" w:color="auto" w:sz="4" w:space="0"/>
            </w:tcBorders>
            <w:shd w:val="clear" w:color="auto" w:fill="auto"/>
            <w:noWrap/>
            <w:vAlign w:val="center"/>
          </w:tcPr>
          <w:p w14:paraId="24DF676A">
            <w:pPr>
              <w:widowControl/>
              <w:spacing w:line="240" w:lineRule="exact"/>
              <w:jc w:val="center"/>
              <w:rPr>
                <w:rFonts w:eastAsia="仿宋_GB2312"/>
                <w:color w:val="000000"/>
                <w:kern w:val="0"/>
                <w:szCs w:val="21"/>
              </w:rPr>
            </w:pPr>
            <w:r>
              <w:rPr>
                <w:rFonts w:eastAsia="仿宋_GB2312"/>
                <w:color w:val="000000"/>
                <w:kern w:val="0"/>
                <w:szCs w:val="21"/>
              </w:rPr>
              <w:t>社会公众或服务对象满意度</w:t>
            </w:r>
          </w:p>
        </w:tc>
        <w:tc>
          <w:tcPr>
            <w:tcW w:w="4678" w:type="dxa"/>
            <w:gridSpan w:val="4"/>
            <w:tcBorders>
              <w:top w:val="nil"/>
              <w:left w:val="nil"/>
              <w:bottom w:val="single" w:color="auto" w:sz="4" w:space="0"/>
              <w:right w:val="single" w:color="auto" w:sz="4" w:space="0"/>
            </w:tcBorders>
            <w:shd w:val="clear" w:color="auto" w:fill="auto"/>
            <w:noWrap/>
            <w:vAlign w:val="center"/>
          </w:tcPr>
          <w:p w14:paraId="5BDE8212">
            <w:pPr>
              <w:widowControl/>
              <w:jc w:val="left"/>
              <w:rPr>
                <w:rFonts w:ascii="仿宋" w:hAnsi="仿宋" w:eastAsia="仿宋"/>
                <w:color w:val="000000"/>
                <w:kern w:val="0"/>
                <w:szCs w:val="21"/>
              </w:rPr>
            </w:pPr>
            <w:r>
              <w:rPr>
                <w:rFonts w:hint="eastAsia" w:ascii="仿宋" w:hAnsi="仿宋" w:eastAsia="仿宋"/>
                <w:kern w:val="0"/>
                <w:szCs w:val="21"/>
              </w:rPr>
              <w:t>达到95%以上</w:t>
            </w:r>
          </w:p>
        </w:tc>
        <w:tc>
          <w:tcPr>
            <w:tcW w:w="851" w:type="dxa"/>
            <w:tcBorders>
              <w:top w:val="nil"/>
              <w:left w:val="nil"/>
              <w:bottom w:val="single" w:color="auto" w:sz="4" w:space="0"/>
              <w:right w:val="single" w:color="auto" w:sz="4" w:space="0"/>
            </w:tcBorders>
            <w:shd w:val="clear" w:color="auto" w:fill="auto"/>
            <w:noWrap/>
            <w:vAlign w:val="center"/>
          </w:tcPr>
          <w:p w14:paraId="3ECB9AC5">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20</w:t>
            </w:r>
          </w:p>
        </w:tc>
        <w:tc>
          <w:tcPr>
            <w:tcW w:w="655" w:type="dxa"/>
            <w:tcBorders>
              <w:top w:val="nil"/>
              <w:left w:val="nil"/>
              <w:bottom w:val="single" w:color="auto" w:sz="4" w:space="0"/>
              <w:right w:val="single" w:color="auto" w:sz="4" w:space="0"/>
            </w:tcBorders>
            <w:shd w:val="clear" w:color="auto" w:fill="auto"/>
            <w:noWrap/>
            <w:vAlign w:val="center"/>
          </w:tcPr>
          <w:p w14:paraId="685CEC3B">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20</w:t>
            </w:r>
          </w:p>
        </w:tc>
        <w:tc>
          <w:tcPr>
            <w:tcW w:w="1134" w:type="dxa"/>
            <w:gridSpan w:val="2"/>
            <w:tcBorders>
              <w:top w:val="nil"/>
              <w:left w:val="nil"/>
              <w:bottom w:val="single" w:color="auto" w:sz="4" w:space="0"/>
              <w:right w:val="single" w:color="auto" w:sz="4" w:space="0"/>
            </w:tcBorders>
            <w:shd w:val="clear" w:color="auto" w:fill="auto"/>
            <w:noWrap/>
            <w:vAlign w:val="center"/>
          </w:tcPr>
          <w:p w14:paraId="04D616F1">
            <w:pPr>
              <w:widowControl/>
              <w:jc w:val="left"/>
              <w:rPr>
                <w:rFonts w:ascii="仿宋" w:hAnsi="仿宋" w:eastAsia="仿宋"/>
                <w:color w:val="000000"/>
                <w:kern w:val="0"/>
                <w:szCs w:val="21"/>
              </w:rPr>
            </w:pPr>
            <w:r>
              <w:rPr>
                <w:rFonts w:ascii="仿宋" w:hAnsi="仿宋" w:eastAsia="仿宋"/>
                <w:color w:val="000000"/>
                <w:kern w:val="0"/>
                <w:szCs w:val="21"/>
              </w:rPr>
              <w:t>　</w:t>
            </w:r>
            <w:r>
              <w:rPr>
                <w:rFonts w:hint="eastAsia" w:ascii="仿宋" w:hAnsi="仿宋" w:eastAsia="仿宋"/>
                <w:color w:val="000000"/>
                <w:kern w:val="0"/>
                <w:szCs w:val="21"/>
              </w:rPr>
              <w:t>继续保持</w:t>
            </w:r>
          </w:p>
        </w:tc>
      </w:tr>
      <w:tr w14:paraId="6696B4D1">
        <w:tblPrEx>
          <w:tblCellMar>
            <w:top w:w="0" w:type="dxa"/>
            <w:left w:w="108" w:type="dxa"/>
            <w:bottom w:w="0" w:type="dxa"/>
            <w:right w:w="108" w:type="dxa"/>
          </w:tblCellMar>
        </w:tblPrEx>
        <w:trPr>
          <w:trHeight w:val="340" w:hRule="atLeast"/>
          <w:jc w:val="center"/>
        </w:trPr>
        <w:tc>
          <w:tcPr>
            <w:tcW w:w="746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5228204B">
            <w:pPr>
              <w:widowControl/>
              <w:jc w:val="left"/>
              <w:rPr>
                <w:rFonts w:eastAsia="仿宋_GB2312"/>
                <w:color w:val="000000"/>
                <w:kern w:val="0"/>
                <w:szCs w:val="21"/>
              </w:rPr>
            </w:pPr>
            <w:r>
              <w:rPr>
                <w:rFonts w:eastAsia="仿宋_GB2312"/>
                <w:color w:val="000000"/>
                <w:kern w:val="0"/>
                <w:szCs w:val="21"/>
              </w:rPr>
              <w:t xml:space="preserve">                          总分</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5FD1F9">
            <w:pPr>
              <w:widowControl/>
              <w:ind w:firstLine="210" w:firstLineChars="100"/>
              <w:jc w:val="left"/>
              <w:rPr>
                <w:rFonts w:eastAsia="仿宋_GB2312"/>
                <w:color w:val="000000"/>
                <w:kern w:val="0"/>
                <w:szCs w:val="21"/>
              </w:rPr>
            </w:pPr>
            <w:r>
              <w:rPr>
                <w:rFonts w:eastAsia="仿宋_GB2312"/>
                <w:color w:val="000000"/>
                <w:kern w:val="0"/>
                <w:szCs w:val="21"/>
              </w:rPr>
              <w:t>100</w:t>
            </w:r>
          </w:p>
        </w:tc>
        <w:tc>
          <w:tcPr>
            <w:tcW w:w="6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B0ECDE">
            <w:pPr>
              <w:widowControl/>
              <w:jc w:val="left"/>
              <w:rPr>
                <w:rFonts w:eastAsia="仿宋_GB2312"/>
                <w:color w:val="000000"/>
                <w:kern w:val="0"/>
                <w:szCs w:val="21"/>
              </w:rPr>
            </w:pPr>
            <w:r>
              <w:rPr>
                <w:rFonts w:hint="eastAsia" w:eastAsia="仿宋_GB2312"/>
                <w:color w:val="000000"/>
                <w:kern w:val="0"/>
                <w:szCs w:val="21"/>
              </w:rPr>
              <w:t>100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39020E0">
            <w:pPr>
              <w:widowControl/>
              <w:jc w:val="left"/>
              <w:rPr>
                <w:rFonts w:eastAsia="仿宋_GB2312"/>
                <w:color w:val="000000"/>
                <w:kern w:val="0"/>
                <w:szCs w:val="21"/>
              </w:rPr>
            </w:pPr>
          </w:p>
        </w:tc>
      </w:tr>
    </w:tbl>
    <w:p w14:paraId="6A352D4C">
      <w:pPr>
        <w:spacing w:before="156" w:beforeLines="50"/>
        <w:rPr>
          <w:rFonts w:eastAsia="黑体"/>
          <w:sz w:val="32"/>
          <w:szCs w:val="32"/>
        </w:rPr>
      </w:pPr>
      <w:r>
        <w:rPr>
          <w:rFonts w:eastAsia="仿宋_GB2312"/>
          <w:sz w:val="24"/>
        </w:rPr>
        <w:t>填表人：</w:t>
      </w:r>
      <w:r>
        <w:rPr>
          <w:rFonts w:hint="eastAsia" w:eastAsia="仿宋_GB2312"/>
          <w:sz w:val="24"/>
        </w:rPr>
        <w:t>黄荟琳</w:t>
      </w:r>
      <w:r>
        <w:rPr>
          <w:rFonts w:eastAsia="仿宋_GB2312"/>
          <w:sz w:val="24"/>
        </w:rPr>
        <w:t xml:space="preserve"> 填报日期：</w:t>
      </w:r>
      <w:r>
        <w:rPr>
          <w:rFonts w:hint="eastAsia" w:eastAsia="仿宋_GB2312"/>
          <w:sz w:val="24"/>
        </w:rPr>
        <w:t>2022年4月15日</w:t>
      </w:r>
      <w:r>
        <w:rPr>
          <w:rFonts w:eastAsia="仿宋_GB2312"/>
          <w:sz w:val="24"/>
        </w:rPr>
        <w:t>联系电话：</w:t>
      </w:r>
      <w:r>
        <w:rPr>
          <w:rFonts w:hint="eastAsia" w:eastAsia="仿宋_GB2312"/>
          <w:sz w:val="24"/>
        </w:rPr>
        <w:t>18073483067</w:t>
      </w:r>
      <w:r>
        <w:rPr>
          <w:rFonts w:eastAsia="仿宋_GB2312"/>
          <w:sz w:val="24"/>
        </w:rPr>
        <w:t xml:space="preserve"> 单位负责人签字：</w:t>
      </w:r>
    </w:p>
    <w:sectPr>
      <w:footerReference r:id="rId3" w:type="default"/>
      <w:pgSz w:w="11906" w:h="16838"/>
      <w:pgMar w:top="567" w:right="851" w:bottom="567" w:left="851" w:header="851" w:footer="992" w:gutter="0"/>
      <w:pgNumType w:start="0" w:chapStyle="2"/>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PMingLiU">
    <w:altName w:val="Microsoft JhengHei UI"/>
    <w:panose1 w:val="02010601000101010101"/>
    <w:charset w:val="88"/>
    <w:family w:val="auto"/>
    <w:pitch w:val="default"/>
    <w:sig w:usb0="00000000" w:usb1="00000000" w:usb2="00000010" w:usb3="00000000" w:csb0="0010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661108"/>
      <w:docPartObj>
        <w:docPartGallery w:val="AutoText"/>
      </w:docPartObj>
    </w:sdtPr>
    <w:sdtContent>
      <w:p w14:paraId="54811F11">
        <w:pPr>
          <w:pStyle w:val="5"/>
          <w:jc w:val="center"/>
        </w:pPr>
        <w:r>
          <w:fldChar w:fldCharType="begin"/>
        </w:r>
        <w:r>
          <w:instrText xml:space="preserve">PAGE   \* MERGEFORMAT</w:instrText>
        </w:r>
        <w:r>
          <w:fldChar w:fldCharType="separate"/>
        </w:r>
        <w:r>
          <w:rPr>
            <w:lang w:val="zh-CN"/>
          </w:rPr>
          <w:t>5</w:t>
        </w:r>
        <w:r>
          <w:fldChar w:fldCharType="end"/>
        </w:r>
      </w:p>
    </w:sdtContent>
  </w:sdt>
  <w:p w14:paraId="39053CED">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2B2E"/>
    <w:rsid w:val="00021532"/>
    <w:rsid w:val="00027015"/>
    <w:rsid w:val="00063F1E"/>
    <w:rsid w:val="00067770"/>
    <w:rsid w:val="00094A69"/>
    <w:rsid w:val="000C2B00"/>
    <w:rsid w:val="000E1CC2"/>
    <w:rsid w:val="000E70FD"/>
    <w:rsid w:val="00196FF0"/>
    <w:rsid w:val="001D7CFA"/>
    <w:rsid w:val="00201BC7"/>
    <w:rsid w:val="002372E8"/>
    <w:rsid w:val="00257706"/>
    <w:rsid w:val="00275A8C"/>
    <w:rsid w:val="002855A0"/>
    <w:rsid w:val="00292185"/>
    <w:rsid w:val="002A68A5"/>
    <w:rsid w:val="002B508F"/>
    <w:rsid w:val="002C7F58"/>
    <w:rsid w:val="002D19A0"/>
    <w:rsid w:val="002F2586"/>
    <w:rsid w:val="002F67D2"/>
    <w:rsid w:val="00335DF9"/>
    <w:rsid w:val="00354FA3"/>
    <w:rsid w:val="00356E5C"/>
    <w:rsid w:val="00390ECC"/>
    <w:rsid w:val="003B359E"/>
    <w:rsid w:val="003C7308"/>
    <w:rsid w:val="003F3052"/>
    <w:rsid w:val="003F739D"/>
    <w:rsid w:val="00402E56"/>
    <w:rsid w:val="0040697B"/>
    <w:rsid w:val="004131B9"/>
    <w:rsid w:val="00413903"/>
    <w:rsid w:val="00413911"/>
    <w:rsid w:val="00433253"/>
    <w:rsid w:val="00437C0E"/>
    <w:rsid w:val="00440718"/>
    <w:rsid w:val="0044276D"/>
    <w:rsid w:val="00457279"/>
    <w:rsid w:val="00461AA5"/>
    <w:rsid w:val="004664A4"/>
    <w:rsid w:val="00493F0E"/>
    <w:rsid w:val="004C15AF"/>
    <w:rsid w:val="004D1E4E"/>
    <w:rsid w:val="005178D7"/>
    <w:rsid w:val="005322E4"/>
    <w:rsid w:val="00532B2E"/>
    <w:rsid w:val="005347D9"/>
    <w:rsid w:val="00540E7D"/>
    <w:rsid w:val="00560032"/>
    <w:rsid w:val="0056694E"/>
    <w:rsid w:val="00575100"/>
    <w:rsid w:val="00596E13"/>
    <w:rsid w:val="005A3ECD"/>
    <w:rsid w:val="005C35EC"/>
    <w:rsid w:val="005C740E"/>
    <w:rsid w:val="005F1C5B"/>
    <w:rsid w:val="00625B42"/>
    <w:rsid w:val="00637592"/>
    <w:rsid w:val="006475B4"/>
    <w:rsid w:val="006828CD"/>
    <w:rsid w:val="00693AAB"/>
    <w:rsid w:val="00706E55"/>
    <w:rsid w:val="00732D61"/>
    <w:rsid w:val="0079626B"/>
    <w:rsid w:val="007C0C90"/>
    <w:rsid w:val="007E60DA"/>
    <w:rsid w:val="007F1D0C"/>
    <w:rsid w:val="008146E4"/>
    <w:rsid w:val="008531FB"/>
    <w:rsid w:val="00865712"/>
    <w:rsid w:val="00874448"/>
    <w:rsid w:val="00875203"/>
    <w:rsid w:val="008C1539"/>
    <w:rsid w:val="00903708"/>
    <w:rsid w:val="009165C5"/>
    <w:rsid w:val="0093144E"/>
    <w:rsid w:val="00933B1E"/>
    <w:rsid w:val="00933E52"/>
    <w:rsid w:val="00940FDD"/>
    <w:rsid w:val="0098203F"/>
    <w:rsid w:val="00987858"/>
    <w:rsid w:val="00992A69"/>
    <w:rsid w:val="00A04310"/>
    <w:rsid w:val="00A1586B"/>
    <w:rsid w:val="00A21D7E"/>
    <w:rsid w:val="00A65619"/>
    <w:rsid w:val="00A968D4"/>
    <w:rsid w:val="00AA7CD2"/>
    <w:rsid w:val="00AD4349"/>
    <w:rsid w:val="00B358E0"/>
    <w:rsid w:val="00B35E3F"/>
    <w:rsid w:val="00B45B6C"/>
    <w:rsid w:val="00B50F21"/>
    <w:rsid w:val="00B55350"/>
    <w:rsid w:val="00B72733"/>
    <w:rsid w:val="00B756E0"/>
    <w:rsid w:val="00B7733C"/>
    <w:rsid w:val="00B82D93"/>
    <w:rsid w:val="00BD210E"/>
    <w:rsid w:val="00C07840"/>
    <w:rsid w:val="00C235D8"/>
    <w:rsid w:val="00C33A40"/>
    <w:rsid w:val="00C35979"/>
    <w:rsid w:val="00C53084"/>
    <w:rsid w:val="00C536B8"/>
    <w:rsid w:val="00CC6B75"/>
    <w:rsid w:val="00CF0148"/>
    <w:rsid w:val="00CF6A54"/>
    <w:rsid w:val="00D17960"/>
    <w:rsid w:val="00D459C5"/>
    <w:rsid w:val="00D70303"/>
    <w:rsid w:val="00D72546"/>
    <w:rsid w:val="00D821C6"/>
    <w:rsid w:val="00D94B1F"/>
    <w:rsid w:val="00DA038B"/>
    <w:rsid w:val="00DE343D"/>
    <w:rsid w:val="00DE5354"/>
    <w:rsid w:val="00DF4F2A"/>
    <w:rsid w:val="00E037CF"/>
    <w:rsid w:val="00E04DB0"/>
    <w:rsid w:val="00E25896"/>
    <w:rsid w:val="00E33250"/>
    <w:rsid w:val="00E3586B"/>
    <w:rsid w:val="00E37143"/>
    <w:rsid w:val="00E44B29"/>
    <w:rsid w:val="00E50020"/>
    <w:rsid w:val="00E53BD4"/>
    <w:rsid w:val="00E54752"/>
    <w:rsid w:val="00E864C3"/>
    <w:rsid w:val="00E93F8B"/>
    <w:rsid w:val="00EB02C8"/>
    <w:rsid w:val="00EB3DEF"/>
    <w:rsid w:val="00EC29D1"/>
    <w:rsid w:val="00EC5897"/>
    <w:rsid w:val="00ED2C3E"/>
    <w:rsid w:val="00F071F5"/>
    <w:rsid w:val="00F519F0"/>
    <w:rsid w:val="00FA3468"/>
    <w:rsid w:val="00FA7787"/>
    <w:rsid w:val="00FB0636"/>
    <w:rsid w:val="00FB39D2"/>
    <w:rsid w:val="00FB6FBC"/>
    <w:rsid w:val="00FD6D01"/>
    <w:rsid w:val="00FE6754"/>
    <w:rsid w:val="3A0C19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Plain Text"/>
    <w:basedOn w:val="1"/>
    <w:link w:val="11"/>
    <w:qFormat/>
    <w:uiPriority w:val="0"/>
    <w:rPr>
      <w:rFonts w:ascii="宋体" w:hAnsi="Courier New" w:cs="Courier New"/>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0">
    <w:name w:val="List Paragraph"/>
    <w:basedOn w:val="1"/>
    <w:qFormat/>
    <w:uiPriority w:val="99"/>
    <w:pPr>
      <w:ind w:firstLine="420" w:firstLineChars="200"/>
    </w:pPr>
  </w:style>
  <w:style w:type="character" w:customStyle="1" w:styleId="11">
    <w:name w:val="纯文本 Char"/>
    <w:basedOn w:val="9"/>
    <w:link w:val="3"/>
    <w:qFormat/>
    <w:uiPriority w:val="0"/>
    <w:rPr>
      <w:rFonts w:ascii="宋体" w:hAnsi="Courier New" w:eastAsia="宋体" w:cs="Courier New"/>
      <w:szCs w:val="21"/>
    </w:rPr>
  </w:style>
  <w:style w:type="paragraph" w:customStyle="1" w:styleId="12">
    <w:name w:val="p0"/>
    <w:basedOn w:val="1"/>
    <w:qFormat/>
    <w:uiPriority w:val="0"/>
    <w:pPr>
      <w:widowControl/>
    </w:pPr>
    <w:rPr>
      <w:kern w:val="0"/>
      <w:szCs w:val="21"/>
    </w:rPr>
  </w:style>
  <w:style w:type="character" w:customStyle="1" w:styleId="13">
    <w:name w:val="页眉 Char"/>
    <w:basedOn w:val="9"/>
    <w:link w:val="6"/>
    <w:qFormat/>
    <w:uiPriority w:val="99"/>
    <w:rPr>
      <w:rFonts w:ascii="Times New Roman" w:hAnsi="Times New Roman" w:eastAsia="宋体" w:cs="Times New Roman"/>
      <w:sz w:val="18"/>
      <w:szCs w:val="18"/>
    </w:rPr>
  </w:style>
  <w:style w:type="character" w:customStyle="1" w:styleId="14">
    <w:name w:val="页脚 Char"/>
    <w:basedOn w:val="9"/>
    <w:link w:val="5"/>
    <w:qFormat/>
    <w:uiPriority w:val="99"/>
    <w:rPr>
      <w:rFonts w:ascii="Times New Roman" w:hAnsi="Times New Roman" w:eastAsia="宋体" w:cs="Times New Roman"/>
      <w:sz w:val="18"/>
      <w:szCs w:val="18"/>
    </w:rPr>
  </w:style>
  <w:style w:type="character" w:customStyle="1" w:styleId="15">
    <w:name w:val="批注文字 Char"/>
    <w:basedOn w:val="9"/>
    <w:link w:val="2"/>
    <w:qFormat/>
    <w:uiPriority w:val="0"/>
    <w:rPr>
      <w:rFonts w:ascii="Times New Roman" w:hAnsi="Times New Roman" w:eastAsia="宋体" w:cs="Times New Roman"/>
      <w:szCs w:val="24"/>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96821-3CB9-48F5-886D-A7DB3E174D33}">
  <ds:schemaRefs/>
</ds:datastoreItem>
</file>

<file path=docProps/app.xml><?xml version="1.0" encoding="utf-8"?>
<Properties xmlns="http://schemas.openxmlformats.org/officeDocument/2006/extended-properties" xmlns:vt="http://schemas.openxmlformats.org/officeDocument/2006/docPropsVTypes">
  <Template>Normal</Template>
  <Company>Far123</Company>
  <Pages>6</Pages>
  <Words>2553</Words>
  <Characters>2961</Characters>
  <Lines>26</Lines>
  <Paragraphs>7</Paragraphs>
  <TotalTime>235</TotalTime>
  <ScaleCrop>false</ScaleCrop>
  <LinksUpToDate>false</LinksUpToDate>
  <CharactersWithSpaces>3082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2021-01-26T08:08:00Z</dcterms:created>
  <dc:creator>User</dc:creator>
  <cp:lastModifiedBy>tsq太神奇那</cp:lastModifiedBy>
  <cp:lastPrinted>2022-04-15T01:48:00Z</cp:lastPrinted>
  <dcterms:modified xsi:type="dcterms:W3CDTF">2025-05-25T16:58:39Z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eyJoZGlkIjoiMjlkYmVmNzcyZGNmYmM0MTU3MjkzMDFiMDc4YjhlMzMiLCJ1c2VySWQiOiI0MTY1OTcxODgifQ==</vt:lpwstr>
  </property>
  <property fmtid="{D5CDD505-2E9C-101B-9397-08002B2CF9AE}" pid="3" name="KSOProductBuildVer">
    <vt:lpwstr>2052-12.1.0.20784</vt:lpwstr>
  </property>
  <property fmtid="{D5CDD505-2E9C-101B-9397-08002B2CF9AE}" pid="4" name="ICV">
    <vt:lpwstr>248222422928411DB2278297614503D0_12</vt:lpwstr>
  </property>
</Properties>
</file>