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5C415">
      <w:pPr>
        <w:rPr>
          <w:rFonts w:ascii="黑体" w:eastAsia="黑体"/>
          <w:sz w:val="32"/>
          <w:szCs w:val="32"/>
        </w:rPr>
      </w:pPr>
      <w:bookmarkStart w:id="0" w:name="_GoBack"/>
      <w:bookmarkEnd w:id="0"/>
      <w:r>
        <w:rPr>
          <w:rFonts w:hint="eastAsia" w:ascii="黑体" w:eastAsia="黑体"/>
          <w:sz w:val="32"/>
          <w:szCs w:val="32"/>
        </w:rPr>
        <w:t xml:space="preserve"> </w:t>
      </w:r>
    </w:p>
    <w:p w14:paraId="6E59B16A">
      <w:pPr>
        <w:jc w:val="center"/>
        <w:rPr>
          <w:rFonts w:ascii="方正小标宋_GBK" w:eastAsia="方正小标宋_GBK"/>
          <w:sz w:val="48"/>
          <w:szCs w:val="48"/>
        </w:rPr>
      </w:pPr>
      <w:r>
        <w:rPr>
          <w:rFonts w:ascii="方正小标宋_GBK"/>
          <w:sz w:val="48"/>
          <w:szCs w:val="48"/>
        </w:rPr>
        <w:t>20</w:t>
      </w:r>
      <w:r>
        <w:rPr>
          <w:rFonts w:hint="eastAsia" w:ascii="方正小标宋_GBK"/>
          <w:sz w:val="48"/>
          <w:szCs w:val="48"/>
        </w:rPr>
        <w:t>2</w:t>
      </w:r>
      <w:r>
        <w:rPr>
          <w:rFonts w:hint="default" w:ascii="方正小标宋_GBK"/>
          <w:sz w:val="48"/>
          <w:szCs w:val="48"/>
          <w:lang w:val="en"/>
        </w:rPr>
        <w:t>1</w:t>
      </w:r>
      <w:r>
        <w:rPr>
          <w:rFonts w:hint="eastAsia" w:ascii="方正小标宋_GBK"/>
          <w:sz w:val="48"/>
          <w:szCs w:val="48"/>
        </w:rPr>
        <w:t>年度部门整体支出绩效自评报告</w:t>
      </w:r>
    </w:p>
    <w:p w14:paraId="365EDB54">
      <w:pPr>
        <w:jc w:val="center"/>
        <w:rPr>
          <w:rFonts w:ascii="黑体" w:eastAsia="黑体"/>
          <w:sz w:val="32"/>
          <w:szCs w:val="32"/>
        </w:rPr>
      </w:pPr>
    </w:p>
    <w:p w14:paraId="18A6D320">
      <w:pPr>
        <w:jc w:val="center"/>
        <w:rPr>
          <w:rFonts w:ascii="黑体" w:eastAsia="黑体"/>
          <w:sz w:val="32"/>
          <w:szCs w:val="32"/>
        </w:rPr>
      </w:pPr>
    </w:p>
    <w:p w14:paraId="768716B2">
      <w:pPr>
        <w:jc w:val="center"/>
        <w:rPr>
          <w:rFonts w:ascii="黑体" w:eastAsia="黑体"/>
          <w:sz w:val="32"/>
          <w:szCs w:val="32"/>
        </w:rPr>
      </w:pPr>
    </w:p>
    <w:p w14:paraId="76E22A20">
      <w:pPr>
        <w:jc w:val="center"/>
        <w:rPr>
          <w:rFonts w:ascii="黑体" w:eastAsia="黑体"/>
          <w:sz w:val="32"/>
          <w:szCs w:val="32"/>
        </w:rPr>
      </w:pPr>
    </w:p>
    <w:p w14:paraId="1E91A923">
      <w:pPr>
        <w:jc w:val="center"/>
        <w:rPr>
          <w:rFonts w:ascii="黑体" w:eastAsia="黑体"/>
          <w:sz w:val="32"/>
          <w:szCs w:val="32"/>
        </w:rPr>
      </w:pPr>
    </w:p>
    <w:p w14:paraId="21FA0D96">
      <w:pPr>
        <w:jc w:val="center"/>
        <w:rPr>
          <w:rFonts w:ascii="黑体" w:eastAsia="黑体"/>
          <w:sz w:val="32"/>
          <w:szCs w:val="32"/>
        </w:rPr>
      </w:pPr>
    </w:p>
    <w:p w14:paraId="3EADD7A1">
      <w:pPr>
        <w:jc w:val="center"/>
        <w:rPr>
          <w:rFonts w:ascii="黑体" w:eastAsia="黑体"/>
          <w:sz w:val="32"/>
          <w:szCs w:val="32"/>
        </w:rPr>
      </w:pPr>
    </w:p>
    <w:p w14:paraId="07FE9088">
      <w:pPr>
        <w:rPr>
          <w:rFonts w:ascii="黑体" w:eastAsia="黑体"/>
          <w:sz w:val="32"/>
          <w:szCs w:val="32"/>
        </w:rPr>
      </w:pPr>
    </w:p>
    <w:p w14:paraId="4C2D6589">
      <w:pPr>
        <w:jc w:val="center"/>
        <w:rPr>
          <w:rFonts w:ascii="黑体" w:eastAsia="黑体"/>
          <w:sz w:val="32"/>
          <w:szCs w:val="32"/>
        </w:rPr>
      </w:pPr>
    </w:p>
    <w:p w14:paraId="2789D580">
      <w:pPr>
        <w:jc w:val="center"/>
        <w:rPr>
          <w:rFonts w:ascii="黑体" w:eastAsia="黑体"/>
          <w:sz w:val="44"/>
          <w:szCs w:val="44"/>
        </w:rPr>
      </w:pPr>
      <w:r>
        <w:rPr>
          <w:rFonts w:hint="eastAsia" w:ascii="黑体"/>
          <w:sz w:val="44"/>
          <w:szCs w:val="44"/>
        </w:rPr>
        <w:t>单位名称（盖章）</w:t>
      </w:r>
    </w:p>
    <w:p w14:paraId="49FB2CAE">
      <w:pPr>
        <w:jc w:val="center"/>
        <w:rPr>
          <w:rFonts w:ascii="黑体" w:eastAsia="黑体"/>
          <w:sz w:val="32"/>
          <w:szCs w:val="32"/>
        </w:rPr>
      </w:pPr>
    </w:p>
    <w:p w14:paraId="64447DF3">
      <w:pPr>
        <w:jc w:val="center"/>
        <w:rPr>
          <w:rFonts w:ascii="黑体" w:eastAsia="黑体"/>
          <w:sz w:val="32"/>
          <w:szCs w:val="32"/>
        </w:rPr>
      </w:pPr>
    </w:p>
    <w:p w14:paraId="3A6B1B58">
      <w:pPr>
        <w:jc w:val="center"/>
        <w:rPr>
          <w:rFonts w:ascii="黑体" w:eastAsia="黑体"/>
          <w:sz w:val="32"/>
          <w:szCs w:val="32"/>
        </w:rPr>
      </w:pPr>
    </w:p>
    <w:p w14:paraId="1CBEE9B8">
      <w:pPr>
        <w:jc w:val="center"/>
        <w:rPr>
          <w:rFonts w:ascii="黑体" w:eastAsia="黑体"/>
          <w:sz w:val="32"/>
          <w:szCs w:val="32"/>
        </w:rPr>
      </w:pPr>
    </w:p>
    <w:p w14:paraId="1BA96753">
      <w:pPr>
        <w:jc w:val="center"/>
        <w:rPr>
          <w:rFonts w:ascii="黑体" w:eastAsia="黑体"/>
          <w:sz w:val="32"/>
          <w:szCs w:val="32"/>
        </w:rPr>
      </w:pPr>
    </w:p>
    <w:p w14:paraId="10A626E3">
      <w:pPr>
        <w:pStyle w:val="10"/>
        <w:widowControl/>
        <w:spacing w:line="600" w:lineRule="exact"/>
        <w:ind w:firstLine="640" w:firstLineChars="0"/>
        <w:rPr>
          <w:rFonts w:ascii="黑体" w:hAnsi="黑体"/>
          <w:sz w:val="32"/>
          <w:szCs w:val="32"/>
        </w:rPr>
      </w:pPr>
    </w:p>
    <w:p w14:paraId="73E4238E">
      <w:pPr>
        <w:pStyle w:val="10"/>
        <w:widowControl/>
        <w:spacing w:line="600" w:lineRule="exact"/>
        <w:ind w:firstLine="640" w:firstLineChars="0"/>
        <w:rPr>
          <w:rFonts w:ascii="黑体" w:hAnsi="黑体"/>
          <w:sz w:val="32"/>
          <w:szCs w:val="32"/>
        </w:rPr>
      </w:pPr>
    </w:p>
    <w:p w14:paraId="139EB444">
      <w:pPr>
        <w:pStyle w:val="10"/>
        <w:widowControl/>
        <w:spacing w:line="600" w:lineRule="exact"/>
        <w:ind w:firstLine="640" w:firstLineChars="0"/>
        <w:rPr>
          <w:rFonts w:ascii="黑体" w:hAnsi="黑体"/>
          <w:sz w:val="32"/>
          <w:szCs w:val="32"/>
        </w:rPr>
      </w:pPr>
    </w:p>
    <w:p w14:paraId="6D85D5EB">
      <w:pPr>
        <w:pStyle w:val="10"/>
        <w:widowControl/>
        <w:spacing w:line="600" w:lineRule="exact"/>
        <w:ind w:firstLine="640" w:firstLineChars="0"/>
        <w:rPr>
          <w:rFonts w:ascii="黑体" w:hAnsi="黑体"/>
          <w:sz w:val="32"/>
          <w:szCs w:val="32"/>
        </w:rPr>
      </w:pPr>
    </w:p>
    <w:p w14:paraId="1EFF7FB6">
      <w:pPr>
        <w:pStyle w:val="10"/>
        <w:widowControl/>
        <w:spacing w:line="600" w:lineRule="exact"/>
        <w:ind w:firstLine="640" w:firstLineChars="0"/>
        <w:rPr>
          <w:rFonts w:ascii="黑体" w:hAnsi="黑体"/>
          <w:sz w:val="32"/>
          <w:szCs w:val="32"/>
        </w:rPr>
      </w:pPr>
    </w:p>
    <w:p w14:paraId="32098153">
      <w:pPr>
        <w:widowControl/>
        <w:spacing w:line="580" w:lineRule="exact"/>
        <w:ind w:firstLine="640" w:firstLineChars="200"/>
        <w:rPr>
          <w:rFonts w:ascii="仿宋" w:hAnsi="仿宋" w:eastAsia="仿宋" w:cs="华文仿宋"/>
          <w:sz w:val="32"/>
          <w:szCs w:val="32"/>
        </w:rPr>
      </w:pPr>
      <w:r>
        <w:rPr>
          <w:rFonts w:hint="eastAsia" w:ascii="仿宋" w:hAnsi="仿宋" w:eastAsia="仿宋" w:cs="华文仿宋"/>
          <w:sz w:val="32"/>
          <w:szCs w:val="32"/>
        </w:rPr>
        <w:t>为加强预算绩效管理，增强预算编制的科学性、合理性、规范性，强化支出责任和效率，提高财政资金使用效益，按照《衡阳市财政局关于开展</w:t>
      </w:r>
      <w:r>
        <w:rPr>
          <w:rFonts w:hint="default" w:ascii="仿宋" w:hAnsi="仿宋" w:eastAsia="仿宋" w:cs="华文仿宋"/>
          <w:sz w:val="32"/>
          <w:szCs w:val="32"/>
          <w:lang w:val="en"/>
        </w:rPr>
        <w:t>2021</w:t>
      </w:r>
      <w:r>
        <w:rPr>
          <w:rFonts w:hint="eastAsia" w:ascii="仿宋" w:hAnsi="仿宋" w:eastAsia="仿宋" w:cs="华文仿宋"/>
          <w:sz w:val="32"/>
          <w:szCs w:val="32"/>
        </w:rPr>
        <w:t>年度部门整体支出绩效自评工作的通知》</w:t>
      </w:r>
      <w:r>
        <w:rPr>
          <w:rFonts w:hint="eastAsia" w:ascii="仿宋" w:hAnsi="仿宋" w:eastAsia="仿宋" w:cs="华文仿宋"/>
          <w:color w:val="auto"/>
          <w:sz w:val="32"/>
          <w:szCs w:val="32"/>
        </w:rPr>
        <w:t>的</w:t>
      </w:r>
      <w:r>
        <w:rPr>
          <w:rFonts w:hint="eastAsia" w:ascii="仿宋" w:hAnsi="仿宋" w:eastAsia="仿宋" w:cs="华文仿宋"/>
          <w:sz w:val="32"/>
          <w:szCs w:val="32"/>
        </w:rPr>
        <w:t>有关要求，</w:t>
      </w:r>
      <w:r>
        <w:rPr>
          <w:rFonts w:hint="eastAsia" w:ascii="仿宋" w:hAnsi="仿宋" w:eastAsia="仿宋" w:cs="宋体"/>
          <w:kern w:val="0"/>
          <w:sz w:val="32"/>
          <w:szCs w:val="32"/>
        </w:rPr>
        <w:t>我局对</w:t>
      </w:r>
      <w:r>
        <w:rPr>
          <w:rFonts w:hint="default" w:ascii="仿宋" w:hAnsi="仿宋" w:eastAsia="仿宋" w:cs="宋体"/>
          <w:kern w:val="0"/>
          <w:sz w:val="32"/>
          <w:szCs w:val="32"/>
          <w:lang w:val="en"/>
        </w:rPr>
        <w:t>2021</w:t>
      </w:r>
      <w:r>
        <w:rPr>
          <w:rFonts w:hint="eastAsia" w:ascii="仿宋" w:hAnsi="仿宋" w:eastAsia="仿宋" w:cs="宋体"/>
          <w:kern w:val="0"/>
          <w:sz w:val="32"/>
          <w:szCs w:val="32"/>
        </w:rPr>
        <w:t>年度部门整体支出绩效进行了全面综合评价。现将有关情况报告如下：</w:t>
      </w:r>
    </w:p>
    <w:p w14:paraId="5F9ACF25">
      <w:pPr>
        <w:widowControl/>
        <w:spacing w:line="58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ascii="仿宋" w:hAnsi="仿宋" w:eastAsia="仿宋"/>
          <w:sz w:val="32"/>
          <w:szCs w:val="32"/>
        </w:rPr>
        <w:t>单位基本情况</w:t>
      </w:r>
    </w:p>
    <w:p w14:paraId="31D2CC64">
      <w:pPr>
        <w:widowControl/>
        <w:ind w:firstLine="640"/>
        <w:jc w:val="left"/>
        <w:rPr>
          <w:rFonts w:ascii="宋体" w:hAnsi="宋体" w:cs="宋体"/>
          <w:kern w:val="0"/>
          <w:sz w:val="18"/>
          <w:szCs w:val="18"/>
        </w:rPr>
      </w:pPr>
      <w:r>
        <w:rPr>
          <w:rFonts w:hint="eastAsia" w:ascii="仿宋" w:hAnsi="仿宋" w:eastAsia="仿宋" w:cs="宋体"/>
          <w:kern w:val="0"/>
          <w:sz w:val="32"/>
          <w:szCs w:val="32"/>
        </w:rPr>
        <w:t>（一）部门职能概述衡阳市应急管理局（以下简称市应急局）是市政府工作部门，为正处级，加挂市防汛抗旱指挥部办公室牌子。主要职责：</w:t>
      </w:r>
    </w:p>
    <w:p w14:paraId="560C2793">
      <w:pPr>
        <w:widowControl/>
        <w:ind w:firstLine="640"/>
        <w:jc w:val="left"/>
        <w:rPr>
          <w:rFonts w:ascii="宋体" w:hAnsi="宋体" w:cs="宋体"/>
          <w:kern w:val="0"/>
          <w:sz w:val="18"/>
          <w:szCs w:val="18"/>
        </w:rPr>
      </w:pPr>
      <w:r>
        <w:rPr>
          <w:rFonts w:hint="eastAsia" w:ascii="仿宋" w:hAnsi="仿宋" w:eastAsia="仿宋" w:cs="宋体"/>
          <w:kern w:val="0"/>
          <w:sz w:val="32"/>
          <w:szCs w:val="32"/>
        </w:rPr>
        <w:t>（一）负责应急管理工作，指导全市应对安全生产类、自然灾害类等突发事件和综合防灾减灾救灾工作。负责安全生产综合监督管理和权限内工矿商贸行业安全生产监督管理工作。</w:t>
      </w:r>
    </w:p>
    <w:p w14:paraId="249DF40A">
      <w:pPr>
        <w:widowControl/>
        <w:ind w:firstLine="640"/>
        <w:jc w:val="left"/>
        <w:rPr>
          <w:rFonts w:ascii="宋体" w:hAnsi="宋体" w:cs="宋体"/>
          <w:kern w:val="0"/>
          <w:sz w:val="18"/>
          <w:szCs w:val="18"/>
        </w:rPr>
      </w:pPr>
      <w:r>
        <w:rPr>
          <w:rFonts w:hint="eastAsia" w:ascii="仿宋" w:hAnsi="仿宋" w:eastAsia="仿宋" w:cs="宋体"/>
          <w:kern w:val="0"/>
          <w:sz w:val="32"/>
          <w:szCs w:val="32"/>
        </w:rPr>
        <w:t>（二）贯彻实施相关法律法规、部门规章、规程和标准，组织编制全市应急体系建设、安全生产和综合防灾减灾规划，组织起草相关规范性文件，组织拟订相关政策并监督实施。</w:t>
      </w:r>
    </w:p>
    <w:p w14:paraId="0748D726">
      <w:pPr>
        <w:widowControl/>
        <w:ind w:firstLine="640"/>
        <w:jc w:val="left"/>
        <w:rPr>
          <w:rFonts w:ascii="宋体" w:hAnsi="宋体" w:cs="宋体"/>
          <w:kern w:val="0"/>
          <w:sz w:val="18"/>
          <w:szCs w:val="18"/>
        </w:rPr>
      </w:pPr>
      <w:r>
        <w:rPr>
          <w:rFonts w:hint="eastAsia" w:ascii="仿宋" w:hAnsi="仿宋" w:eastAsia="仿宋" w:cs="宋体"/>
          <w:kern w:val="0"/>
          <w:sz w:val="32"/>
          <w:szCs w:val="32"/>
        </w:rPr>
        <w:t>（三）指导应急预案体系建设，建立完善事故灾难和自然灾害分级应对制度，组织编制衡阳市总体应急预案和安全生产类、自然灾害类专项预案，综合协调应急预案衔接工作，组织开展预案演练，推动应急避难设施建设。</w:t>
      </w:r>
    </w:p>
    <w:p w14:paraId="6614CDEF">
      <w:pPr>
        <w:widowControl/>
        <w:ind w:firstLine="640"/>
        <w:jc w:val="left"/>
        <w:rPr>
          <w:rFonts w:ascii="宋体" w:hAnsi="宋体" w:cs="宋体"/>
          <w:kern w:val="0"/>
          <w:sz w:val="18"/>
          <w:szCs w:val="18"/>
        </w:rPr>
      </w:pPr>
      <w:r>
        <w:rPr>
          <w:rFonts w:hint="eastAsia" w:ascii="仿宋" w:hAnsi="仿宋" w:eastAsia="仿宋" w:cs="宋体"/>
          <w:kern w:val="0"/>
          <w:sz w:val="32"/>
          <w:szCs w:val="32"/>
        </w:rPr>
        <w:t>（四）牵头推进全市统一的应急管理信息系统建设，负责信息传输渠道的规划和布局，建立监测预警和灾情报告制度，健全自然灾害信息资源获取和共享机制，依法统一发布灾情。</w:t>
      </w:r>
    </w:p>
    <w:p w14:paraId="2680D2DC">
      <w:pPr>
        <w:widowControl/>
        <w:ind w:firstLine="640"/>
        <w:jc w:val="left"/>
        <w:rPr>
          <w:rFonts w:ascii="宋体" w:hAnsi="宋体" w:cs="宋体"/>
          <w:kern w:val="0"/>
          <w:sz w:val="18"/>
          <w:szCs w:val="18"/>
        </w:rPr>
      </w:pPr>
      <w:r>
        <w:rPr>
          <w:rFonts w:hint="eastAsia" w:ascii="仿宋" w:hAnsi="仿宋" w:eastAsia="仿宋" w:cs="宋体"/>
          <w:kern w:val="0"/>
          <w:sz w:val="32"/>
          <w:szCs w:val="32"/>
        </w:rPr>
        <w:t>（五）组织指导协调安全生产类、自然灾害类等突发事件应急救援，承担市应对较大灾害指挥部工作，综合研判突发事件发展态势并提出应对建议，协助市委、市政府指定的负责同志组织较大及以上灾害应急处置工作。</w:t>
      </w:r>
    </w:p>
    <w:p w14:paraId="057305F0">
      <w:pPr>
        <w:widowControl/>
        <w:ind w:firstLine="640"/>
        <w:jc w:val="left"/>
        <w:rPr>
          <w:rFonts w:ascii="宋体" w:hAnsi="宋体" w:cs="宋体"/>
          <w:kern w:val="0"/>
          <w:sz w:val="18"/>
          <w:szCs w:val="18"/>
        </w:rPr>
      </w:pPr>
      <w:r>
        <w:rPr>
          <w:rFonts w:hint="eastAsia" w:ascii="仿宋" w:hAnsi="仿宋" w:eastAsia="仿宋" w:cs="宋体"/>
          <w:kern w:val="0"/>
          <w:sz w:val="32"/>
          <w:szCs w:val="32"/>
        </w:rPr>
        <w:t>（六）统一协调指挥各类应急专业队伍，建立应急协调联动机制，推进指挥平台对接，负责做好解放军和武警部队参与应急救援相关衔接工作。</w:t>
      </w:r>
    </w:p>
    <w:p w14:paraId="33FF6907">
      <w:pPr>
        <w:widowControl/>
        <w:ind w:firstLine="640"/>
        <w:jc w:val="left"/>
        <w:rPr>
          <w:rFonts w:ascii="宋体" w:hAnsi="宋体" w:cs="宋体"/>
          <w:kern w:val="0"/>
          <w:sz w:val="18"/>
          <w:szCs w:val="18"/>
        </w:rPr>
      </w:pPr>
      <w:r>
        <w:rPr>
          <w:rFonts w:hint="eastAsia" w:ascii="仿宋" w:hAnsi="仿宋" w:eastAsia="仿宋" w:cs="宋体"/>
          <w:kern w:val="0"/>
          <w:sz w:val="32"/>
          <w:szCs w:val="32"/>
        </w:rPr>
        <w:t>（七）统筹全市应急救援力量建设，负责消防、森林火灾扑救、抗洪抢险、地震和地质灾害救援、生产安全事故救援等专业应急救援力量建设，依权限做好驻衡国家综合性应急救援队伍建设的相关工作，指导地方及社会应急救援力量建设。</w:t>
      </w:r>
    </w:p>
    <w:p w14:paraId="6F0DC86C">
      <w:pPr>
        <w:widowControl/>
        <w:ind w:firstLine="640"/>
        <w:jc w:val="left"/>
        <w:rPr>
          <w:rFonts w:ascii="宋体" w:hAnsi="宋体" w:cs="宋体"/>
          <w:kern w:val="0"/>
          <w:sz w:val="18"/>
          <w:szCs w:val="18"/>
        </w:rPr>
      </w:pPr>
      <w:r>
        <w:rPr>
          <w:rFonts w:hint="eastAsia" w:ascii="仿宋" w:hAnsi="仿宋" w:eastAsia="仿宋" w:cs="宋体"/>
          <w:kern w:val="0"/>
          <w:sz w:val="32"/>
          <w:szCs w:val="32"/>
        </w:rPr>
        <w:t>（八）指导协调全市消防管理有关工作，指导地方消防监督、火灾预防、火灾扑救等工作。</w:t>
      </w:r>
    </w:p>
    <w:p w14:paraId="51DCC8FE">
      <w:pPr>
        <w:widowControl/>
        <w:ind w:firstLine="640"/>
        <w:jc w:val="left"/>
        <w:rPr>
          <w:rFonts w:ascii="宋体" w:hAnsi="宋体" w:cs="宋体"/>
          <w:kern w:val="0"/>
          <w:sz w:val="18"/>
          <w:szCs w:val="18"/>
        </w:rPr>
      </w:pPr>
      <w:r>
        <w:rPr>
          <w:rFonts w:hint="eastAsia" w:ascii="仿宋" w:hAnsi="仿宋" w:eastAsia="仿宋" w:cs="宋体"/>
          <w:kern w:val="0"/>
          <w:sz w:val="32"/>
          <w:szCs w:val="32"/>
        </w:rPr>
        <w:t>（九）指导协调全市森林火灾、水旱灾害、地震和地质灾害等防治工作，负责自然灾害综合监测预警工作，指导开展自然灾害综合风险评估工作。</w:t>
      </w:r>
    </w:p>
    <w:p w14:paraId="0E5849BD">
      <w:pPr>
        <w:widowControl/>
        <w:ind w:firstLine="640"/>
        <w:jc w:val="left"/>
        <w:rPr>
          <w:rFonts w:ascii="宋体" w:hAnsi="宋体" w:cs="宋体"/>
          <w:kern w:val="0"/>
          <w:sz w:val="18"/>
          <w:szCs w:val="18"/>
        </w:rPr>
      </w:pPr>
      <w:r>
        <w:rPr>
          <w:rFonts w:hint="eastAsia" w:ascii="仿宋" w:hAnsi="仿宋" w:eastAsia="仿宋" w:cs="宋体"/>
          <w:kern w:val="0"/>
          <w:sz w:val="32"/>
          <w:szCs w:val="32"/>
        </w:rPr>
        <w:t>（十）组织协调灾害救助工作，组织指导灾情核查、损失评估、救灾捐赠工作，按权限管理、分配中央、省级下达和市级救灾款物并监督使用。</w:t>
      </w:r>
    </w:p>
    <w:p w14:paraId="1C756CAE">
      <w:pPr>
        <w:widowControl/>
        <w:ind w:firstLine="640"/>
        <w:jc w:val="left"/>
        <w:rPr>
          <w:rFonts w:ascii="宋体" w:hAnsi="宋体" w:cs="宋体"/>
          <w:kern w:val="0"/>
          <w:sz w:val="18"/>
          <w:szCs w:val="18"/>
        </w:rPr>
      </w:pPr>
      <w:r>
        <w:rPr>
          <w:rFonts w:hint="eastAsia" w:ascii="仿宋" w:hAnsi="仿宋" w:eastAsia="仿宋" w:cs="宋体"/>
          <w:kern w:val="0"/>
          <w:sz w:val="32"/>
          <w:szCs w:val="32"/>
        </w:rPr>
        <w:t>（十一）依法行使安全生产综合监督管理职权，指导协调、监督检查县市区人民政府和市直有关部门、园区（含开发区、工业集中区等，下同）管理机构的安全生产工作，组织开展安全生产巡查、考核工作。</w:t>
      </w:r>
    </w:p>
    <w:p w14:paraId="63E6E604">
      <w:pPr>
        <w:widowControl/>
        <w:ind w:firstLine="640"/>
        <w:jc w:val="left"/>
        <w:rPr>
          <w:rFonts w:ascii="宋体" w:hAnsi="宋体" w:cs="宋体"/>
          <w:kern w:val="0"/>
          <w:sz w:val="18"/>
          <w:szCs w:val="18"/>
        </w:rPr>
      </w:pPr>
      <w:r>
        <w:rPr>
          <w:rFonts w:hint="eastAsia" w:ascii="仿宋" w:hAnsi="仿宋" w:eastAsia="仿宋" w:cs="宋体"/>
          <w:kern w:val="0"/>
          <w:sz w:val="32"/>
          <w:szCs w:val="32"/>
        </w:rPr>
        <w:t>（十二）按照分级、属地原则，依法监督检查权限内工矿商贸（煤矿除外）生产经营单位贯彻执行安全生产法律法规情况及其安全生产条件和有关设备（特种设备除外）、材料、劳动防护用品的安全生产管理工作。负责监督管理工矿商贸行业市属企业安全生产工作。依法组织并指导监督实施安全生产准入制度。负责危险化学品安全监督管理综合工作和烟花爆竹经营安全监督管理工作。</w:t>
      </w:r>
    </w:p>
    <w:p w14:paraId="64275024">
      <w:pPr>
        <w:widowControl/>
        <w:ind w:firstLine="640"/>
        <w:jc w:val="left"/>
        <w:rPr>
          <w:rFonts w:ascii="宋体" w:hAnsi="宋体" w:cs="宋体"/>
          <w:kern w:val="0"/>
          <w:sz w:val="18"/>
          <w:szCs w:val="18"/>
        </w:rPr>
      </w:pPr>
      <w:r>
        <w:rPr>
          <w:rFonts w:hint="eastAsia" w:ascii="仿宋" w:hAnsi="仿宋" w:eastAsia="仿宋" w:cs="宋体"/>
          <w:kern w:val="0"/>
          <w:sz w:val="32"/>
          <w:szCs w:val="32"/>
        </w:rPr>
        <w:t>（十三）依法对全市煤矿安全生产实施综合监督管理。</w:t>
      </w:r>
    </w:p>
    <w:p w14:paraId="36460C44">
      <w:pPr>
        <w:widowControl/>
        <w:ind w:firstLine="640"/>
        <w:jc w:val="left"/>
        <w:rPr>
          <w:rFonts w:ascii="宋体" w:hAnsi="宋体" w:cs="宋体"/>
          <w:kern w:val="0"/>
          <w:sz w:val="18"/>
          <w:szCs w:val="18"/>
        </w:rPr>
      </w:pPr>
      <w:r>
        <w:rPr>
          <w:rFonts w:hint="eastAsia" w:ascii="仿宋" w:hAnsi="仿宋" w:eastAsia="仿宋" w:cs="宋体"/>
          <w:kern w:val="0"/>
          <w:sz w:val="32"/>
          <w:szCs w:val="32"/>
        </w:rPr>
        <w:t>（十四）依法组织指导生产安全事故调查处理，监督事故查处和责任追究落实情况。组织开展自然灾害类突发事件的调查评估工作。</w:t>
      </w:r>
    </w:p>
    <w:p w14:paraId="0A020280">
      <w:pPr>
        <w:widowControl/>
        <w:ind w:firstLine="640"/>
        <w:jc w:val="left"/>
        <w:rPr>
          <w:rFonts w:ascii="宋体" w:hAnsi="宋体" w:cs="宋体"/>
          <w:kern w:val="0"/>
          <w:sz w:val="18"/>
          <w:szCs w:val="18"/>
        </w:rPr>
      </w:pPr>
      <w:r>
        <w:rPr>
          <w:rFonts w:hint="eastAsia" w:ascii="仿宋" w:hAnsi="仿宋" w:eastAsia="仿宋" w:cs="宋体"/>
          <w:kern w:val="0"/>
          <w:sz w:val="32"/>
          <w:szCs w:val="32"/>
        </w:rPr>
        <w:t>（十五）开展应急管理对外交流与合作，组织参与安全生产类、自然灾害类等突发事件的对外救援工作。</w:t>
      </w:r>
    </w:p>
    <w:p w14:paraId="689A4B05">
      <w:pPr>
        <w:widowControl/>
        <w:ind w:firstLine="640"/>
        <w:jc w:val="left"/>
        <w:rPr>
          <w:rFonts w:ascii="宋体" w:hAnsi="宋体" w:cs="宋体"/>
          <w:kern w:val="0"/>
          <w:sz w:val="18"/>
          <w:szCs w:val="18"/>
        </w:rPr>
      </w:pPr>
      <w:r>
        <w:rPr>
          <w:rFonts w:hint="eastAsia" w:ascii="仿宋" w:hAnsi="仿宋" w:eastAsia="仿宋" w:cs="宋体"/>
          <w:kern w:val="0"/>
          <w:sz w:val="32"/>
          <w:szCs w:val="32"/>
        </w:rPr>
        <w:t>（十六）制定全市应急物资储备和应急救援装备规划并组织实施，会同市商务和粮食局等部门建立健全应急物资信息平台和调拨制度，在救灾时统一调度。</w:t>
      </w:r>
    </w:p>
    <w:p w14:paraId="5DE37387">
      <w:pPr>
        <w:widowControl/>
        <w:ind w:firstLine="640"/>
        <w:jc w:val="left"/>
        <w:rPr>
          <w:rFonts w:ascii="宋体" w:hAnsi="宋体" w:cs="宋体"/>
          <w:kern w:val="0"/>
          <w:sz w:val="18"/>
          <w:szCs w:val="18"/>
        </w:rPr>
      </w:pPr>
      <w:r>
        <w:rPr>
          <w:rFonts w:hint="eastAsia" w:ascii="仿宋" w:hAnsi="仿宋" w:eastAsia="仿宋" w:cs="宋体"/>
          <w:kern w:val="0"/>
          <w:sz w:val="32"/>
          <w:szCs w:val="32"/>
        </w:rPr>
        <w:t>（十七）负责应急管理、安全生产宣传教育和培训工作，组织指导应急管理、安全生产的科学技术研究、推广应用和信息化建设工作。</w:t>
      </w:r>
    </w:p>
    <w:p w14:paraId="26B1F3B3">
      <w:pPr>
        <w:widowControl/>
        <w:ind w:firstLine="640"/>
        <w:jc w:val="left"/>
        <w:rPr>
          <w:rFonts w:ascii="宋体" w:hAnsi="宋体" w:cs="宋体"/>
          <w:kern w:val="0"/>
          <w:sz w:val="18"/>
          <w:szCs w:val="18"/>
        </w:rPr>
      </w:pPr>
      <w:r>
        <w:rPr>
          <w:rFonts w:hint="eastAsia" w:ascii="仿宋" w:hAnsi="仿宋" w:eastAsia="仿宋" w:cs="宋体"/>
          <w:kern w:val="0"/>
          <w:sz w:val="32"/>
          <w:szCs w:val="32"/>
        </w:rPr>
        <w:t>（十八）承担市防汛抗旱指挥部日常工作，协调市防汛抗旱指挥部成员单位的相关工作，组织执行国家防汛抗旱总指挥部、相关流域防汛抗旱指挥机构、省防汛抗旱指挥部和市防汛抗旱指挥部的指示、命令。</w:t>
      </w:r>
    </w:p>
    <w:p w14:paraId="4FFEC2B8">
      <w:pPr>
        <w:widowControl/>
        <w:ind w:firstLine="64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二、机构设置</w:t>
      </w:r>
    </w:p>
    <w:p w14:paraId="239745CD">
      <w:pPr>
        <w:widowControl/>
        <w:ind w:firstLine="640"/>
        <w:jc w:val="left"/>
        <w:rPr>
          <w:rFonts w:ascii="宋体" w:hAnsi="宋体" w:cs="宋体"/>
          <w:kern w:val="0"/>
          <w:sz w:val="18"/>
          <w:szCs w:val="18"/>
        </w:rPr>
      </w:pPr>
      <w:r>
        <w:rPr>
          <w:rFonts w:hint="eastAsia" w:ascii="仿宋" w:hAnsi="仿宋" w:eastAsia="仿宋" w:cs="宋体"/>
          <w:kern w:val="0"/>
          <w:sz w:val="32"/>
          <w:szCs w:val="32"/>
        </w:rPr>
        <w:t>我单位现有科室2</w:t>
      </w:r>
      <w:r>
        <w:rPr>
          <w:rFonts w:hint="default" w:ascii="仿宋" w:hAnsi="仿宋" w:eastAsia="仿宋" w:cs="宋体"/>
          <w:kern w:val="0"/>
          <w:sz w:val="32"/>
          <w:szCs w:val="32"/>
          <w:lang w:val="en"/>
        </w:rPr>
        <w:t>2</w:t>
      </w:r>
      <w:r>
        <w:rPr>
          <w:rFonts w:hint="eastAsia" w:ascii="仿宋" w:hAnsi="仿宋" w:eastAsia="仿宋" w:cs="宋体"/>
          <w:kern w:val="0"/>
          <w:sz w:val="32"/>
          <w:szCs w:val="32"/>
        </w:rPr>
        <w:t>个，在职人员9</w:t>
      </w:r>
      <w:r>
        <w:rPr>
          <w:rFonts w:hint="default" w:ascii="仿宋" w:hAnsi="仿宋" w:eastAsia="仿宋" w:cs="宋体"/>
          <w:kern w:val="0"/>
          <w:sz w:val="32"/>
          <w:szCs w:val="32"/>
          <w:lang w:val="en"/>
        </w:rPr>
        <w:t>3</w:t>
      </w:r>
      <w:r>
        <w:rPr>
          <w:rFonts w:hint="eastAsia" w:ascii="仿宋" w:hAnsi="仿宋" w:eastAsia="仿宋" w:cs="宋体"/>
          <w:kern w:val="0"/>
          <w:sz w:val="32"/>
          <w:szCs w:val="32"/>
        </w:rPr>
        <w:t>人，退休人员4</w:t>
      </w:r>
      <w:r>
        <w:rPr>
          <w:rFonts w:hint="default" w:ascii="仿宋" w:hAnsi="仿宋" w:eastAsia="仿宋" w:cs="宋体"/>
          <w:kern w:val="0"/>
          <w:sz w:val="32"/>
          <w:szCs w:val="32"/>
          <w:lang w:val="en"/>
        </w:rPr>
        <w:t>6</w:t>
      </w:r>
      <w:r>
        <w:rPr>
          <w:rFonts w:hint="eastAsia" w:ascii="仿宋" w:hAnsi="仿宋" w:eastAsia="仿宋" w:cs="宋体"/>
          <w:kern w:val="0"/>
          <w:sz w:val="32"/>
          <w:szCs w:val="32"/>
        </w:rPr>
        <w:t>人，属市一级预算单位。下设2个副处级、2个正科级直属单位，其中2个参照公务员管理事业单位（衡阳市安全生产执法支队和衡阳市地震局）、1个全额拨款事业单位（衡阳市矿山救护队）、1个差额拨款事业单位（衡阳市安全生产教育培训中心）。</w:t>
      </w:r>
    </w:p>
    <w:p w14:paraId="735C7915">
      <w:pPr>
        <w:pStyle w:val="10"/>
        <w:widowControl/>
        <w:spacing w:line="600" w:lineRule="exact"/>
        <w:ind w:firstLine="640" w:firstLineChars="0"/>
        <w:rPr>
          <w:rFonts w:ascii="仿宋" w:hAnsi="仿宋" w:eastAsia="仿宋"/>
          <w:sz w:val="32"/>
          <w:szCs w:val="32"/>
        </w:rPr>
      </w:pPr>
      <w:r>
        <w:rPr>
          <w:rFonts w:hint="eastAsia" w:ascii="仿宋" w:hAnsi="仿宋" w:eastAsia="仿宋" w:cs="宋体"/>
          <w:kern w:val="0"/>
          <w:sz w:val="32"/>
          <w:szCs w:val="32"/>
        </w:rPr>
        <w:t>三、</w:t>
      </w:r>
      <w:r>
        <w:rPr>
          <w:rFonts w:ascii="仿宋" w:hAnsi="仿宋" w:eastAsia="仿宋"/>
          <w:sz w:val="32"/>
          <w:szCs w:val="32"/>
        </w:rPr>
        <w:t>一般公共预算支出情况</w:t>
      </w:r>
    </w:p>
    <w:p w14:paraId="0BF47F83">
      <w:pPr>
        <w:widowControl/>
        <w:shd w:val="clear" w:color="auto" w:fill="FFFFFF"/>
        <w:spacing w:line="580" w:lineRule="exact"/>
        <w:ind w:firstLine="640" w:firstLineChars="200"/>
        <w:jc w:val="left"/>
        <w:rPr>
          <w:rFonts w:ascii="仿宋" w:hAnsi="仿宋" w:eastAsia="仿宋"/>
          <w:color w:val="auto"/>
          <w:sz w:val="32"/>
          <w:szCs w:val="32"/>
        </w:rPr>
      </w:pPr>
      <w:r>
        <w:rPr>
          <w:rFonts w:hint="default" w:ascii="仿宋" w:hAnsi="仿宋" w:eastAsia="仿宋"/>
          <w:color w:val="auto"/>
          <w:sz w:val="32"/>
          <w:szCs w:val="32"/>
          <w:lang w:val="en"/>
        </w:rPr>
        <w:t>2021</w:t>
      </w:r>
      <w:r>
        <w:rPr>
          <w:rFonts w:hint="eastAsia" w:ascii="仿宋" w:hAnsi="仿宋" w:eastAsia="仿宋"/>
          <w:color w:val="auto"/>
          <w:sz w:val="32"/>
          <w:szCs w:val="32"/>
        </w:rPr>
        <w:t>年我局调整后预算收入</w:t>
      </w:r>
      <w:r>
        <w:rPr>
          <w:rFonts w:hint="default" w:ascii="仿宋" w:hAnsi="仿宋" w:eastAsia="仿宋"/>
          <w:color w:val="auto"/>
          <w:sz w:val="32"/>
          <w:szCs w:val="32"/>
          <w:lang w:val="en"/>
        </w:rPr>
        <w:t>3138.55</w:t>
      </w:r>
      <w:r>
        <w:rPr>
          <w:rFonts w:hint="eastAsia" w:ascii="仿宋" w:hAnsi="仿宋" w:eastAsia="仿宋"/>
          <w:color w:val="auto"/>
          <w:sz w:val="32"/>
          <w:szCs w:val="32"/>
        </w:rPr>
        <w:t>万元，实际发生支出</w:t>
      </w:r>
      <w:r>
        <w:rPr>
          <w:rFonts w:hint="default" w:ascii="仿宋" w:hAnsi="仿宋" w:eastAsia="仿宋"/>
          <w:color w:val="auto"/>
          <w:sz w:val="32"/>
          <w:szCs w:val="32"/>
          <w:lang w:val="en"/>
        </w:rPr>
        <w:t>3138.55</w:t>
      </w:r>
      <w:r>
        <w:rPr>
          <w:rFonts w:hint="eastAsia" w:ascii="仿宋" w:hAnsi="仿宋" w:eastAsia="仿宋"/>
          <w:color w:val="auto"/>
          <w:sz w:val="32"/>
          <w:szCs w:val="32"/>
        </w:rPr>
        <w:t>万元，预算执行率100%。</w:t>
      </w:r>
    </w:p>
    <w:p w14:paraId="6D8E6695">
      <w:pPr>
        <w:widowControl/>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（一）</w:t>
      </w:r>
      <w:r>
        <w:rPr>
          <w:rFonts w:ascii="仿宋" w:hAnsi="仿宋" w:eastAsia="仿宋"/>
          <w:color w:val="auto"/>
          <w:sz w:val="32"/>
          <w:szCs w:val="32"/>
        </w:rPr>
        <w:t>基本支出情况</w:t>
      </w:r>
    </w:p>
    <w:p w14:paraId="49C59856">
      <w:pPr>
        <w:widowControl/>
        <w:shd w:val="clear" w:color="auto" w:fill="FFFFFF"/>
        <w:spacing w:line="580" w:lineRule="exact"/>
        <w:ind w:firstLine="640" w:firstLineChars="200"/>
        <w:jc w:val="left"/>
        <w:rPr>
          <w:rFonts w:ascii="仿宋" w:hAnsi="仿宋" w:eastAsia="仿宋" w:cs="仿宋"/>
          <w:color w:val="auto"/>
          <w:sz w:val="32"/>
          <w:szCs w:val="32"/>
        </w:rPr>
      </w:pPr>
      <w:r>
        <w:rPr>
          <w:rFonts w:hint="eastAsia" w:ascii="仿宋" w:hAnsi="仿宋" w:eastAsia="仿宋"/>
          <w:color w:val="auto"/>
          <w:sz w:val="32"/>
          <w:szCs w:val="32"/>
        </w:rPr>
        <w:t>基本支出</w:t>
      </w:r>
      <w:r>
        <w:rPr>
          <w:rFonts w:hint="default" w:ascii="仿宋" w:hAnsi="仿宋" w:eastAsia="仿宋"/>
          <w:color w:val="auto"/>
          <w:sz w:val="32"/>
          <w:szCs w:val="32"/>
          <w:lang w:val="en"/>
        </w:rPr>
        <w:t>2461.51</w:t>
      </w:r>
      <w:r>
        <w:rPr>
          <w:rFonts w:hint="eastAsia" w:ascii="仿宋" w:hAnsi="仿宋" w:eastAsia="仿宋"/>
          <w:color w:val="auto"/>
          <w:sz w:val="32"/>
          <w:szCs w:val="32"/>
        </w:rPr>
        <w:t>万元，其中人员经费</w:t>
      </w:r>
      <w:r>
        <w:rPr>
          <w:rFonts w:hint="default" w:ascii="仿宋" w:hAnsi="仿宋" w:eastAsia="仿宋"/>
          <w:color w:val="auto"/>
          <w:sz w:val="32"/>
          <w:szCs w:val="32"/>
          <w:lang w:val="en"/>
        </w:rPr>
        <w:t>1826.50</w:t>
      </w:r>
      <w:r>
        <w:rPr>
          <w:rFonts w:hint="eastAsia" w:ascii="仿宋" w:hAnsi="仿宋" w:eastAsia="仿宋"/>
          <w:color w:val="auto"/>
          <w:sz w:val="32"/>
          <w:szCs w:val="32"/>
        </w:rPr>
        <w:t>万元，公用经费支出</w:t>
      </w:r>
      <w:r>
        <w:rPr>
          <w:rFonts w:hint="default" w:ascii="仿宋" w:hAnsi="仿宋" w:eastAsia="仿宋"/>
          <w:color w:val="auto"/>
          <w:sz w:val="32"/>
          <w:szCs w:val="32"/>
          <w:lang w:val="en"/>
        </w:rPr>
        <w:t>635.01</w:t>
      </w:r>
      <w:r>
        <w:rPr>
          <w:rFonts w:hint="eastAsia" w:ascii="仿宋" w:hAnsi="仿宋" w:eastAsia="仿宋"/>
          <w:color w:val="auto"/>
          <w:sz w:val="32"/>
          <w:szCs w:val="32"/>
        </w:rPr>
        <w:t>万元</w:t>
      </w:r>
      <w:r>
        <w:rPr>
          <w:rFonts w:hint="eastAsia" w:ascii="仿宋" w:hAnsi="仿宋" w:eastAsia="仿宋" w:cs="仿宋"/>
          <w:color w:val="auto"/>
          <w:sz w:val="32"/>
          <w:szCs w:val="32"/>
        </w:rPr>
        <w:t>。</w:t>
      </w:r>
    </w:p>
    <w:p w14:paraId="7804B9CB">
      <w:pPr>
        <w:widowControl/>
        <w:shd w:val="clear" w:color="auto" w:fill="FFFFFF"/>
        <w:spacing w:line="580" w:lineRule="exact"/>
        <w:ind w:firstLine="640" w:firstLineChars="200"/>
        <w:jc w:val="left"/>
        <w:rPr>
          <w:rFonts w:ascii="仿宋" w:eastAsia="仿宋" w:cs="仿宋"/>
          <w:color w:val="auto"/>
          <w:sz w:val="32"/>
          <w:szCs w:val="32"/>
        </w:rPr>
      </w:pPr>
      <w:r>
        <w:rPr>
          <w:rFonts w:hint="default" w:ascii="仿宋" w:hAnsi="仿宋" w:eastAsia="仿宋"/>
          <w:color w:val="auto"/>
          <w:sz w:val="32"/>
          <w:szCs w:val="32"/>
          <w:lang w:val="en"/>
        </w:rPr>
        <w:t>2021</w:t>
      </w:r>
      <w:r>
        <w:rPr>
          <w:rFonts w:hint="eastAsia" w:ascii="仿宋" w:hAnsi="仿宋" w:eastAsia="仿宋"/>
          <w:color w:val="auto"/>
          <w:sz w:val="32"/>
          <w:szCs w:val="32"/>
        </w:rPr>
        <w:t>年“三公”经费预算为</w:t>
      </w:r>
      <w:r>
        <w:rPr>
          <w:rFonts w:hint="eastAsia" w:ascii="仿宋" w:hAnsi="仿宋" w:eastAsia="仿宋"/>
          <w:color w:val="auto"/>
          <w:sz w:val="32"/>
          <w:szCs w:val="32"/>
          <w:lang w:val="en-US" w:eastAsia="zh-CN"/>
        </w:rPr>
        <w:t>100.84</w:t>
      </w:r>
      <w:r>
        <w:rPr>
          <w:rFonts w:hint="eastAsia" w:ascii="仿宋" w:hAnsi="仿宋" w:eastAsia="仿宋"/>
          <w:color w:val="auto"/>
          <w:sz w:val="32"/>
          <w:szCs w:val="32"/>
        </w:rPr>
        <w:t>万</w:t>
      </w:r>
      <w:r>
        <w:rPr>
          <w:rFonts w:hint="eastAsia" w:ascii="仿宋" w:hAnsi="仿宋" w:eastAsia="仿宋"/>
          <w:color w:val="auto"/>
          <w:sz w:val="32"/>
          <w:szCs w:val="32"/>
          <w:lang w:eastAsia="zh-CN"/>
        </w:rPr>
        <w:t>（年初预算</w:t>
      </w:r>
      <w:r>
        <w:rPr>
          <w:rFonts w:hint="eastAsia" w:ascii="仿宋" w:hAnsi="仿宋" w:eastAsia="仿宋"/>
          <w:color w:val="auto"/>
          <w:sz w:val="32"/>
          <w:szCs w:val="32"/>
          <w:lang w:val="en-US" w:eastAsia="zh-CN"/>
        </w:rPr>
        <w:t>80万，追加预算20.84万</w:t>
      </w:r>
      <w:r>
        <w:rPr>
          <w:rFonts w:hint="eastAsia" w:ascii="仿宋" w:hAnsi="仿宋" w:eastAsia="仿宋"/>
          <w:color w:val="auto"/>
          <w:sz w:val="32"/>
          <w:szCs w:val="32"/>
          <w:lang w:eastAsia="zh-CN"/>
        </w:rPr>
        <w:t>）</w:t>
      </w:r>
      <w:r>
        <w:rPr>
          <w:rFonts w:hint="eastAsia" w:ascii="仿宋" w:hAnsi="仿宋" w:eastAsia="仿宋"/>
          <w:color w:val="auto"/>
          <w:sz w:val="32"/>
          <w:szCs w:val="32"/>
        </w:rPr>
        <w:t>，实际“三公”经费支出</w:t>
      </w:r>
      <w:r>
        <w:rPr>
          <w:rFonts w:hint="eastAsia" w:ascii="仿宋" w:hAnsi="仿宋" w:eastAsia="仿宋"/>
          <w:color w:val="auto"/>
          <w:sz w:val="32"/>
          <w:szCs w:val="32"/>
          <w:lang w:val="en-US" w:eastAsia="zh-CN"/>
        </w:rPr>
        <w:t>100.84</w:t>
      </w:r>
      <w:r>
        <w:rPr>
          <w:rFonts w:hint="eastAsia" w:ascii="仿宋" w:hAnsi="仿宋" w:eastAsia="仿宋"/>
          <w:color w:val="auto"/>
          <w:sz w:val="32"/>
          <w:szCs w:val="32"/>
        </w:rPr>
        <w:t>万元，预算执行率</w:t>
      </w:r>
      <w:r>
        <w:rPr>
          <w:rFonts w:hint="eastAsia" w:ascii="仿宋" w:hAnsi="仿宋" w:eastAsia="仿宋"/>
          <w:color w:val="auto"/>
          <w:sz w:val="32"/>
          <w:szCs w:val="32"/>
          <w:lang w:val="en-US" w:eastAsia="zh-CN"/>
        </w:rPr>
        <w:t>100</w:t>
      </w:r>
      <w:r>
        <w:rPr>
          <w:rFonts w:hint="eastAsia" w:ascii="仿宋" w:hAnsi="仿宋" w:eastAsia="仿宋"/>
          <w:color w:val="auto"/>
          <w:sz w:val="32"/>
          <w:szCs w:val="32"/>
        </w:rPr>
        <w:t>%</w:t>
      </w:r>
      <w:r>
        <w:rPr>
          <w:rFonts w:hint="eastAsia" w:ascii="仿宋" w:eastAsia="仿宋" w:cs="仿宋"/>
          <w:color w:val="auto"/>
          <w:sz w:val="32"/>
          <w:szCs w:val="32"/>
        </w:rPr>
        <w:t>;</w:t>
      </w:r>
      <w:r>
        <w:rPr>
          <w:rFonts w:hint="eastAsia" w:ascii="仿宋" w:eastAsia="仿宋" w:cs="仿宋"/>
          <w:color w:val="auto"/>
          <w:sz w:val="32"/>
          <w:szCs w:val="32"/>
          <w:lang w:val="zh-CN"/>
        </w:rPr>
        <w:t>公务用车购置完成</w:t>
      </w:r>
      <w:r>
        <w:rPr>
          <w:rFonts w:hint="eastAsia" w:ascii="仿宋" w:eastAsia="仿宋" w:cs="仿宋"/>
          <w:color w:val="auto"/>
          <w:sz w:val="32"/>
          <w:szCs w:val="32"/>
          <w:lang w:val="en-US" w:eastAsia="zh-CN"/>
        </w:rPr>
        <w:t>58.53万元（</w:t>
      </w:r>
      <w:r>
        <w:rPr>
          <w:rFonts w:hint="eastAsia" w:ascii="仿宋" w:hAnsi="仿宋" w:eastAsia="仿宋" w:cs="仿宋"/>
          <w:color w:val="auto"/>
          <w:sz w:val="32"/>
          <w:szCs w:val="32"/>
          <w:lang w:val="en-US" w:eastAsia="zh-CN"/>
        </w:rPr>
        <w:t>2021年报废两台公务用车，新购两台公务用车</w:t>
      </w:r>
      <w:r>
        <w:rPr>
          <w:rFonts w:hint="eastAsia" w:ascii="仿宋" w:eastAsia="仿宋" w:cs="仿宋"/>
          <w:color w:val="auto"/>
          <w:sz w:val="32"/>
          <w:szCs w:val="32"/>
          <w:lang w:val="en-US" w:eastAsia="zh-CN"/>
        </w:rPr>
        <w:t>）；公务用车</w:t>
      </w:r>
      <w:r>
        <w:rPr>
          <w:rFonts w:hint="eastAsia" w:ascii="仿宋" w:eastAsia="仿宋" w:cs="仿宋"/>
          <w:color w:val="auto"/>
          <w:sz w:val="32"/>
          <w:szCs w:val="32"/>
          <w:lang w:val="zh-CN"/>
        </w:rPr>
        <w:t>运行维护费</w:t>
      </w:r>
      <w:r>
        <w:rPr>
          <w:rFonts w:hint="eastAsia" w:ascii="仿宋" w:eastAsia="仿宋" w:cs="仿宋"/>
          <w:color w:val="auto"/>
          <w:sz w:val="32"/>
          <w:szCs w:val="32"/>
        </w:rPr>
        <w:t>完成</w:t>
      </w:r>
      <w:r>
        <w:rPr>
          <w:rFonts w:hint="eastAsia" w:ascii="仿宋" w:eastAsia="仿宋" w:cs="仿宋"/>
          <w:color w:val="auto"/>
          <w:sz w:val="32"/>
          <w:szCs w:val="32"/>
          <w:lang w:val="en-US" w:eastAsia="zh-CN"/>
        </w:rPr>
        <w:t>37.94</w:t>
      </w:r>
      <w:r>
        <w:rPr>
          <w:rFonts w:hint="eastAsia" w:ascii="仿宋" w:eastAsia="仿宋" w:cs="仿宋"/>
          <w:color w:val="auto"/>
          <w:sz w:val="32"/>
          <w:szCs w:val="32"/>
        </w:rPr>
        <w:t>万元</w:t>
      </w:r>
      <w:r>
        <w:rPr>
          <w:rFonts w:hint="eastAsia" w:ascii="仿宋" w:hAnsi="仿宋" w:eastAsia="仿宋"/>
          <w:color w:val="auto"/>
          <w:sz w:val="32"/>
          <w:szCs w:val="32"/>
        </w:rPr>
        <w:t>;</w:t>
      </w:r>
      <w:r>
        <w:rPr>
          <w:rFonts w:hint="eastAsia" w:ascii="仿宋" w:eastAsia="仿宋" w:cs="仿宋"/>
          <w:color w:val="auto"/>
          <w:sz w:val="32"/>
          <w:szCs w:val="32"/>
          <w:lang w:val="zh-CN"/>
        </w:rPr>
        <w:t>公务接待费</w:t>
      </w:r>
      <w:r>
        <w:rPr>
          <w:rFonts w:hint="eastAsia" w:ascii="仿宋" w:eastAsia="仿宋" w:cs="仿宋"/>
          <w:color w:val="auto"/>
          <w:sz w:val="32"/>
          <w:szCs w:val="32"/>
        </w:rPr>
        <w:t>完成</w:t>
      </w:r>
      <w:r>
        <w:rPr>
          <w:rFonts w:hint="eastAsia" w:ascii="仿宋" w:eastAsia="仿宋" w:cs="仿宋"/>
          <w:color w:val="auto"/>
          <w:sz w:val="32"/>
          <w:szCs w:val="32"/>
          <w:lang w:val="en-US" w:eastAsia="zh-CN"/>
        </w:rPr>
        <w:t>4.37</w:t>
      </w:r>
      <w:r>
        <w:rPr>
          <w:rFonts w:hint="eastAsia" w:ascii="仿宋" w:eastAsia="仿宋" w:cs="仿宋"/>
          <w:color w:val="auto"/>
          <w:sz w:val="32"/>
          <w:szCs w:val="32"/>
        </w:rPr>
        <w:t>万元。</w:t>
      </w:r>
    </w:p>
    <w:p w14:paraId="4C39A23C">
      <w:pPr>
        <w:widowControl/>
        <w:shd w:val="clear" w:color="auto" w:fill="FFFFFF"/>
        <w:spacing w:line="580" w:lineRule="exact"/>
        <w:ind w:firstLine="640" w:firstLineChars="200"/>
        <w:jc w:val="left"/>
        <w:rPr>
          <w:rFonts w:ascii="仿宋" w:hAnsi="仿宋" w:eastAsia="仿宋"/>
          <w:color w:val="auto"/>
          <w:sz w:val="32"/>
          <w:szCs w:val="32"/>
        </w:rPr>
      </w:pPr>
      <w:r>
        <w:rPr>
          <w:rFonts w:hint="eastAsia" w:ascii="仿宋" w:hAnsi="仿宋" w:eastAsia="仿宋"/>
          <w:color w:val="auto"/>
          <w:sz w:val="32"/>
          <w:szCs w:val="32"/>
        </w:rPr>
        <w:t>（二）项目支出</w:t>
      </w:r>
    </w:p>
    <w:p w14:paraId="25387CB7">
      <w:pPr>
        <w:widowControl/>
        <w:shd w:val="clear" w:color="auto" w:fill="FFFFFF"/>
        <w:spacing w:line="580" w:lineRule="exact"/>
        <w:ind w:firstLine="640" w:firstLineChars="200"/>
        <w:jc w:val="left"/>
        <w:rPr>
          <w:rFonts w:hint="eastAsia" w:ascii="仿宋" w:hAnsi="仿宋" w:eastAsia="仿宋"/>
          <w:color w:val="auto"/>
          <w:sz w:val="32"/>
          <w:szCs w:val="32"/>
          <w:lang w:eastAsia="zh-CN"/>
        </w:rPr>
      </w:pPr>
      <w:r>
        <w:rPr>
          <w:rFonts w:hint="eastAsia" w:ascii="仿宋" w:hAnsi="仿宋" w:eastAsia="仿宋"/>
          <w:color w:val="auto"/>
          <w:sz w:val="32"/>
          <w:szCs w:val="32"/>
        </w:rPr>
        <w:t>项目支出</w:t>
      </w:r>
      <w:r>
        <w:rPr>
          <w:rFonts w:hint="eastAsia" w:ascii="仿宋" w:hAnsi="仿宋" w:eastAsia="仿宋" w:cs="仿宋"/>
          <w:color w:val="auto"/>
          <w:sz w:val="32"/>
          <w:szCs w:val="32"/>
        </w:rPr>
        <w:t>严格按照专项资金使用范围，保证项目资金的专款专用。</w:t>
      </w:r>
      <w:r>
        <w:rPr>
          <w:rFonts w:hint="default" w:ascii="仿宋" w:hAnsi="仿宋" w:eastAsia="仿宋" w:cs="仿宋"/>
          <w:color w:val="auto"/>
          <w:sz w:val="32"/>
          <w:szCs w:val="32"/>
          <w:lang w:val="en"/>
        </w:rPr>
        <w:t>2021</w:t>
      </w:r>
      <w:r>
        <w:rPr>
          <w:rFonts w:hint="eastAsia" w:ascii="仿宋" w:hAnsi="仿宋" w:eastAsia="仿宋" w:cs="仿宋"/>
          <w:color w:val="auto"/>
          <w:sz w:val="32"/>
          <w:szCs w:val="32"/>
        </w:rPr>
        <w:t>年支出</w:t>
      </w:r>
      <w:r>
        <w:rPr>
          <w:rFonts w:hint="eastAsia" w:ascii="仿宋" w:hAnsi="仿宋" w:eastAsia="仿宋" w:cs="仿宋"/>
          <w:color w:val="auto"/>
          <w:sz w:val="32"/>
          <w:szCs w:val="32"/>
          <w:lang w:val="en-US" w:eastAsia="zh-CN"/>
        </w:rPr>
        <w:t>677.04</w:t>
      </w:r>
      <w:r>
        <w:rPr>
          <w:rFonts w:hint="eastAsia" w:ascii="仿宋" w:hAnsi="仿宋" w:eastAsia="仿宋"/>
          <w:color w:val="auto"/>
          <w:sz w:val="32"/>
          <w:szCs w:val="32"/>
        </w:rPr>
        <w:t>万元，</w:t>
      </w:r>
      <w:r>
        <w:rPr>
          <w:rFonts w:hint="eastAsia" w:ascii="仿宋" w:hAnsi="仿宋" w:eastAsia="仿宋"/>
          <w:color w:val="auto"/>
          <w:sz w:val="32"/>
          <w:szCs w:val="32"/>
          <w:lang w:eastAsia="zh-CN"/>
        </w:rPr>
        <w:t>全部为</w:t>
      </w:r>
      <w:r>
        <w:rPr>
          <w:rFonts w:hint="eastAsia" w:ascii="仿宋" w:hAnsi="仿宋" w:eastAsia="仿宋"/>
          <w:color w:val="auto"/>
          <w:sz w:val="32"/>
          <w:szCs w:val="32"/>
        </w:rPr>
        <w:t>灾害防治及应急管理支出</w:t>
      </w:r>
      <w:r>
        <w:rPr>
          <w:rFonts w:hint="eastAsia" w:ascii="仿宋" w:hAnsi="仿宋" w:eastAsia="仿宋"/>
          <w:color w:val="auto"/>
          <w:sz w:val="32"/>
          <w:szCs w:val="32"/>
          <w:lang w:eastAsia="zh-CN"/>
        </w:rPr>
        <w:t>。</w:t>
      </w:r>
    </w:p>
    <w:p w14:paraId="64C56AC8">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三、</w:t>
      </w:r>
      <w:r>
        <w:rPr>
          <w:rFonts w:ascii="仿宋" w:hAnsi="仿宋" w:eastAsia="仿宋" w:cs="宋体"/>
          <w:kern w:val="0"/>
          <w:sz w:val="32"/>
          <w:szCs w:val="32"/>
        </w:rPr>
        <w:t>部门整体支出绩效情况</w:t>
      </w:r>
    </w:p>
    <w:p w14:paraId="61E512A8">
      <w:pPr>
        <w:widowControl/>
        <w:shd w:val="clear" w:color="auto" w:fill="FFFFFF"/>
        <w:spacing w:line="58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lang w:val="en"/>
        </w:rPr>
        <w:t>2021</w:t>
      </w:r>
      <w:r>
        <w:rPr>
          <w:rFonts w:ascii="仿宋" w:hAnsi="仿宋" w:eastAsia="仿宋" w:cs="宋体"/>
          <w:kern w:val="0"/>
          <w:sz w:val="32"/>
          <w:szCs w:val="32"/>
        </w:rPr>
        <w:t>年，我单位积极履职，强化管理，较好地完成了年度工作目标。通过加强预算收支管理，不断建立健全内部管理制度，梳理内部管理流程，部门整体支出管理水平得到提升。根据部门整体支出绩效评价指标体系</w:t>
      </w:r>
      <w:r>
        <w:rPr>
          <w:rFonts w:hint="eastAsia" w:ascii="仿宋" w:hAnsi="仿宋" w:eastAsia="仿宋" w:cs="宋体"/>
          <w:kern w:val="0"/>
          <w:sz w:val="32"/>
          <w:szCs w:val="32"/>
        </w:rPr>
        <w:t>。</w:t>
      </w:r>
    </w:p>
    <w:p w14:paraId="5297CEBC">
      <w:pPr>
        <w:widowControl/>
        <w:shd w:val="clear" w:color="auto" w:fill="FFFFFF"/>
        <w:spacing w:line="58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部门整体支出绩效情况如下：</w:t>
      </w:r>
    </w:p>
    <w:p w14:paraId="48F5F53A">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1、基本支出完成率100%。</w:t>
      </w:r>
    </w:p>
    <w:p w14:paraId="0402A3BA">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2、项目支出完成率100%。</w:t>
      </w:r>
    </w:p>
    <w:p w14:paraId="27CAD75C">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宋体"/>
          <w:kern w:val="0"/>
          <w:sz w:val="32"/>
          <w:szCs w:val="32"/>
        </w:rPr>
        <w:t>3、</w:t>
      </w:r>
      <w:r>
        <w:rPr>
          <w:rFonts w:hint="eastAsia" w:ascii="仿宋" w:hAnsi="仿宋" w:eastAsia="仿宋" w:cs="仿宋"/>
          <w:sz w:val="32"/>
          <w:szCs w:val="32"/>
        </w:rPr>
        <w:t>预算配置方面。</w:t>
      </w:r>
      <w:r>
        <w:rPr>
          <w:rFonts w:ascii="仿宋" w:hAnsi="仿宋" w:eastAsia="仿宋" w:cs="宋体"/>
          <w:kern w:val="0"/>
          <w:sz w:val="32"/>
          <w:szCs w:val="32"/>
        </w:rPr>
        <w:t>预算配置控制较好</w:t>
      </w:r>
      <w:r>
        <w:rPr>
          <w:rFonts w:hint="eastAsia" w:ascii="仿宋" w:hAnsi="仿宋" w:eastAsia="仿宋" w:cs="宋体"/>
          <w:kern w:val="0"/>
          <w:sz w:val="32"/>
          <w:szCs w:val="32"/>
        </w:rPr>
        <w:t>，</w:t>
      </w:r>
      <w:r>
        <w:rPr>
          <w:rFonts w:hint="eastAsia" w:ascii="仿宋" w:hAnsi="仿宋" w:eastAsia="仿宋" w:cs="仿宋"/>
          <w:sz w:val="32"/>
          <w:szCs w:val="32"/>
        </w:rPr>
        <w:t>财政供养人员控制在预算编制以内，编制内在职人员控制率</w:t>
      </w:r>
      <w:r>
        <w:rPr>
          <w:rFonts w:hint="eastAsia" w:ascii="仿宋" w:hAnsi="仿宋" w:eastAsia="仿宋" w:cs="仿宋"/>
          <w:sz w:val="32"/>
          <w:szCs w:val="32"/>
          <w:lang w:val="en-US" w:eastAsia="zh-CN"/>
        </w:rPr>
        <w:t>96.88</w:t>
      </w:r>
      <w:r>
        <w:rPr>
          <w:rFonts w:hint="eastAsia" w:ascii="仿宋" w:hAnsi="仿宋" w:eastAsia="仿宋" w:cs="仿宋"/>
          <w:sz w:val="32"/>
          <w:szCs w:val="32"/>
        </w:rPr>
        <w:t>%，不存在超编现象。“三公”经费</w:t>
      </w:r>
      <w:r>
        <w:rPr>
          <w:rFonts w:hint="eastAsia" w:ascii="仿宋" w:hAnsi="仿宋" w:eastAsia="仿宋" w:cs="仿宋"/>
          <w:sz w:val="32"/>
          <w:szCs w:val="32"/>
          <w:lang w:eastAsia="zh-CN"/>
        </w:rPr>
        <w:t>年初</w:t>
      </w:r>
      <w:r>
        <w:rPr>
          <w:rFonts w:hint="eastAsia" w:ascii="仿宋" w:hAnsi="仿宋" w:eastAsia="仿宋" w:cs="仿宋"/>
          <w:sz w:val="32"/>
          <w:szCs w:val="32"/>
        </w:rPr>
        <w:t>预算与上年基本持平，略有减少。</w:t>
      </w:r>
    </w:p>
    <w:p w14:paraId="2ECB9A06">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4、预算执行方面。</w:t>
      </w:r>
      <w:r>
        <w:rPr>
          <w:rFonts w:hint="eastAsia" w:ascii="仿宋" w:hAnsi="仿宋" w:eastAsia="仿宋" w:cs="仿宋"/>
          <w:color w:val="auto"/>
          <w:sz w:val="32"/>
          <w:szCs w:val="32"/>
        </w:rPr>
        <w:t>支出总额控制在预算总额以内，预算完成率100%，本年部门预算未进行相关事项的调整。</w:t>
      </w:r>
    </w:p>
    <w:p w14:paraId="5D373C1B">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5、预算管理方面。我局</w:t>
      </w:r>
      <w:r>
        <w:rPr>
          <w:rFonts w:hint="default" w:ascii="仿宋" w:hAnsi="仿宋" w:eastAsia="仿宋" w:cs="仿宋"/>
          <w:sz w:val="32"/>
          <w:szCs w:val="32"/>
          <w:lang w:val="en"/>
        </w:rPr>
        <w:t>2021</w:t>
      </w:r>
      <w:r>
        <w:rPr>
          <w:rFonts w:hint="eastAsia" w:ascii="仿宋" w:hAnsi="仿宋" w:eastAsia="仿宋" w:cs="仿宋"/>
          <w:sz w:val="32"/>
          <w:szCs w:val="32"/>
        </w:rPr>
        <w:t>年度公用经费占基本支出的</w:t>
      </w:r>
      <w:r>
        <w:rPr>
          <w:rFonts w:hint="eastAsia" w:ascii="仿宋" w:hAnsi="仿宋" w:eastAsia="仿宋" w:cs="仿宋"/>
          <w:sz w:val="32"/>
          <w:szCs w:val="32"/>
          <w:lang w:val="en-US" w:eastAsia="zh-CN"/>
        </w:rPr>
        <w:t>25.80%，</w:t>
      </w:r>
      <w:r>
        <w:rPr>
          <w:rFonts w:hint="eastAsia" w:ascii="仿宋" w:hAnsi="仿宋" w:eastAsia="仿宋" w:cs="仿宋"/>
          <w:color w:val="auto"/>
          <w:sz w:val="32"/>
          <w:szCs w:val="32"/>
        </w:rPr>
        <w:t>“三公”经费控制率为</w:t>
      </w:r>
      <w:r>
        <w:rPr>
          <w:rFonts w:hint="eastAsia" w:ascii="仿宋" w:hAnsi="仿宋" w:eastAsia="仿宋" w:cs="仿宋"/>
          <w:color w:val="auto"/>
          <w:sz w:val="32"/>
          <w:szCs w:val="32"/>
          <w:lang w:val="en-US" w:eastAsia="zh-CN"/>
        </w:rPr>
        <w:t>100%（2021年报废两台公务用车，新购两台公务用车）</w:t>
      </w:r>
      <w:r>
        <w:rPr>
          <w:rFonts w:hint="eastAsia" w:ascii="仿宋" w:hAnsi="仿宋" w:eastAsia="仿宋" w:cs="仿宋"/>
          <w:color w:val="auto"/>
          <w:sz w:val="32"/>
          <w:szCs w:val="32"/>
        </w:rPr>
        <w:t>，</w:t>
      </w:r>
      <w:r>
        <w:rPr>
          <w:rFonts w:hint="eastAsia" w:ascii="仿宋" w:hAnsi="仿宋" w:eastAsia="仿宋" w:cs="仿宋"/>
          <w:sz w:val="32"/>
          <w:szCs w:val="32"/>
        </w:rPr>
        <w:t>资金拨付严格按照审批程序和手续，预、决算信息及时进行公开，对预算实行动态管理，整体预算管理符合相关标准和要求，各类项目资金均明确相应管理办法，确保资金使用合规。</w:t>
      </w:r>
    </w:p>
    <w:p w14:paraId="108BE6DE">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6、履职效益方面。</w:t>
      </w:r>
      <w:r>
        <w:rPr>
          <w:rFonts w:hint="default" w:ascii="仿宋" w:hAnsi="仿宋" w:eastAsia="仿宋" w:cs="仿宋"/>
          <w:sz w:val="32"/>
          <w:szCs w:val="32"/>
          <w:lang w:val="en"/>
        </w:rPr>
        <w:t>2021</w:t>
      </w:r>
      <w:r>
        <w:rPr>
          <w:rFonts w:hint="eastAsia" w:ascii="仿宋" w:hAnsi="仿宋" w:eastAsia="仿宋" w:cs="仿宋"/>
          <w:sz w:val="32"/>
          <w:szCs w:val="32"/>
        </w:rPr>
        <w:t>年，我局积极改进工作作风，加强经费及资产管理，提高行政效率。通过社会调查，服务对象满意度高。</w:t>
      </w:r>
    </w:p>
    <w:p w14:paraId="22A74FD7">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cs="宋体"/>
          <w:kern w:val="0"/>
          <w:sz w:val="32"/>
          <w:szCs w:val="32"/>
        </w:rPr>
        <w:t>四、存在问题与建议</w:t>
      </w:r>
    </w:p>
    <w:p w14:paraId="7344CD75">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存在问题：基本支出经费保障水平偏低。综合我局批复预算看，预算执行基本围绕保人员经费、保正常运转进行。从决算情况看，基本支出比重比较大。特别是社保、医保、公积金，</w:t>
      </w:r>
      <w:r>
        <w:rPr>
          <w:rFonts w:hint="eastAsia" w:ascii="仿宋" w:hAnsi="仿宋" w:eastAsia="仿宋" w:cs="仿宋"/>
          <w:sz w:val="32"/>
          <w:szCs w:val="32"/>
        </w:rPr>
        <w:t>因养老、医疗缴费基数与财政预算基数的不一致，导致在社会保障经费的实际支出与预算数相差距离越来越大，</w:t>
      </w:r>
      <w:r>
        <w:rPr>
          <w:rFonts w:hint="eastAsia" w:ascii="仿宋" w:hAnsi="仿宋" w:eastAsia="仿宋" w:cs="宋体"/>
          <w:kern w:val="0"/>
          <w:sz w:val="32"/>
          <w:szCs w:val="32"/>
        </w:rPr>
        <w:t>还需本单位动用行政经费负担，各种矛盾凸显，基本保障年年不够，每年都需动用来年经费来付今年费用。</w:t>
      </w:r>
    </w:p>
    <w:p w14:paraId="5D17FD61">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建议和措施</w:t>
      </w:r>
    </w:p>
    <w:p w14:paraId="41BD8971">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1、科学合理编制预算，严格执行预算</w:t>
      </w:r>
    </w:p>
    <w:p w14:paraId="16040795">
      <w:pPr>
        <w:widowControl/>
        <w:shd w:val="clear" w:color="auto" w:fill="FFFFFF"/>
        <w:spacing w:line="58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加强预算编制的前瞻性，按照新</w:t>
      </w:r>
      <w:r>
        <w:rPr>
          <w:rFonts w:hint="eastAsia" w:ascii="仿宋" w:hAnsi="仿宋" w:eastAsia="仿宋" w:cs="宋体"/>
          <w:kern w:val="0"/>
          <w:sz w:val="32"/>
          <w:szCs w:val="32"/>
          <w:lang w:eastAsia="zh-CN"/>
        </w:rPr>
        <w:t>《中华人民共和国预算法》</w:t>
      </w:r>
      <w:r>
        <w:rPr>
          <w:rFonts w:hint="eastAsia" w:ascii="仿宋" w:hAnsi="仿宋" w:eastAsia="仿宋" w:cs="宋体"/>
          <w:kern w:val="0"/>
          <w:sz w:val="32"/>
          <w:szCs w:val="32"/>
        </w:rPr>
        <w:t>及其实施条例的相关规定，按政策规定及本部门的发展规划，结合上一年度预算执行情况和本年度预算收支变化因素，科学、合理地编制本年预算草案，避免项目支出与基本支出划分不准或预算支出与实际执行出现较大偏差的情况，执行中确需调剂预算的，按规定程序报经及时批准。</w:t>
      </w:r>
    </w:p>
    <w:p w14:paraId="15053EDF">
      <w:pPr>
        <w:widowControl/>
        <w:shd w:val="clear" w:color="auto" w:fill="FFFFFF"/>
        <w:spacing w:line="600" w:lineRule="atLeast"/>
        <w:ind w:firstLine="643"/>
        <w:jc w:val="left"/>
        <w:rPr>
          <w:rFonts w:ascii="仿宋" w:hAnsi="仿宋" w:eastAsia="仿宋" w:cs="仿宋"/>
          <w:sz w:val="32"/>
          <w:szCs w:val="32"/>
        </w:rPr>
      </w:pPr>
      <w:r>
        <w:rPr>
          <w:rFonts w:hint="eastAsia" w:ascii="仿宋" w:hAnsi="仿宋" w:eastAsia="仿宋" w:cs="仿宋"/>
          <w:sz w:val="32"/>
          <w:szCs w:val="32"/>
        </w:rPr>
        <w:t>2、合理执行预算，确保效益最大化。增强行政成本意识，努力提高执行力，超前谋划，按时保质完成各项工作任务。</w:t>
      </w:r>
    </w:p>
    <w:p w14:paraId="17ABBAC4">
      <w:pPr>
        <w:spacing w:line="570" w:lineRule="exact"/>
        <w:ind w:firstLine="640" w:firstLineChars="200"/>
        <w:rPr>
          <w:rFonts w:ascii="仿宋" w:hAnsi="仿宋" w:eastAsia="仿宋" w:cs="微软雅黑"/>
          <w:sz w:val="32"/>
          <w:szCs w:val="32"/>
        </w:rPr>
      </w:pPr>
      <w:r>
        <w:rPr>
          <w:rFonts w:hint="eastAsia" w:ascii="仿宋" w:hAnsi="仿宋" w:eastAsia="仿宋" w:cs="微软雅黑"/>
          <w:sz w:val="32"/>
          <w:szCs w:val="32"/>
        </w:rPr>
        <w:t>五、</w:t>
      </w:r>
      <w:r>
        <w:rPr>
          <w:rFonts w:eastAsia="仿宋"/>
          <w:sz w:val="32"/>
          <w:szCs w:val="32"/>
        </w:rPr>
        <w:t>绩效自评结果拟应用和公开情况</w:t>
      </w:r>
    </w:p>
    <w:p w14:paraId="460C4B3D">
      <w:pPr>
        <w:widowControl/>
        <w:shd w:val="clear" w:color="auto" w:fill="FFFFFF"/>
        <w:spacing w:line="580" w:lineRule="exact"/>
        <w:ind w:firstLine="640" w:firstLineChars="200"/>
        <w:jc w:val="left"/>
        <w:rPr>
          <w:rFonts w:ascii="仿宋" w:hAnsi="仿宋" w:eastAsia="仿宋"/>
          <w:sz w:val="32"/>
          <w:szCs w:val="32"/>
        </w:rPr>
      </w:pPr>
      <w:r>
        <w:rPr>
          <w:rFonts w:hint="eastAsia" w:ascii="仿宋" w:hAnsi="仿宋" w:eastAsia="仿宋"/>
          <w:sz w:val="32"/>
          <w:szCs w:val="32"/>
        </w:rPr>
        <w:t>在此次评价中，部门整体绩效自评价情况较好，资金使用和效果达到了预期的经济、环境和社会效益。高度重视绩效评价结果的应用工作，积极探索和建立一套与预算管理相结合、多渠道应用评价结果的有效机制，着力提高绩效意识和财政资金使用效益。</w:t>
      </w:r>
    </w:p>
    <w:p w14:paraId="42D357C5">
      <w:pPr>
        <w:widowControl/>
        <w:shd w:val="clear" w:color="auto" w:fill="FFFFFF"/>
        <w:spacing w:line="580" w:lineRule="exact"/>
        <w:ind w:right="320" w:firstLine="640" w:firstLineChars="200"/>
        <w:jc w:val="right"/>
        <w:rPr>
          <w:rFonts w:ascii="仿宋" w:hAnsi="仿宋" w:eastAsia="仿宋" w:cs="宋体"/>
          <w:kern w:val="0"/>
          <w:sz w:val="32"/>
          <w:szCs w:val="32"/>
        </w:rPr>
      </w:pPr>
      <w:r>
        <w:rPr>
          <w:rFonts w:hint="eastAsia" w:ascii="仿宋" w:hAnsi="仿宋" w:eastAsia="仿宋" w:cs="宋体"/>
          <w:kern w:val="0"/>
          <w:sz w:val="32"/>
          <w:szCs w:val="32"/>
        </w:rPr>
        <w:t>衡阳市应急管理局</w:t>
      </w:r>
    </w:p>
    <w:p w14:paraId="67B5149E">
      <w:pPr>
        <w:widowControl/>
        <w:shd w:val="clear" w:color="auto" w:fill="FFFFFF"/>
        <w:spacing w:line="580" w:lineRule="exact"/>
        <w:ind w:firstLine="640" w:firstLineChars="200"/>
        <w:jc w:val="center"/>
        <w:rPr>
          <w:kern w:val="0"/>
          <w:sz w:val="36"/>
          <w:szCs w:val="36"/>
        </w:rPr>
      </w:pPr>
      <w:r>
        <w:rPr>
          <w:rFonts w:hint="eastAsia" w:ascii="仿宋" w:hAnsi="仿宋" w:eastAsia="仿宋" w:cs="宋体"/>
          <w:kern w:val="0"/>
          <w:sz w:val="32"/>
          <w:szCs w:val="32"/>
        </w:rPr>
        <w:t xml:space="preserve">                                 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w:t>
      </w:r>
      <w:r>
        <w:rPr>
          <w:rFonts w:hint="default" w:ascii="仿宋" w:hAnsi="仿宋" w:eastAsia="仿宋" w:cs="宋体"/>
          <w:kern w:val="0"/>
          <w:sz w:val="32"/>
          <w:szCs w:val="32"/>
          <w:lang w:val="en"/>
        </w:rPr>
        <w:t>5</w:t>
      </w:r>
      <w:r>
        <w:rPr>
          <w:rFonts w:hint="eastAsia" w:ascii="仿宋" w:hAnsi="仿宋" w:eastAsia="仿宋" w:cs="宋体"/>
          <w:kern w:val="0"/>
          <w:sz w:val="32"/>
          <w:szCs w:val="32"/>
        </w:rPr>
        <w:t>月</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日</w:t>
      </w:r>
    </w:p>
    <w:p w14:paraId="5092CA63">
      <w:pPr>
        <w:spacing w:after="312" w:afterLines="100"/>
        <w:jc w:val="center"/>
        <w:rPr>
          <w:rFonts w:hint="eastAsia"/>
          <w:kern w:val="0"/>
          <w:sz w:val="36"/>
          <w:szCs w:val="36"/>
        </w:rPr>
        <w:sectPr>
          <w:footerReference r:id="rId3" w:type="default"/>
          <w:pgSz w:w="11906" w:h="16838"/>
          <w:pgMar w:top="1135" w:right="1416" w:bottom="1440" w:left="1418" w:header="851" w:footer="992" w:gutter="0"/>
          <w:cols w:space="425" w:num="1"/>
          <w:docGrid w:type="lines" w:linePitch="312" w:charSpace="0"/>
        </w:sectPr>
      </w:pPr>
    </w:p>
    <w:p w14:paraId="119EE6A0">
      <w:pPr>
        <w:spacing w:after="312" w:afterLines="100"/>
        <w:jc w:val="center"/>
        <w:rPr>
          <w:kern w:val="0"/>
          <w:sz w:val="24"/>
        </w:rPr>
      </w:pPr>
      <w:r>
        <w:rPr>
          <w:rFonts w:hint="eastAsia"/>
          <w:kern w:val="0"/>
          <w:sz w:val="36"/>
          <w:szCs w:val="36"/>
        </w:rPr>
        <w:t>部门整体支出绩效评价指标评分表</w:t>
      </w:r>
    </w:p>
    <w:tbl>
      <w:tblPr>
        <w:tblStyle w:val="8"/>
        <w:tblW w:w="9958" w:type="dxa"/>
        <w:jc w:val="center"/>
        <w:tblLayout w:type="fixed"/>
        <w:tblCellMar>
          <w:top w:w="0" w:type="dxa"/>
          <w:left w:w="108" w:type="dxa"/>
          <w:bottom w:w="0" w:type="dxa"/>
          <w:right w:w="108" w:type="dxa"/>
        </w:tblCellMar>
      </w:tblPr>
      <w:tblGrid>
        <w:gridCol w:w="709"/>
        <w:gridCol w:w="677"/>
        <w:gridCol w:w="1014"/>
        <w:gridCol w:w="483"/>
        <w:gridCol w:w="2948"/>
        <w:gridCol w:w="3490"/>
        <w:gridCol w:w="637"/>
      </w:tblGrid>
      <w:tr w14:paraId="1C963E63">
        <w:tblPrEx>
          <w:tblCellMar>
            <w:top w:w="0" w:type="dxa"/>
            <w:left w:w="108" w:type="dxa"/>
            <w:bottom w:w="0" w:type="dxa"/>
            <w:right w:w="108" w:type="dxa"/>
          </w:tblCellMar>
        </w:tblPrEx>
        <w:trPr>
          <w:tblHeader/>
          <w:jc w:val="center"/>
        </w:trPr>
        <w:tc>
          <w:tcPr>
            <w:tcW w:w="709" w:type="dxa"/>
            <w:tcBorders>
              <w:top w:val="single" w:color="auto" w:sz="4" w:space="0"/>
              <w:left w:val="single" w:color="auto" w:sz="4" w:space="0"/>
              <w:bottom w:val="single" w:color="auto" w:sz="4" w:space="0"/>
              <w:right w:val="single" w:color="auto" w:sz="4" w:space="0"/>
            </w:tcBorders>
            <w:vAlign w:val="center"/>
          </w:tcPr>
          <w:p w14:paraId="5D6C9D74">
            <w:pPr>
              <w:widowControl/>
              <w:jc w:val="left"/>
              <w:rPr>
                <w:rFonts w:ascii="黑体" w:eastAsia="黑体"/>
                <w:kern w:val="0"/>
                <w:sz w:val="20"/>
                <w:szCs w:val="20"/>
              </w:rPr>
            </w:pPr>
            <w:r>
              <w:rPr>
                <w:rFonts w:hint="eastAsia" w:ascii="黑体"/>
                <w:kern w:val="0"/>
                <w:sz w:val="20"/>
                <w:szCs w:val="20"/>
              </w:rPr>
              <w:t>一级指标</w:t>
            </w:r>
          </w:p>
        </w:tc>
        <w:tc>
          <w:tcPr>
            <w:tcW w:w="677" w:type="dxa"/>
            <w:tcBorders>
              <w:top w:val="single" w:color="auto" w:sz="4" w:space="0"/>
              <w:left w:val="nil"/>
              <w:bottom w:val="single" w:color="auto" w:sz="4" w:space="0"/>
              <w:right w:val="single" w:color="auto" w:sz="4" w:space="0"/>
            </w:tcBorders>
            <w:vAlign w:val="center"/>
          </w:tcPr>
          <w:p w14:paraId="6121DE1C">
            <w:pPr>
              <w:widowControl/>
              <w:jc w:val="center"/>
              <w:rPr>
                <w:rFonts w:ascii="黑体" w:eastAsia="黑体"/>
                <w:kern w:val="0"/>
                <w:sz w:val="20"/>
                <w:szCs w:val="20"/>
              </w:rPr>
            </w:pPr>
            <w:r>
              <w:rPr>
                <w:rFonts w:hint="eastAsia" w:ascii="黑体"/>
                <w:kern w:val="0"/>
                <w:sz w:val="20"/>
                <w:szCs w:val="20"/>
              </w:rPr>
              <w:t>二级指标</w:t>
            </w:r>
          </w:p>
        </w:tc>
        <w:tc>
          <w:tcPr>
            <w:tcW w:w="1014" w:type="dxa"/>
            <w:tcBorders>
              <w:top w:val="single" w:color="auto" w:sz="4" w:space="0"/>
              <w:left w:val="nil"/>
              <w:bottom w:val="single" w:color="auto" w:sz="4" w:space="0"/>
              <w:right w:val="single" w:color="auto" w:sz="4" w:space="0"/>
            </w:tcBorders>
            <w:vAlign w:val="center"/>
          </w:tcPr>
          <w:p w14:paraId="74194134">
            <w:pPr>
              <w:widowControl/>
              <w:jc w:val="center"/>
              <w:rPr>
                <w:rFonts w:ascii="黑体" w:eastAsia="黑体"/>
                <w:kern w:val="0"/>
                <w:sz w:val="20"/>
                <w:szCs w:val="20"/>
              </w:rPr>
            </w:pPr>
            <w:r>
              <w:rPr>
                <w:rFonts w:hint="eastAsia" w:ascii="黑体"/>
                <w:kern w:val="0"/>
                <w:sz w:val="20"/>
                <w:szCs w:val="20"/>
              </w:rPr>
              <w:t>三级</w:t>
            </w:r>
          </w:p>
          <w:p w14:paraId="50A24DD2">
            <w:pPr>
              <w:widowControl/>
              <w:jc w:val="center"/>
              <w:rPr>
                <w:rFonts w:ascii="黑体" w:eastAsia="黑体"/>
                <w:kern w:val="0"/>
                <w:sz w:val="20"/>
                <w:szCs w:val="20"/>
              </w:rPr>
            </w:pPr>
            <w:r>
              <w:rPr>
                <w:rFonts w:hint="eastAsia" w:ascii="黑体"/>
                <w:kern w:val="0"/>
                <w:sz w:val="20"/>
                <w:szCs w:val="20"/>
              </w:rPr>
              <w:t>指标</w:t>
            </w:r>
          </w:p>
        </w:tc>
        <w:tc>
          <w:tcPr>
            <w:tcW w:w="483" w:type="dxa"/>
            <w:tcBorders>
              <w:top w:val="single" w:color="auto" w:sz="4" w:space="0"/>
              <w:left w:val="nil"/>
              <w:bottom w:val="single" w:color="auto" w:sz="4" w:space="0"/>
              <w:right w:val="single" w:color="auto" w:sz="4" w:space="0"/>
            </w:tcBorders>
            <w:vAlign w:val="center"/>
          </w:tcPr>
          <w:p w14:paraId="22363ECE">
            <w:pPr>
              <w:widowControl/>
              <w:jc w:val="center"/>
              <w:rPr>
                <w:rFonts w:ascii="黑体" w:eastAsia="黑体"/>
                <w:kern w:val="0"/>
                <w:sz w:val="20"/>
                <w:szCs w:val="20"/>
              </w:rPr>
            </w:pPr>
            <w:r>
              <w:rPr>
                <w:rFonts w:hint="eastAsia" w:ascii="黑体"/>
                <w:kern w:val="0"/>
                <w:sz w:val="20"/>
                <w:szCs w:val="20"/>
              </w:rPr>
              <w:t>分值</w:t>
            </w:r>
          </w:p>
        </w:tc>
        <w:tc>
          <w:tcPr>
            <w:tcW w:w="2948" w:type="dxa"/>
            <w:tcBorders>
              <w:top w:val="single" w:color="auto" w:sz="4" w:space="0"/>
              <w:left w:val="nil"/>
              <w:bottom w:val="single" w:color="auto" w:sz="4" w:space="0"/>
              <w:right w:val="single" w:color="auto" w:sz="4" w:space="0"/>
            </w:tcBorders>
            <w:vAlign w:val="center"/>
          </w:tcPr>
          <w:p w14:paraId="7C1B7C84">
            <w:pPr>
              <w:widowControl/>
              <w:jc w:val="center"/>
              <w:rPr>
                <w:rFonts w:ascii="黑体" w:eastAsia="黑体"/>
                <w:kern w:val="0"/>
                <w:sz w:val="20"/>
                <w:szCs w:val="20"/>
              </w:rPr>
            </w:pPr>
            <w:r>
              <w:rPr>
                <w:rFonts w:hint="eastAsia" w:ascii="黑体"/>
                <w:kern w:val="0"/>
                <w:sz w:val="20"/>
                <w:szCs w:val="20"/>
              </w:rPr>
              <w:t>评价标准</w:t>
            </w:r>
          </w:p>
        </w:tc>
        <w:tc>
          <w:tcPr>
            <w:tcW w:w="3490" w:type="dxa"/>
            <w:tcBorders>
              <w:top w:val="single" w:color="auto" w:sz="4" w:space="0"/>
              <w:left w:val="nil"/>
              <w:bottom w:val="single" w:color="auto" w:sz="4" w:space="0"/>
              <w:right w:val="single" w:color="auto" w:sz="4" w:space="0"/>
            </w:tcBorders>
            <w:vAlign w:val="center"/>
          </w:tcPr>
          <w:p w14:paraId="46F9572D">
            <w:pPr>
              <w:widowControl/>
              <w:jc w:val="center"/>
              <w:rPr>
                <w:rFonts w:ascii="黑体" w:eastAsia="黑体"/>
                <w:kern w:val="0"/>
                <w:sz w:val="20"/>
                <w:szCs w:val="20"/>
              </w:rPr>
            </w:pPr>
            <w:r>
              <w:rPr>
                <w:rFonts w:hint="eastAsia" w:ascii="黑体"/>
                <w:kern w:val="0"/>
                <w:sz w:val="20"/>
                <w:szCs w:val="20"/>
              </w:rPr>
              <w:t>指标说明</w:t>
            </w:r>
          </w:p>
        </w:tc>
        <w:tc>
          <w:tcPr>
            <w:tcW w:w="637" w:type="dxa"/>
            <w:tcBorders>
              <w:top w:val="single" w:color="auto" w:sz="4" w:space="0"/>
              <w:left w:val="nil"/>
              <w:bottom w:val="single" w:color="auto" w:sz="4" w:space="0"/>
              <w:right w:val="single" w:color="auto" w:sz="4" w:space="0"/>
            </w:tcBorders>
            <w:vAlign w:val="center"/>
          </w:tcPr>
          <w:p w14:paraId="7C09F52B">
            <w:pPr>
              <w:widowControl/>
              <w:jc w:val="center"/>
              <w:rPr>
                <w:rFonts w:ascii="黑体" w:eastAsia="黑体"/>
                <w:kern w:val="0"/>
                <w:sz w:val="20"/>
                <w:szCs w:val="20"/>
              </w:rPr>
            </w:pPr>
            <w:r>
              <w:rPr>
                <w:rFonts w:hint="eastAsia" w:ascii="黑体"/>
                <w:kern w:val="0"/>
                <w:sz w:val="20"/>
                <w:szCs w:val="20"/>
              </w:rPr>
              <w:t>得分</w:t>
            </w:r>
          </w:p>
        </w:tc>
      </w:tr>
      <w:tr w14:paraId="41871A39">
        <w:tblPrEx>
          <w:tblCellMar>
            <w:top w:w="0" w:type="dxa"/>
            <w:left w:w="108" w:type="dxa"/>
            <w:bottom w:w="0" w:type="dxa"/>
            <w:right w:w="108" w:type="dxa"/>
          </w:tblCellMar>
        </w:tblPrEx>
        <w:trPr>
          <w:trHeight w:val="908" w:hRule="atLeast"/>
          <w:jc w:val="center"/>
        </w:trPr>
        <w:tc>
          <w:tcPr>
            <w:tcW w:w="709" w:type="dxa"/>
            <w:vMerge w:val="restart"/>
            <w:tcBorders>
              <w:top w:val="nil"/>
              <w:left w:val="single" w:color="auto" w:sz="4" w:space="0"/>
              <w:right w:val="single" w:color="auto" w:sz="4" w:space="0"/>
            </w:tcBorders>
            <w:vAlign w:val="center"/>
          </w:tcPr>
          <w:p w14:paraId="2B29A8F6">
            <w:pPr>
              <w:widowControl/>
              <w:jc w:val="center"/>
              <w:rPr>
                <w:rFonts w:eastAsia="仿宋_GB2312"/>
                <w:kern w:val="0"/>
                <w:sz w:val="20"/>
                <w:szCs w:val="20"/>
              </w:rPr>
            </w:pPr>
            <w:r>
              <w:rPr>
                <w:rFonts w:hint="eastAsia"/>
                <w:kern w:val="0"/>
                <w:sz w:val="20"/>
                <w:szCs w:val="20"/>
              </w:rPr>
              <w:t>投</w:t>
            </w:r>
          </w:p>
          <w:p w14:paraId="7CA63902">
            <w:pPr>
              <w:widowControl/>
              <w:jc w:val="center"/>
              <w:rPr>
                <w:rFonts w:eastAsia="仿宋_GB2312"/>
                <w:kern w:val="0"/>
                <w:sz w:val="20"/>
                <w:szCs w:val="20"/>
              </w:rPr>
            </w:pPr>
            <w:r>
              <w:rPr>
                <w:rFonts w:hint="eastAsia"/>
                <w:kern w:val="0"/>
                <w:sz w:val="20"/>
                <w:szCs w:val="20"/>
              </w:rPr>
              <w:t>入</w:t>
            </w:r>
          </w:p>
          <w:p w14:paraId="5F852D15">
            <w:pPr>
              <w:widowControl/>
              <w:jc w:val="center"/>
              <w:rPr>
                <w:rFonts w:eastAsia="仿宋_GB2312"/>
                <w:kern w:val="0"/>
                <w:sz w:val="20"/>
                <w:szCs w:val="20"/>
              </w:rPr>
            </w:pPr>
          </w:p>
          <w:p w14:paraId="7D716AB5">
            <w:pPr>
              <w:widowControl/>
              <w:jc w:val="center"/>
              <w:rPr>
                <w:rFonts w:eastAsia="仿宋_GB2312"/>
                <w:kern w:val="0"/>
                <w:sz w:val="20"/>
                <w:szCs w:val="20"/>
              </w:rPr>
            </w:pPr>
            <w:r>
              <w:rPr>
                <w:kern w:val="0"/>
                <w:sz w:val="20"/>
                <w:szCs w:val="20"/>
              </w:rPr>
              <w:t>10</w:t>
            </w:r>
            <w:r>
              <w:rPr>
                <w:rFonts w:hint="eastAsia"/>
                <w:kern w:val="0"/>
                <w:sz w:val="20"/>
                <w:szCs w:val="20"/>
              </w:rPr>
              <w:t>分</w:t>
            </w:r>
          </w:p>
          <w:p w14:paraId="4A8CE5E3">
            <w:pPr>
              <w:jc w:val="center"/>
              <w:rPr>
                <w:rFonts w:eastAsia="仿宋_GB2312"/>
                <w:kern w:val="0"/>
                <w:sz w:val="20"/>
                <w:szCs w:val="20"/>
              </w:rPr>
            </w:pPr>
          </w:p>
        </w:tc>
        <w:tc>
          <w:tcPr>
            <w:tcW w:w="677" w:type="dxa"/>
            <w:vMerge w:val="restart"/>
            <w:tcBorders>
              <w:top w:val="nil"/>
              <w:left w:val="nil"/>
              <w:right w:val="single" w:color="auto" w:sz="4" w:space="0"/>
            </w:tcBorders>
            <w:vAlign w:val="center"/>
          </w:tcPr>
          <w:p w14:paraId="3688E637">
            <w:pPr>
              <w:widowControl/>
              <w:jc w:val="center"/>
              <w:rPr>
                <w:rFonts w:eastAsia="仿宋_GB2312"/>
                <w:kern w:val="0"/>
                <w:sz w:val="20"/>
                <w:szCs w:val="20"/>
              </w:rPr>
            </w:pPr>
            <w:r>
              <w:rPr>
                <w:rFonts w:hint="eastAsia"/>
                <w:kern w:val="0"/>
                <w:sz w:val="20"/>
                <w:szCs w:val="20"/>
              </w:rPr>
              <w:t>目标设定</w:t>
            </w:r>
          </w:p>
          <w:p w14:paraId="5D986CC5">
            <w:pPr>
              <w:widowControl/>
              <w:jc w:val="center"/>
              <w:rPr>
                <w:rFonts w:eastAsia="仿宋_GB2312"/>
                <w:kern w:val="0"/>
                <w:sz w:val="20"/>
                <w:szCs w:val="20"/>
              </w:rPr>
            </w:pPr>
          </w:p>
          <w:p w14:paraId="5E178F89">
            <w:pPr>
              <w:widowControl/>
              <w:jc w:val="center"/>
              <w:rPr>
                <w:rFonts w:eastAsia="仿宋_GB2312"/>
                <w:kern w:val="0"/>
                <w:sz w:val="20"/>
                <w:szCs w:val="20"/>
              </w:rPr>
            </w:pPr>
            <w:r>
              <w:rPr>
                <w:kern w:val="0"/>
                <w:sz w:val="20"/>
                <w:szCs w:val="20"/>
              </w:rPr>
              <w:t>6</w:t>
            </w:r>
            <w:r>
              <w:rPr>
                <w:rFonts w:hint="eastAsia"/>
                <w:kern w:val="0"/>
                <w:sz w:val="20"/>
                <w:szCs w:val="20"/>
              </w:rPr>
              <w:t>分</w:t>
            </w:r>
          </w:p>
        </w:tc>
        <w:tc>
          <w:tcPr>
            <w:tcW w:w="1014" w:type="dxa"/>
            <w:tcBorders>
              <w:top w:val="nil"/>
              <w:left w:val="nil"/>
              <w:bottom w:val="single" w:color="auto" w:sz="4" w:space="0"/>
              <w:right w:val="single" w:color="auto" w:sz="4" w:space="0"/>
            </w:tcBorders>
            <w:vAlign w:val="center"/>
          </w:tcPr>
          <w:p w14:paraId="410293A3">
            <w:pPr>
              <w:jc w:val="center"/>
              <w:rPr>
                <w:rFonts w:eastAsia="仿宋_GB2312"/>
                <w:kern w:val="0"/>
                <w:sz w:val="20"/>
                <w:szCs w:val="20"/>
              </w:rPr>
            </w:pPr>
            <w:r>
              <w:rPr>
                <w:rFonts w:hint="eastAsia"/>
                <w:kern w:val="0"/>
                <w:sz w:val="20"/>
                <w:szCs w:val="20"/>
              </w:rPr>
              <w:t>绩效目标合理性</w:t>
            </w:r>
          </w:p>
        </w:tc>
        <w:tc>
          <w:tcPr>
            <w:tcW w:w="483" w:type="dxa"/>
            <w:tcBorders>
              <w:top w:val="nil"/>
              <w:left w:val="nil"/>
              <w:bottom w:val="single" w:color="auto" w:sz="4" w:space="0"/>
              <w:right w:val="single" w:color="auto" w:sz="4" w:space="0"/>
            </w:tcBorders>
            <w:vAlign w:val="center"/>
          </w:tcPr>
          <w:p w14:paraId="642D4062">
            <w:pPr>
              <w:widowControl/>
              <w:jc w:val="center"/>
              <w:rPr>
                <w:rFonts w:eastAsia="仿宋_GB2312"/>
                <w:kern w:val="0"/>
                <w:sz w:val="20"/>
                <w:szCs w:val="20"/>
              </w:rPr>
            </w:pPr>
            <w:r>
              <w:rPr>
                <w:kern w:val="0"/>
                <w:sz w:val="20"/>
                <w:szCs w:val="20"/>
              </w:rPr>
              <w:t>3</w:t>
            </w:r>
          </w:p>
        </w:tc>
        <w:tc>
          <w:tcPr>
            <w:tcW w:w="2948" w:type="dxa"/>
            <w:tcBorders>
              <w:top w:val="nil"/>
              <w:left w:val="nil"/>
              <w:bottom w:val="single" w:color="auto" w:sz="4" w:space="0"/>
              <w:right w:val="nil"/>
            </w:tcBorders>
            <w:vAlign w:val="center"/>
          </w:tcPr>
          <w:p w14:paraId="614DE517">
            <w:pPr>
              <w:widowControl/>
              <w:jc w:val="left"/>
              <w:rPr>
                <w:rFonts w:eastAsia="仿宋_GB2312"/>
                <w:kern w:val="0"/>
                <w:sz w:val="20"/>
                <w:szCs w:val="20"/>
              </w:rPr>
            </w:pPr>
            <w:r>
              <w:rPr>
                <w:rFonts w:hint="eastAsia"/>
                <w:kern w:val="0"/>
                <w:sz w:val="20"/>
                <w:szCs w:val="20"/>
              </w:rPr>
              <w:t>部门所设立的整体绩效目标依据是否充分，是否符合客观实际，用以反映和考核部门整体绩效目标与部门履职、年度工作任务的相符性情况。</w:t>
            </w:r>
          </w:p>
        </w:tc>
        <w:tc>
          <w:tcPr>
            <w:tcW w:w="3490" w:type="dxa"/>
            <w:tcBorders>
              <w:top w:val="nil"/>
              <w:left w:val="single" w:color="auto" w:sz="4" w:space="0"/>
              <w:bottom w:val="single" w:color="auto" w:sz="4" w:space="0"/>
              <w:right w:val="single" w:color="auto" w:sz="4" w:space="0"/>
            </w:tcBorders>
            <w:vAlign w:val="center"/>
          </w:tcPr>
          <w:p w14:paraId="08AD6993">
            <w:pPr>
              <w:widowControl/>
              <w:jc w:val="left"/>
              <w:rPr>
                <w:rFonts w:eastAsia="仿宋_GB2312"/>
                <w:kern w:val="0"/>
                <w:sz w:val="20"/>
                <w:szCs w:val="20"/>
              </w:rPr>
            </w:pPr>
            <w:r>
              <w:rPr>
                <w:rFonts w:hint="eastAsia"/>
                <w:kern w:val="0"/>
                <w:sz w:val="20"/>
                <w:szCs w:val="20"/>
              </w:rPr>
              <w:t>评价要点：</w:t>
            </w:r>
            <w:r>
              <w:rPr>
                <w:rFonts w:eastAsia="仿宋_GB2312"/>
                <w:kern w:val="0"/>
                <w:sz w:val="20"/>
                <w:szCs w:val="20"/>
              </w:rPr>
              <w:br w:type="textWrapping"/>
            </w:r>
            <w:r>
              <w:rPr>
                <w:rFonts w:hint="eastAsia"/>
                <w:kern w:val="0"/>
                <w:sz w:val="20"/>
                <w:szCs w:val="20"/>
              </w:rPr>
              <w:t>①是否符合国家法律法规、国民经济和社会发展总体规划；</w:t>
            </w:r>
            <w:r>
              <w:rPr>
                <w:rFonts w:eastAsia="仿宋_GB2312"/>
                <w:kern w:val="0"/>
                <w:sz w:val="20"/>
                <w:szCs w:val="20"/>
              </w:rPr>
              <w:br w:type="textWrapping"/>
            </w:r>
            <w:r>
              <w:rPr>
                <w:rFonts w:hint="eastAsia"/>
                <w:kern w:val="0"/>
                <w:sz w:val="20"/>
                <w:szCs w:val="20"/>
              </w:rPr>
              <w:t>②是否符合部门</w:t>
            </w:r>
            <w:r>
              <w:rPr>
                <w:kern w:val="0"/>
                <w:sz w:val="20"/>
                <w:szCs w:val="20"/>
              </w:rPr>
              <w:t>“</w:t>
            </w:r>
            <w:r>
              <w:rPr>
                <w:rFonts w:hint="eastAsia"/>
                <w:kern w:val="0"/>
                <w:sz w:val="20"/>
                <w:szCs w:val="20"/>
              </w:rPr>
              <w:t>三定</w:t>
            </w:r>
            <w:r>
              <w:rPr>
                <w:kern w:val="0"/>
                <w:sz w:val="20"/>
                <w:szCs w:val="20"/>
              </w:rPr>
              <w:t>”</w:t>
            </w:r>
            <w:r>
              <w:rPr>
                <w:rFonts w:hint="eastAsia"/>
                <w:kern w:val="0"/>
                <w:sz w:val="20"/>
                <w:szCs w:val="20"/>
              </w:rPr>
              <w:t>方案确定的职责；</w:t>
            </w:r>
            <w:r>
              <w:rPr>
                <w:rFonts w:eastAsia="仿宋_GB2312"/>
                <w:kern w:val="0"/>
                <w:sz w:val="20"/>
                <w:szCs w:val="20"/>
              </w:rPr>
              <w:br w:type="textWrapping"/>
            </w:r>
            <w:r>
              <w:rPr>
                <w:rFonts w:hint="eastAsia"/>
                <w:kern w:val="0"/>
                <w:sz w:val="20"/>
                <w:szCs w:val="20"/>
              </w:rPr>
              <w:t>③是否符合部门制定的中长期实施规划。</w:t>
            </w:r>
          </w:p>
        </w:tc>
        <w:tc>
          <w:tcPr>
            <w:tcW w:w="637" w:type="dxa"/>
            <w:tcBorders>
              <w:top w:val="nil"/>
              <w:left w:val="nil"/>
              <w:bottom w:val="single" w:color="auto" w:sz="4" w:space="0"/>
              <w:right w:val="single" w:color="auto" w:sz="4" w:space="0"/>
            </w:tcBorders>
            <w:vAlign w:val="center"/>
          </w:tcPr>
          <w:p w14:paraId="15692EC7">
            <w:pPr>
              <w:widowControl/>
              <w:jc w:val="center"/>
              <w:rPr>
                <w:kern w:val="0"/>
                <w:sz w:val="24"/>
              </w:rPr>
            </w:pPr>
            <w:r>
              <w:rPr>
                <w:rFonts w:hint="eastAsia"/>
                <w:kern w:val="0"/>
                <w:sz w:val="24"/>
              </w:rPr>
              <w:t>3</w:t>
            </w:r>
          </w:p>
        </w:tc>
      </w:tr>
      <w:tr w14:paraId="6C2A8267">
        <w:tblPrEx>
          <w:tblCellMar>
            <w:top w:w="0" w:type="dxa"/>
            <w:left w:w="108" w:type="dxa"/>
            <w:bottom w:w="0" w:type="dxa"/>
            <w:right w:w="108" w:type="dxa"/>
          </w:tblCellMar>
        </w:tblPrEx>
        <w:trPr>
          <w:trHeight w:val="907" w:hRule="atLeast"/>
          <w:jc w:val="center"/>
        </w:trPr>
        <w:tc>
          <w:tcPr>
            <w:tcW w:w="709" w:type="dxa"/>
            <w:vMerge w:val="continue"/>
            <w:tcBorders>
              <w:left w:val="single" w:color="auto" w:sz="4" w:space="0"/>
              <w:right w:val="single" w:color="auto" w:sz="4" w:space="0"/>
            </w:tcBorders>
            <w:vAlign w:val="center"/>
          </w:tcPr>
          <w:p w14:paraId="68C08CF0">
            <w:pPr>
              <w:widowControl/>
              <w:jc w:val="center"/>
              <w:rPr>
                <w:rFonts w:eastAsia="仿宋_GB2312"/>
                <w:kern w:val="0"/>
                <w:sz w:val="20"/>
                <w:szCs w:val="20"/>
              </w:rPr>
            </w:pPr>
          </w:p>
        </w:tc>
        <w:tc>
          <w:tcPr>
            <w:tcW w:w="677" w:type="dxa"/>
            <w:vMerge w:val="continue"/>
            <w:tcBorders>
              <w:left w:val="nil"/>
              <w:bottom w:val="single" w:color="auto" w:sz="4" w:space="0"/>
              <w:right w:val="single" w:color="auto" w:sz="4" w:space="0"/>
            </w:tcBorders>
            <w:vAlign w:val="center"/>
          </w:tcPr>
          <w:p w14:paraId="02D2374E">
            <w:pPr>
              <w:widowControl/>
              <w:jc w:val="center"/>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18FB925F">
            <w:pPr>
              <w:jc w:val="center"/>
              <w:rPr>
                <w:rFonts w:eastAsia="仿宋_GB2312"/>
                <w:kern w:val="0"/>
                <w:sz w:val="20"/>
                <w:szCs w:val="20"/>
              </w:rPr>
            </w:pPr>
            <w:r>
              <w:rPr>
                <w:rFonts w:hint="eastAsia"/>
                <w:kern w:val="0"/>
                <w:sz w:val="20"/>
                <w:szCs w:val="20"/>
              </w:rPr>
              <w:t>绩效指标</w:t>
            </w:r>
          </w:p>
          <w:p w14:paraId="408D0D89">
            <w:pPr>
              <w:widowControl/>
              <w:jc w:val="left"/>
              <w:rPr>
                <w:rFonts w:eastAsia="仿宋_GB2312"/>
                <w:kern w:val="0"/>
                <w:sz w:val="20"/>
                <w:szCs w:val="20"/>
              </w:rPr>
            </w:pPr>
            <w:r>
              <w:rPr>
                <w:rFonts w:hint="eastAsia"/>
                <w:kern w:val="0"/>
                <w:sz w:val="20"/>
                <w:szCs w:val="20"/>
              </w:rPr>
              <w:t>明确性</w:t>
            </w:r>
          </w:p>
        </w:tc>
        <w:tc>
          <w:tcPr>
            <w:tcW w:w="483" w:type="dxa"/>
            <w:tcBorders>
              <w:left w:val="nil"/>
              <w:bottom w:val="single" w:color="auto" w:sz="4" w:space="0"/>
              <w:right w:val="single" w:color="auto" w:sz="4" w:space="0"/>
            </w:tcBorders>
            <w:vAlign w:val="center"/>
          </w:tcPr>
          <w:p w14:paraId="58FBFE68">
            <w:pPr>
              <w:widowControl/>
              <w:jc w:val="center"/>
              <w:rPr>
                <w:rFonts w:eastAsia="仿宋_GB2312"/>
                <w:kern w:val="0"/>
                <w:sz w:val="20"/>
                <w:szCs w:val="20"/>
              </w:rPr>
            </w:pPr>
            <w:r>
              <w:rPr>
                <w:kern w:val="0"/>
                <w:sz w:val="20"/>
                <w:szCs w:val="20"/>
              </w:rPr>
              <w:t>3</w:t>
            </w:r>
          </w:p>
        </w:tc>
        <w:tc>
          <w:tcPr>
            <w:tcW w:w="2948" w:type="dxa"/>
            <w:tcBorders>
              <w:left w:val="nil"/>
              <w:bottom w:val="single" w:color="auto" w:sz="4" w:space="0"/>
              <w:right w:val="nil"/>
            </w:tcBorders>
            <w:vAlign w:val="center"/>
          </w:tcPr>
          <w:p w14:paraId="7C961CD2">
            <w:pPr>
              <w:widowControl/>
              <w:jc w:val="left"/>
              <w:rPr>
                <w:rFonts w:eastAsia="仿宋_GB2312"/>
                <w:kern w:val="0"/>
                <w:sz w:val="20"/>
                <w:szCs w:val="20"/>
              </w:rPr>
            </w:pPr>
            <w:r>
              <w:rPr>
                <w:rFonts w:hint="eastAsia"/>
                <w:kern w:val="0"/>
                <w:sz w:val="20"/>
                <w:szCs w:val="20"/>
              </w:rPr>
              <w:t>部门依据整体绩效目标所设定的绩效指针是否清晰、细化、可衡量，用以反映和考核部门整体绩效目标的明细化情况。</w:t>
            </w:r>
          </w:p>
        </w:tc>
        <w:tc>
          <w:tcPr>
            <w:tcW w:w="3490" w:type="dxa"/>
            <w:tcBorders>
              <w:top w:val="single" w:color="auto" w:sz="4" w:space="0"/>
              <w:left w:val="single" w:color="auto" w:sz="4" w:space="0"/>
              <w:bottom w:val="single" w:color="auto" w:sz="4" w:space="0"/>
              <w:right w:val="single" w:color="auto" w:sz="4" w:space="0"/>
            </w:tcBorders>
            <w:vAlign w:val="center"/>
          </w:tcPr>
          <w:p w14:paraId="459707B3">
            <w:pPr>
              <w:widowControl/>
              <w:jc w:val="left"/>
              <w:rPr>
                <w:rFonts w:eastAsia="仿宋_GB2312"/>
                <w:kern w:val="0"/>
                <w:sz w:val="20"/>
                <w:szCs w:val="20"/>
              </w:rPr>
            </w:pPr>
            <w:r>
              <w:rPr>
                <w:rFonts w:hint="eastAsia"/>
                <w:kern w:val="0"/>
                <w:sz w:val="20"/>
                <w:szCs w:val="20"/>
              </w:rPr>
              <w:t>评价要点：</w:t>
            </w:r>
            <w:r>
              <w:rPr>
                <w:rFonts w:eastAsia="仿宋_GB2312"/>
                <w:kern w:val="0"/>
                <w:sz w:val="20"/>
                <w:szCs w:val="20"/>
              </w:rPr>
              <w:br w:type="textWrapping"/>
            </w:r>
            <w:r>
              <w:rPr>
                <w:rFonts w:hint="eastAsia"/>
                <w:kern w:val="0"/>
                <w:sz w:val="20"/>
                <w:szCs w:val="20"/>
              </w:rPr>
              <w:t>①是否将部门整体的绩效目标细化分解为具体的工作任务；</w:t>
            </w:r>
            <w:r>
              <w:rPr>
                <w:rFonts w:eastAsia="仿宋_GB2312"/>
                <w:kern w:val="0"/>
                <w:sz w:val="20"/>
                <w:szCs w:val="20"/>
              </w:rPr>
              <w:br w:type="textWrapping"/>
            </w:r>
            <w:r>
              <w:rPr>
                <w:rFonts w:hint="eastAsia"/>
                <w:kern w:val="0"/>
                <w:sz w:val="20"/>
                <w:szCs w:val="20"/>
              </w:rPr>
              <w:t>②是否通过清晰、可衡量的指标值予以体现。③是否与部门年度的任务数或计划数相对应；</w:t>
            </w:r>
            <w:r>
              <w:rPr>
                <w:rFonts w:eastAsia="仿宋_GB2312"/>
                <w:kern w:val="0"/>
                <w:sz w:val="20"/>
                <w:szCs w:val="20"/>
              </w:rPr>
              <w:br w:type="textWrapping"/>
            </w:r>
            <w:r>
              <w:rPr>
                <w:rFonts w:hint="eastAsia"/>
                <w:kern w:val="0"/>
                <w:sz w:val="20"/>
                <w:szCs w:val="20"/>
              </w:rPr>
              <w:t>④是否与本年度部门预算资金相匹配。</w:t>
            </w:r>
          </w:p>
        </w:tc>
        <w:tc>
          <w:tcPr>
            <w:tcW w:w="637" w:type="dxa"/>
            <w:tcBorders>
              <w:top w:val="single" w:color="auto" w:sz="4" w:space="0"/>
              <w:left w:val="nil"/>
              <w:bottom w:val="single" w:color="auto" w:sz="4" w:space="0"/>
              <w:right w:val="single" w:color="auto" w:sz="4" w:space="0"/>
            </w:tcBorders>
            <w:vAlign w:val="center"/>
          </w:tcPr>
          <w:p w14:paraId="4045DB0B">
            <w:pPr>
              <w:widowControl/>
              <w:jc w:val="center"/>
              <w:rPr>
                <w:kern w:val="0"/>
                <w:sz w:val="24"/>
              </w:rPr>
            </w:pPr>
            <w:r>
              <w:rPr>
                <w:rFonts w:hint="eastAsia"/>
                <w:kern w:val="0"/>
                <w:sz w:val="24"/>
              </w:rPr>
              <w:t>3</w:t>
            </w:r>
          </w:p>
        </w:tc>
      </w:tr>
      <w:tr w14:paraId="1DBF9211">
        <w:tblPrEx>
          <w:tblCellMar>
            <w:top w:w="0" w:type="dxa"/>
            <w:left w:w="108" w:type="dxa"/>
            <w:bottom w:w="0" w:type="dxa"/>
            <w:right w:w="108" w:type="dxa"/>
          </w:tblCellMar>
        </w:tblPrEx>
        <w:trPr>
          <w:trHeight w:val="1814" w:hRule="atLeast"/>
          <w:jc w:val="center"/>
        </w:trPr>
        <w:tc>
          <w:tcPr>
            <w:tcW w:w="709" w:type="dxa"/>
            <w:vMerge w:val="continue"/>
            <w:tcBorders>
              <w:left w:val="single" w:color="auto" w:sz="4" w:space="0"/>
              <w:right w:val="single" w:color="auto" w:sz="4" w:space="0"/>
            </w:tcBorders>
            <w:vAlign w:val="center"/>
          </w:tcPr>
          <w:p w14:paraId="2792FBB7">
            <w:pPr>
              <w:widowControl/>
              <w:jc w:val="center"/>
              <w:rPr>
                <w:rFonts w:eastAsia="仿宋_GB2312"/>
                <w:kern w:val="0"/>
                <w:sz w:val="20"/>
                <w:szCs w:val="20"/>
              </w:rPr>
            </w:pPr>
          </w:p>
        </w:tc>
        <w:tc>
          <w:tcPr>
            <w:tcW w:w="677" w:type="dxa"/>
            <w:vMerge w:val="restart"/>
            <w:tcBorders>
              <w:top w:val="nil"/>
              <w:left w:val="nil"/>
              <w:bottom w:val="single" w:color="auto" w:sz="4" w:space="0"/>
              <w:right w:val="single" w:color="auto" w:sz="4" w:space="0"/>
            </w:tcBorders>
            <w:vAlign w:val="center"/>
          </w:tcPr>
          <w:p w14:paraId="05B3AA01">
            <w:pPr>
              <w:widowControl/>
              <w:jc w:val="center"/>
              <w:rPr>
                <w:rFonts w:eastAsia="仿宋_GB2312"/>
                <w:kern w:val="0"/>
                <w:sz w:val="20"/>
                <w:szCs w:val="20"/>
              </w:rPr>
            </w:pPr>
            <w:r>
              <w:rPr>
                <w:rFonts w:hint="eastAsia"/>
                <w:kern w:val="0"/>
                <w:sz w:val="20"/>
                <w:szCs w:val="20"/>
              </w:rPr>
              <w:t>预算配置</w:t>
            </w:r>
          </w:p>
          <w:p w14:paraId="0257EDE1">
            <w:pPr>
              <w:widowControl/>
              <w:jc w:val="center"/>
              <w:rPr>
                <w:rFonts w:eastAsia="仿宋_GB2312"/>
                <w:kern w:val="0"/>
                <w:sz w:val="20"/>
                <w:szCs w:val="20"/>
              </w:rPr>
            </w:pPr>
          </w:p>
          <w:p w14:paraId="23546A19">
            <w:pPr>
              <w:widowControl/>
              <w:jc w:val="center"/>
              <w:rPr>
                <w:rFonts w:eastAsia="仿宋_GB2312"/>
                <w:kern w:val="0"/>
                <w:sz w:val="20"/>
                <w:szCs w:val="20"/>
              </w:rPr>
            </w:pPr>
            <w:r>
              <w:rPr>
                <w:kern w:val="0"/>
                <w:sz w:val="20"/>
                <w:szCs w:val="20"/>
              </w:rPr>
              <w:t>4</w:t>
            </w:r>
            <w:r>
              <w:rPr>
                <w:rFonts w:hint="eastAsia"/>
                <w:kern w:val="0"/>
                <w:sz w:val="20"/>
                <w:szCs w:val="20"/>
              </w:rPr>
              <w:t>分</w:t>
            </w:r>
          </w:p>
        </w:tc>
        <w:tc>
          <w:tcPr>
            <w:tcW w:w="1014" w:type="dxa"/>
            <w:tcBorders>
              <w:top w:val="nil"/>
              <w:left w:val="nil"/>
              <w:bottom w:val="single" w:color="auto" w:sz="4" w:space="0"/>
              <w:right w:val="single" w:color="auto" w:sz="4" w:space="0"/>
            </w:tcBorders>
            <w:vAlign w:val="center"/>
          </w:tcPr>
          <w:p w14:paraId="16CFB139">
            <w:pPr>
              <w:widowControl/>
              <w:jc w:val="left"/>
              <w:rPr>
                <w:rFonts w:eastAsia="仿宋_GB2312"/>
                <w:kern w:val="0"/>
                <w:sz w:val="20"/>
                <w:szCs w:val="20"/>
              </w:rPr>
            </w:pPr>
            <w:r>
              <w:rPr>
                <w:rFonts w:hint="eastAsia"/>
                <w:kern w:val="0"/>
                <w:sz w:val="20"/>
                <w:szCs w:val="20"/>
              </w:rPr>
              <w:t>在职人员控制率</w:t>
            </w:r>
          </w:p>
        </w:tc>
        <w:tc>
          <w:tcPr>
            <w:tcW w:w="483" w:type="dxa"/>
            <w:tcBorders>
              <w:top w:val="nil"/>
              <w:left w:val="nil"/>
              <w:bottom w:val="single" w:color="auto" w:sz="4" w:space="0"/>
              <w:right w:val="single" w:color="auto" w:sz="4" w:space="0"/>
            </w:tcBorders>
            <w:vAlign w:val="center"/>
          </w:tcPr>
          <w:p w14:paraId="2153C9EC">
            <w:pPr>
              <w:widowControl/>
              <w:jc w:val="center"/>
              <w:rPr>
                <w:rFonts w:eastAsia="仿宋_GB2312"/>
                <w:kern w:val="0"/>
                <w:sz w:val="20"/>
                <w:szCs w:val="20"/>
              </w:rPr>
            </w:pPr>
            <w:r>
              <w:rPr>
                <w:kern w:val="0"/>
                <w:sz w:val="20"/>
                <w:szCs w:val="20"/>
              </w:rPr>
              <w:t>1</w:t>
            </w:r>
          </w:p>
        </w:tc>
        <w:tc>
          <w:tcPr>
            <w:tcW w:w="2948" w:type="dxa"/>
            <w:tcBorders>
              <w:top w:val="nil"/>
              <w:left w:val="nil"/>
              <w:bottom w:val="nil"/>
              <w:right w:val="nil"/>
            </w:tcBorders>
            <w:vAlign w:val="center"/>
          </w:tcPr>
          <w:p w14:paraId="359BBE17">
            <w:pPr>
              <w:widowControl/>
              <w:jc w:val="left"/>
              <w:rPr>
                <w:rFonts w:eastAsia="仿宋_GB2312"/>
                <w:kern w:val="0"/>
                <w:sz w:val="20"/>
                <w:szCs w:val="20"/>
              </w:rPr>
            </w:pPr>
            <w:r>
              <w:rPr>
                <w:rFonts w:hint="eastAsia"/>
                <w:kern w:val="0"/>
                <w:sz w:val="20"/>
                <w:szCs w:val="20"/>
              </w:rPr>
              <w:t>以</w:t>
            </w:r>
            <w:r>
              <w:rPr>
                <w:kern w:val="0"/>
                <w:sz w:val="20"/>
                <w:szCs w:val="20"/>
              </w:rPr>
              <w:t>100%</w:t>
            </w:r>
            <w:r>
              <w:rPr>
                <w:rFonts w:hint="eastAsia"/>
                <w:kern w:val="0"/>
                <w:sz w:val="20"/>
                <w:szCs w:val="20"/>
              </w:rPr>
              <w:t>为标准。在职人员控制率</w:t>
            </w:r>
            <w:r>
              <w:rPr>
                <w:rFonts w:hint="eastAsia" w:ascii="宋体" w:hAnsi="宋体" w:cs="宋体"/>
                <w:kern w:val="0"/>
                <w:sz w:val="20"/>
                <w:szCs w:val="20"/>
              </w:rPr>
              <w:t>≦</w:t>
            </w:r>
            <w:r>
              <w:rPr>
                <w:kern w:val="0"/>
                <w:sz w:val="20"/>
                <w:szCs w:val="20"/>
              </w:rPr>
              <w:t>100%</w:t>
            </w:r>
            <w:r>
              <w:rPr>
                <w:rFonts w:hint="eastAsia"/>
                <w:kern w:val="0"/>
                <w:sz w:val="20"/>
                <w:szCs w:val="20"/>
              </w:rPr>
              <w:t>，计</w:t>
            </w:r>
            <w:r>
              <w:rPr>
                <w:kern w:val="0"/>
                <w:sz w:val="20"/>
                <w:szCs w:val="20"/>
              </w:rPr>
              <w:t>2</w:t>
            </w:r>
            <w:r>
              <w:rPr>
                <w:rFonts w:hint="eastAsia"/>
                <w:kern w:val="0"/>
                <w:sz w:val="20"/>
                <w:szCs w:val="20"/>
              </w:rPr>
              <w:t>分；每超过一个百分点扣</w:t>
            </w:r>
            <w:r>
              <w:rPr>
                <w:kern w:val="0"/>
                <w:sz w:val="20"/>
                <w:szCs w:val="20"/>
              </w:rPr>
              <w:t>0.5</w:t>
            </w:r>
            <w:r>
              <w:rPr>
                <w:rFonts w:hint="eastAsia"/>
                <w:kern w:val="0"/>
                <w:sz w:val="20"/>
                <w:szCs w:val="20"/>
              </w:rPr>
              <w:t>分，扣完为止。</w:t>
            </w:r>
          </w:p>
        </w:tc>
        <w:tc>
          <w:tcPr>
            <w:tcW w:w="3490" w:type="dxa"/>
            <w:tcBorders>
              <w:top w:val="nil"/>
              <w:left w:val="single" w:color="auto" w:sz="4" w:space="0"/>
              <w:bottom w:val="single" w:color="auto" w:sz="4" w:space="0"/>
              <w:right w:val="single" w:color="auto" w:sz="4" w:space="0"/>
            </w:tcBorders>
            <w:vAlign w:val="center"/>
          </w:tcPr>
          <w:p w14:paraId="6C57D026">
            <w:pPr>
              <w:widowControl/>
              <w:jc w:val="left"/>
              <w:rPr>
                <w:rFonts w:eastAsia="仿宋_GB2312"/>
                <w:kern w:val="0"/>
                <w:sz w:val="20"/>
                <w:szCs w:val="20"/>
              </w:rPr>
            </w:pPr>
            <w:r>
              <w:rPr>
                <w:rFonts w:hint="eastAsia"/>
                <w:kern w:val="0"/>
                <w:sz w:val="20"/>
                <w:szCs w:val="20"/>
              </w:rPr>
              <w:t>在职人员控制率</w:t>
            </w:r>
            <w:r>
              <w:rPr>
                <w:kern w:val="0"/>
                <w:sz w:val="20"/>
                <w:szCs w:val="20"/>
              </w:rPr>
              <w:t>=</w:t>
            </w:r>
            <w:r>
              <w:rPr>
                <w:rFonts w:hint="eastAsia"/>
                <w:kern w:val="0"/>
                <w:sz w:val="20"/>
                <w:szCs w:val="20"/>
              </w:rPr>
              <w:t>（在职人员数</w:t>
            </w:r>
            <w:r>
              <w:rPr>
                <w:kern w:val="0"/>
                <w:sz w:val="20"/>
                <w:szCs w:val="20"/>
              </w:rPr>
              <w:t>/</w:t>
            </w:r>
            <w:r>
              <w:rPr>
                <w:rFonts w:hint="eastAsia"/>
                <w:kern w:val="0"/>
                <w:sz w:val="20"/>
                <w:szCs w:val="20"/>
              </w:rPr>
              <w:t>编制数）</w:t>
            </w:r>
            <w:r>
              <w:rPr>
                <w:kern w:val="0"/>
                <w:sz w:val="20"/>
                <w:szCs w:val="20"/>
              </w:rPr>
              <w:t>×100%</w:t>
            </w:r>
            <w:r>
              <w:rPr>
                <w:rFonts w:hint="eastAsia"/>
                <w:kern w:val="0"/>
                <w:sz w:val="20"/>
                <w:szCs w:val="20"/>
              </w:rPr>
              <w:t>，在职人员数：部门（单位）实际在职人数，以财政局确定的部门决算编制口径为准。</w:t>
            </w:r>
            <w:r>
              <w:rPr>
                <w:rFonts w:eastAsia="仿宋_GB2312"/>
                <w:kern w:val="0"/>
                <w:sz w:val="20"/>
                <w:szCs w:val="20"/>
              </w:rPr>
              <w:br w:type="textWrapping"/>
            </w:r>
            <w:r>
              <w:rPr>
                <w:rFonts w:hint="eastAsia"/>
                <w:kern w:val="0"/>
                <w:sz w:val="20"/>
                <w:szCs w:val="20"/>
              </w:rPr>
              <w:t>编制数：机构编制部门核定批复的部门（单位）的人员编制数。</w:t>
            </w:r>
          </w:p>
        </w:tc>
        <w:tc>
          <w:tcPr>
            <w:tcW w:w="637" w:type="dxa"/>
            <w:tcBorders>
              <w:top w:val="nil"/>
              <w:left w:val="nil"/>
              <w:bottom w:val="single" w:color="auto" w:sz="4" w:space="0"/>
              <w:right w:val="single" w:color="auto" w:sz="4" w:space="0"/>
            </w:tcBorders>
            <w:vAlign w:val="center"/>
          </w:tcPr>
          <w:p w14:paraId="642B8A5E">
            <w:pPr>
              <w:widowControl/>
              <w:jc w:val="center"/>
              <w:rPr>
                <w:kern w:val="0"/>
                <w:sz w:val="24"/>
              </w:rPr>
            </w:pPr>
            <w:r>
              <w:rPr>
                <w:rFonts w:hint="eastAsia"/>
                <w:kern w:val="0"/>
                <w:sz w:val="24"/>
              </w:rPr>
              <w:t>1</w:t>
            </w:r>
          </w:p>
        </w:tc>
      </w:tr>
      <w:tr w14:paraId="2ADE968C">
        <w:tblPrEx>
          <w:tblCellMar>
            <w:top w:w="0" w:type="dxa"/>
            <w:left w:w="108" w:type="dxa"/>
            <w:bottom w:w="0" w:type="dxa"/>
            <w:right w:w="108" w:type="dxa"/>
          </w:tblCellMar>
        </w:tblPrEx>
        <w:trPr>
          <w:trHeight w:val="924" w:hRule="atLeast"/>
          <w:jc w:val="center"/>
        </w:trPr>
        <w:tc>
          <w:tcPr>
            <w:tcW w:w="709" w:type="dxa"/>
            <w:vMerge w:val="continue"/>
            <w:tcBorders>
              <w:left w:val="single" w:color="auto" w:sz="4" w:space="0"/>
              <w:bottom w:val="single" w:color="auto" w:sz="4" w:space="0"/>
              <w:right w:val="single" w:color="auto" w:sz="4" w:space="0"/>
            </w:tcBorders>
            <w:vAlign w:val="center"/>
          </w:tcPr>
          <w:p w14:paraId="4663A0B9">
            <w:pPr>
              <w:widowControl/>
              <w:jc w:val="left"/>
              <w:rPr>
                <w:rFonts w:eastAsia="仿宋_GB2312"/>
                <w:kern w:val="0"/>
                <w:sz w:val="20"/>
                <w:szCs w:val="20"/>
              </w:rPr>
            </w:pPr>
          </w:p>
        </w:tc>
        <w:tc>
          <w:tcPr>
            <w:tcW w:w="677" w:type="dxa"/>
            <w:vMerge w:val="continue"/>
            <w:tcBorders>
              <w:top w:val="nil"/>
              <w:left w:val="nil"/>
              <w:bottom w:val="single" w:color="auto" w:sz="4" w:space="0"/>
              <w:right w:val="single" w:color="auto" w:sz="4" w:space="0"/>
            </w:tcBorders>
            <w:vAlign w:val="center"/>
          </w:tcPr>
          <w:p w14:paraId="63525B73">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16CC71D9">
            <w:pPr>
              <w:widowControl/>
              <w:jc w:val="left"/>
              <w:rPr>
                <w:rFonts w:eastAsia="仿宋_GB2312"/>
                <w:kern w:val="0"/>
                <w:sz w:val="20"/>
                <w:szCs w:val="20"/>
              </w:rPr>
            </w:pP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变动率</w:t>
            </w:r>
          </w:p>
        </w:tc>
        <w:tc>
          <w:tcPr>
            <w:tcW w:w="483" w:type="dxa"/>
            <w:tcBorders>
              <w:top w:val="nil"/>
              <w:left w:val="nil"/>
              <w:bottom w:val="single" w:color="auto" w:sz="4" w:space="0"/>
              <w:right w:val="single" w:color="auto" w:sz="4" w:space="0"/>
            </w:tcBorders>
            <w:vAlign w:val="center"/>
          </w:tcPr>
          <w:p w14:paraId="6F4A46D1">
            <w:pPr>
              <w:widowControl/>
              <w:jc w:val="center"/>
              <w:rPr>
                <w:rFonts w:eastAsia="仿宋_GB2312"/>
                <w:kern w:val="0"/>
                <w:sz w:val="20"/>
                <w:szCs w:val="20"/>
              </w:rPr>
            </w:pPr>
            <w:r>
              <w:rPr>
                <w:kern w:val="0"/>
                <w:sz w:val="20"/>
                <w:szCs w:val="20"/>
              </w:rPr>
              <w:t>1</w:t>
            </w:r>
          </w:p>
        </w:tc>
        <w:tc>
          <w:tcPr>
            <w:tcW w:w="2948" w:type="dxa"/>
            <w:tcBorders>
              <w:top w:val="single" w:color="auto" w:sz="4" w:space="0"/>
              <w:left w:val="nil"/>
              <w:bottom w:val="single" w:color="auto" w:sz="4" w:space="0"/>
              <w:right w:val="single" w:color="auto" w:sz="4" w:space="0"/>
            </w:tcBorders>
            <w:vAlign w:val="center"/>
          </w:tcPr>
          <w:p w14:paraId="62C9F4F9">
            <w:pPr>
              <w:widowControl/>
              <w:jc w:val="left"/>
              <w:rPr>
                <w:rFonts w:eastAsia="仿宋_GB2312"/>
                <w:kern w:val="0"/>
                <w:sz w:val="20"/>
                <w:szCs w:val="20"/>
              </w:rPr>
            </w:pP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变动率</w:t>
            </w:r>
            <w:r>
              <w:rPr>
                <w:rFonts w:hint="eastAsia" w:ascii="宋体" w:hAnsi="宋体" w:cs="宋体"/>
                <w:kern w:val="0"/>
                <w:sz w:val="20"/>
                <w:szCs w:val="20"/>
              </w:rPr>
              <w:t>≦</w:t>
            </w:r>
            <w:r>
              <w:rPr>
                <w:kern w:val="0"/>
                <w:sz w:val="20"/>
                <w:szCs w:val="20"/>
              </w:rPr>
              <w:t>0,</w:t>
            </w:r>
            <w:r>
              <w:rPr>
                <w:rFonts w:hint="eastAsia"/>
                <w:kern w:val="0"/>
                <w:sz w:val="20"/>
                <w:szCs w:val="20"/>
              </w:rPr>
              <w:t>计</w:t>
            </w:r>
            <w:r>
              <w:rPr>
                <w:kern w:val="0"/>
                <w:sz w:val="20"/>
                <w:szCs w:val="20"/>
              </w:rPr>
              <w:t>1</w:t>
            </w:r>
            <w:r>
              <w:rPr>
                <w:rFonts w:hint="eastAsia"/>
                <w:kern w:val="0"/>
                <w:sz w:val="20"/>
                <w:szCs w:val="20"/>
              </w:rPr>
              <w:t>分；</w:t>
            </w: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变动率＞</w:t>
            </w:r>
            <w:r>
              <w:rPr>
                <w:kern w:val="0"/>
                <w:sz w:val="20"/>
                <w:szCs w:val="20"/>
              </w:rPr>
              <w:t>0</w:t>
            </w:r>
            <w:r>
              <w:rPr>
                <w:rFonts w:hint="eastAsia"/>
                <w:kern w:val="0"/>
                <w:sz w:val="20"/>
                <w:szCs w:val="20"/>
              </w:rPr>
              <w:t>，每超过一个百分点扣</w:t>
            </w:r>
            <w:r>
              <w:rPr>
                <w:kern w:val="0"/>
                <w:sz w:val="20"/>
                <w:szCs w:val="20"/>
              </w:rPr>
              <w:t>0.5</w:t>
            </w:r>
            <w:r>
              <w:rPr>
                <w:rFonts w:hint="eastAsia"/>
                <w:kern w:val="0"/>
                <w:sz w:val="20"/>
                <w:szCs w:val="20"/>
              </w:rPr>
              <w:t>分，扣完为止。</w:t>
            </w:r>
          </w:p>
        </w:tc>
        <w:tc>
          <w:tcPr>
            <w:tcW w:w="3490" w:type="dxa"/>
            <w:tcBorders>
              <w:top w:val="nil"/>
              <w:left w:val="nil"/>
              <w:bottom w:val="single" w:color="auto" w:sz="4" w:space="0"/>
              <w:right w:val="single" w:color="auto" w:sz="4" w:space="0"/>
            </w:tcBorders>
            <w:vAlign w:val="center"/>
          </w:tcPr>
          <w:p w14:paraId="727D0CB5">
            <w:pPr>
              <w:widowControl/>
              <w:jc w:val="left"/>
              <w:rPr>
                <w:rFonts w:eastAsia="仿宋_GB2312"/>
                <w:kern w:val="0"/>
                <w:sz w:val="20"/>
                <w:szCs w:val="20"/>
              </w:rPr>
            </w:pP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变动率</w:t>
            </w:r>
            <w:r>
              <w:rPr>
                <w:kern w:val="0"/>
                <w:sz w:val="20"/>
                <w:szCs w:val="20"/>
              </w:rPr>
              <w:t>=[</w:t>
            </w:r>
            <w:r>
              <w:rPr>
                <w:rFonts w:hint="eastAsia"/>
                <w:kern w:val="0"/>
                <w:sz w:val="20"/>
                <w:szCs w:val="20"/>
              </w:rPr>
              <w:t>（本年度</w:t>
            </w: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预算数</w:t>
            </w:r>
            <w:r>
              <w:rPr>
                <w:kern w:val="0"/>
                <w:sz w:val="20"/>
                <w:szCs w:val="20"/>
              </w:rPr>
              <w:t>-</w:t>
            </w:r>
            <w:r>
              <w:rPr>
                <w:rFonts w:hint="eastAsia"/>
                <w:kern w:val="0"/>
                <w:sz w:val="20"/>
                <w:szCs w:val="20"/>
              </w:rPr>
              <w:t>上年度</w:t>
            </w: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预算数）</w:t>
            </w:r>
            <w:r>
              <w:rPr>
                <w:kern w:val="0"/>
                <w:sz w:val="20"/>
                <w:szCs w:val="20"/>
              </w:rPr>
              <w:t>/</w:t>
            </w:r>
            <w:r>
              <w:rPr>
                <w:rFonts w:hint="eastAsia"/>
                <w:kern w:val="0"/>
                <w:sz w:val="20"/>
                <w:szCs w:val="20"/>
              </w:rPr>
              <w:t>上年度</w:t>
            </w: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预算数</w:t>
            </w:r>
            <w:r>
              <w:rPr>
                <w:kern w:val="0"/>
                <w:sz w:val="20"/>
                <w:szCs w:val="20"/>
              </w:rPr>
              <w:t>]×100%</w:t>
            </w:r>
          </w:p>
        </w:tc>
        <w:tc>
          <w:tcPr>
            <w:tcW w:w="637" w:type="dxa"/>
            <w:tcBorders>
              <w:top w:val="nil"/>
              <w:left w:val="nil"/>
              <w:bottom w:val="single" w:color="auto" w:sz="4" w:space="0"/>
              <w:right w:val="single" w:color="auto" w:sz="4" w:space="0"/>
            </w:tcBorders>
            <w:vAlign w:val="center"/>
          </w:tcPr>
          <w:p w14:paraId="71D02E85">
            <w:pPr>
              <w:widowControl/>
              <w:jc w:val="center"/>
              <w:rPr>
                <w:kern w:val="0"/>
                <w:sz w:val="24"/>
              </w:rPr>
            </w:pPr>
            <w:r>
              <w:rPr>
                <w:rFonts w:hint="eastAsia"/>
                <w:kern w:val="0"/>
                <w:sz w:val="24"/>
              </w:rPr>
              <w:t>1</w:t>
            </w:r>
          </w:p>
        </w:tc>
      </w:tr>
      <w:tr w14:paraId="0F3A7243">
        <w:tblPrEx>
          <w:tblCellMar>
            <w:top w:w="0" w:type="dxa"/>
            <w:left w:w="108" w:type="dxa"/>
            <w:bottom w:w="0" w:type="dxa"/>
            <w:right w:w="108" w:type="dxa"/>
          </w:tblCellMar>
        </w:tblPrEx>
        <w:trPr>
          <w:trHeight w:val="924" w:hRule="atLeast"/>
          <w:jc w:val="center"/>
        </w:trPr>
        <w:tc>
          <w:tcPr>
            <w:tcW w:w="709" w:type="dxa"/>
            <w:vMerge w:val="continue"/>
            <w:tcBorders>
              <w:left w:val="single" w:color="auto" w:sz="4" w:space="0"/>
              <w:bottom w:val="single" w:color="auto" w:sz="4" w:space="0"/>
              <w:right w:val="single" w:color="auto" w:sz="4" w:space="0"/>
            </w:tcBorders>
            <w:vAlign w:val="center"/>
          </w:tcPr>
          <w:p w14:paraId="709F23FA">
            <w:pPr>
              <w:widowControl/>
              <w:jc w:val="left"/>
              <w:rPr>
                <w:rFonts w:eastAsia="仿宋_GB2312"/>
                <w:kern w:val="0"/>
                <w:sz w:val="20"/>
                <w:szCs w:val="20"/>
              </w:rPr>
            </w:pPr>
          </w:p>
        </w:tc>
        <w:tc>
          <w:tcPr>
            <w:tcW w:w="677" w:type="dxa"/>
            <w:vMerge w:val="continue"/>
            <w:tcBorders>
              <w:top w:val="nil"/>
              <w:left w:val="nil"/>
              <w:bottom w:val="single" w:color="auto" w:sz="4" w:space="0"/>
              <w:right w:val="single" w:color="auto" w:sz="4" w:space="0"/>
            </w:tcBorders>
            <w:vAlign w:val="center"/>
          </w:tcPr>
          <w:p w14:paraId="24905C5D">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59D18D24">
            <w:pPr>
              <w:jc w:val="center"/>
              <w:rPr>
                <w:rFonts w:eastAsia="仿宋_GB2312"/>
                <w:kern w:val="0"/>
                <w:sz w:val="20"/>
                <w:szCs w:val="20"/>
              </w:rPr>
            </w:pPr>
            <w:r>
              <w:rPr>
                <w:rFonts w:hint="eastAsia"/>
                <w:kern w:val="0"/>
                <w:sz w:val="20"/>
                <w:szCs w:val="20"/>
              </w:rPr>
              <w:t>重点支出</w:t>
            </w:r>
          </w:p>
          <w:p w14:paraId="600D92BC">
            <w:pPr>
              <w:widowControl/>
              <w:jc w:val="center"/>
              <w:rPr>
                <w:rFonts w:eastAsia="仿宋_GB2312"/>
                <w:kern w:val="0"/>
                <w:sz w:val="20"/>
                <w:szCs w:val="20"/>
              </w:rPr>
            </w:pPr>
            <w:r>
              <w:rPr>
                <w:rFonts w:hint="eastAsia"/>
                <w:kern w:val="0"/>
                <w:sz w:val="20"/>
                <w:szCs w:val="20"/>
              </w:rPr>
              <w:t>安排率</w:t>
            </w:r>
          </w:p>
        </w:tc>
        <w:tc>
          <w:tcPr>
            <w:tcW w:w="483" w:type="dxa"/>
            <w:tcBorders>
              <w:top w:val="nil"/>
              <w:left w:val="nil"/>
              <w:bottom w:val="single" w:color="auto" w:sz="4" w:space="0"/>
              <w:right w:val="single" w:color="auto" w:sz="4" w:space="0"/>
            </w:tcBorders>
            <w:vAlign w:val="center"/>
          </w:tcPr>
          <w:p w14:paraId="6B56F726">
            <w:pPr>
              <w:widowControl/>
              <w:jc w:val="center"/>
              <w:rPr>
                <w:rFonts w:eastAsia="仿宋_GB2312"/>
                <w:kern w:val="0"/>
                <w:sz w:val="20"/>
                <w:szCs w:val="20"/>
              </w:rPr>
            </w:pPr>
            <w:r>
              <w:rPr>
                <w:kern w:val="0"/>
                <w:sz w:val="20"/>
                <w:szCs w:val="20"/>
              </w:rPr>
              <w:t>2</w:t>
            </w:r>
          </w:p>
        </w:tc>
        <w:tc>
          <w:tcPr>
            <w:tcW w:w="2948" w:type="dxa"/>
            <w:tcBorders>
              <w:top w:val="single" w:color="auto" w:sz="4" w:space="0"/>
              <w:left w:val="nil"/>
              <w:bottom w:val="single" w:color="auto" w:sz="4" w:space="0"/>
              <w:right w:val="single" w:color="auto" w:sz="4" w:space="0"/>
            </w:tcBorders>
            <w:vAlign w:val="center"/>
          </w:tcPr>
          <w:p w14:paraId="0D3CEA25">
            <w:pPr>
              <w:widowControl/>
              <w:jc w:val="left"/>
              <w:rPr>
                <w:rFonts w:eastAsia="仿宋_GB2312"/>
                <w:kern w:val="0"/>
                <w:sz w:val="20"/>
                <w:szCs w:val="20"/>
              </w:rPr>
            </w:pPr>
            <w:r>
              <w:rPr>
                <w:rFonts w:hint="eastAsia"/>
                <w:kern w:val="0"/>
                <w:sz w:val="20"/>
                <w:szCs w:val="20"/>
              </w:rPr>
              <w:t>部门本年度预算安排的重点项目支出与部门项目总支出的比率，用以反映和考核部门对履行主要职责或完成重点任务的保障程度。</w:t>
            </w:r>
          </w:p>
        </w:tc>
        <w:tc>
          <w:tcPr>
            <w:tcW w:w="3490" w:type="dxa"/>
            <w:tcBorders>
              <w:top w:val="nil"/>
              <w:left w:val="nil"/>
              <w:bottom w:val="single" w:color="auto" w:sz="4" w:space="0"/>
              <w:right w:val="single" w:color="auto" w:sz="4" w:space="0"/>
            </w:tcBorders>
            <w:vAlign w:val="center"/>
          </w:tcPr>
          <w:p w14:paraId="669FBFB9">
            <w:pPr>
              <w:widowControl/>
              <w:jc w:val="left"/>
              <w:rPr>
                <w:rFonts w:eastAsia="仿宋_GB2312"/>
                <w:kern w:val="0"/>
                <w:sz w:val="20"/>
                <w:szCs w:val="20"/>
              </w:rPr>
            </w:pPr>
            <w:r>
              <w:rPr>
                <w:rFonts w:hint="eastAsia"/>
                <w:kern w:val="0"/>
                <w:sz w:val="20"/>
                <w:szCs w:val="20"/>
              </w:rPr>
              <w:t>重点支出安排率</w:t>
            </w:r>
            <w:r>
              <w:rPr>
                <w:kern w:val="0"/>
                <w:sz w:val="20"/>
                <w:szCs w:val="20"/>
              </w:rPr>
              <w:t>=</w:t>
            </w:r>
            <w:r>
              <w:rPr>
                <w:rFonts w:hint="eastAsia"/>
                <w:kern w:val="0"/>
                <w:sz w:val="20"/>
                <w:szCs w:val="20"/>
              </w:rPr>
              <w:t>（重点项目支出</w:t>
            </w:r>
            <w:r>
              <w:rPr>
                <w:kern w:val="0"/>
                <w:sz w:val="20"/>
                <w:szCs w:val="20"/>
              </w:rPr>
              <w:t>/</w:t>
            </w:r>
            <w:r>
              <w:rPr>
                <w:rFonts w:hint="eastAsia"/>
                <w:kern w:val="0"/>
                <w:sz w:val="20"/>
                <w:szCs w:val="20"/>
              </w:rPr>
              <w:t>项目总支出）</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重点项目支出：部门年度预算安排的，与本部门履职和发展密切相关、具有明显社会和经济影响、党委政府关心或社会比较关注的项目支出总额。</w:t>
            </w:r>
            <w:r>
              <w:rPr>
                <w:rFonts w:eastAsia="仿宋_GB2312"/>
                <w:kern w:val="0"/>
                <w:sz w:val="20"/>
                <w:szCs w:val="20"/>
              </w:rPr>
              <w:br w:type="textWrapping"/>
            </w:r>
            <w:r>
              <w:rPr>
                <w:rFonts w:hint="eastAsia"/>
                <w:kern w:val="0"/>
                <w:sz w:val="20"/>
                <w:szCs w:val="20"/>
              </w:rPr>
              <w:t>项目总支出：部门年度预算安排的项目支出总额。</w:t>
            </w:r>
          </w:p>
        </w:tc>
        <w:tc>
          <w:tcPr>
            <w:tcW w:w="637" w:type="dxa"/>
            <w:tcBorders>
              <w:top w:val="nil"/>
              <w:left w:val="nil"/>
              <w:bottom w:val="single" w:color="auto" w:sz="4" w:space="0"/>
              <w:right w:val="single" w:color="auto" w:sz="4" w:space="0"/>
            </w:tcBorders>
            <w:vAlign w:val="center"/>
          </w:tcPr>
          <w:p w14:paraId="595662EA">
            <w:pPr>
              <w:widowControl/>
              <w:jc w:val="center"/>
              <w:rPr>
                <w:kern w:val="0"/>
                <w:sz w:val="24"/>
              </w:rPr>
            </w:pPr>
            <w:r>
              <w:rPr>
                <w:rFonts w:hint="eastAsia"/>
                <w:kern w:val="0"/>
                <w:sz w:val="24"/>
              </w:rPr>
              <w:t>2</w:t>
            </w:r>
          </w:p>
        </w:tc>
      </w:tr>
      <w:tr w14:paraId="4B543622">
        <w:tblPrEx>
          <w:tblCellMar>
            <w:top w:w="0" w:type="dxa"/>
            <w:left w:w="108" w:type="dxa"/>
            <w:bottom w:w="0" w:type="dxa"/>
            <w:right w:w="108" w:type="dxa"/>
          </w:tblCellMar>
        </w:tblPrEx>
        <w:trPr>
          <w:jc w:val="center"/>
        </w:trPr>
        <w:tc>
          <w:tcPr>
            <w:tcW w:w="709" w:type="dxa"/>
            <w:vMerge w:val="restart"/>
            <w:tcBorders>
              <w:top w:val="nil"/>
              <w:left w:val="single" w:color="auto" w:sz="4" w:space="0"/>
              <w:right w:val="single" w:color="auto" w:sz="4" w:space="0"/>
            </w:tcBorders>
            <w:vAlign w:val="center"/>
          </w:tcPr>
          <w:p w14:paraId="3C4D8277">
            <w:pPr>
              <w:widowControl/>
              <w:jc w:val="center"/>
              <w:rPr>
                <w:rFonts w:eastAsia="仿宋_GB2312"/>
                <w:kern w:val="0"/>
                <w:sz w:val="20"/>
                <w:szCs w:val="20"/>
              </w:rPr>
            </w:pPr>
            <w:r>
              <w:rPr>
                <w:rFonts w:hint="eastAsia"/>
                <w:kern w:val="0"/>
                <w:sz w:val="20"/>
                <w:szCs w:val="20"/>
              </w:rPr>
              <w:t>过程</w:t>
            </w:r>
          </w:p>
          <w:p w14:paraId="2D4AD676">
            <w:pPr>
              <w:widowControl/>
              <w:jc w:val="center"/>
              <w:rPr>
                <w:rFonts w:eastAsia="仿宋_GB2312"/>
                <w:kern w:val="0"/>
                <w:sz w:val="20"/>
                <w:szCs w:val="20"/>
              </w:rPr>
            </w:pPr>
          </w:p>
          <w:p w14:paraId="4321BDD4">
            <w:pPr>
              <w:widowControl/>
              <w:jc w:val="center"/>
              <w:rPr>
                <w:rFonts w:eastAsia="仿宋_GB2312"/>
                <w:kern w:val="0"/>
                <w:sz w:val="20"/>
                <w:szCs w:val="20"/>
              </w:rPr>
            </w:pPr>
            <w:r>
              <w:rPr>
                <w:kern w:val="0"/>
                <w:sz w:val="20"/>
                <w:szCs w:val="20"/>
              </w:rPr>
              <w:t>30</w:t>
            </w:r>
            <w:r>
              <w:rPr>
                <w:rFonts w:hint="eastAsia"/>
                <w:kern w:val="0"/>
                <w:sz w:val="20"/>
                <w:szCs w:val="20"/>
              </w:rPr>
              <w:t>分</w:t>
            </w:r>
          </w:p>
          <w:p w14:paraId="17470F00">
            <w:pPr>
              <w:jc w:val="center"/>
              <w:rPr>
                <w:rFonts w:eastAsia="仿宋_GB2312"/>
                <w:kern w:val="0"/>
                <w:sz w:val="20"/>
                <w:szCs w:val="20"/>
              </w:rPr>
            </w:pPr>
          </w:p>
          <w:p w14:paraId="37DF50AD">
            <w:pPr>
              <w:jc w:val="center"/>
              <w:rPr>
                <w:rFonts w:eastAsia="仿宋_GB2312"/>
                <w:kern w:val="0"/>
                <w:sz w:val="20"/>
                <w:szCs w:val="20"/>
              </w:rPr>
            </w:pPr>
          </w:p>
        </w:tc>
        <w:tc>
          <w:tcPr>
            <w:tcW w:w="677" w:type="dxa"/>
            <w:vMerge w:val="restart"/>
            <w:tcBorders>
              <w:top w:val="nil"/>
              <w:left w:val="single" w:color="auto" w:sz="4" w:space="0"/>
              <w:right w:val="single" w:color="auto" w:sz="4" w:space="0"/>
            </w:tcBorders>
            <w:vAlign w:val="center"/>
          </w:tcPr>
          <w:p w14:paraId="399EEEB5">
            <w:pPr>
              <w:jc w:val="left"/>
              <w:rPr>
                <w:rFonts w:eastAsia="仿宋_GB2312"/>
                <w:kern w:val="0"/>
                <w:sz w:val="20"/>
                <w:szCs w:val="20"/>
              </w:rPr>
            </w:pPr>
            <w:r>
              <w:rPr>
                <w:rFonts w:hint="eastAsia"/>
                <w:kern w:val="0"/>
                <w:sz w:val="20"/>
                <w:szCs w:val="20"/>
              </w:rPr>
              <w:t>预算执行</w:t>
            </w:r>
            <w:r>
              <w:rPr>
                <w:kern w:val="0"/>
                <w:sz w:val="20"/>
                <w:szCs w:val="20"/>
              </w:rPr>
              <w:t>15</w:t>
            </w:r>
            <w:r>
              <w:rPr>
                <w:rFonts w:hint="eastAsia"/>
                <w:kern w:val="0"/>
                <w:sz w:val="20"/>
                <w:szCs w:val="20"/>
              </w:rPr>
              <w:t>分</w:t>
            </w:r>
          </w:p>
        </w:tc>
        <w:tc>
          <w:tcPr>
            <w:tcW w:w="1014" w:type="dxa"/>
            <w:tcBorders>
              <w:top w:val="nil"/>
              <w:left w:val="nil"/>
              <w:bottom w:val="single" w:color="auto" w:sz="4" w:space="0"/>
              <w:right w:val="single" w:color="auto" w:sz="4" w:space="0"/>
            </w:tcBorders>
            <w:vAlign w:val="center"/>
          </w:tcPr>
          <w:p w14:paraId="315EAB9B">
            <w:pPr>
              <w:widowControl/>
              <w:jc w:val="left"/>
              <w:rPr>
                <w:rFonts w:eastAsia="仿宋_GB2312"/>
                <w:kern w:val="0"/>
                <w:sz w:val="20"/>
                <w:szCs w:val="20"/>
              </w:rPr>
            </w:pPr>
            <w:r>
              <w:rPr>
                <w:rFonts w:hint="eastAsia"/>
                <w:kern w:val="0"/>
                <w:sz w:val="20"/>
                <w:szCs w:val="20"/>
              </w:rPr>
              <w:t>预算完成率</w:t>
            </w:r>
          </w:p>
        </w:tc>
        <w:tc>
          <w:tcPr>
            <w:tcW w:w="483" w:type="dxa"/>
            <w:tcBorders>
              <w:top w:val="nil"/>
              <w:left w:val="nil"/>
              <w:bottom w:val="single" w:color="auto" w:sz="4" w:space="0"/>
              <w:right w:val="single" w:color="auto" w:sz="4" w:space="0"/>
            </w:tcBorders>
            <w:vAlign w:val="center"/>
          </w:tcPr>
          <w:p w14:paraId="77BD861E">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vAlign w:val="center"/>
          </w:tcPr>
          <w:p w14:paraId="2C22969A">
            <w:pPr>
              <w:widowControl/>
              <w:jc w:val="left"/>
              <w:rPr>
                <w:rFonts w:eastAsia="仿宋_GB2312"/>
                <w:kern w:val="0"/>
                <w:sz w:val="20"/>
                <w:szCs w:val="20"/>
              </w:rPr>
            </w:pPr>
            <w:r>
              <w:rPr>
                <w:rFonts w:hint="eastAsia" w:ascii="宋体" w:hAnsi="宋体"/>
                <w:kern w:val="0"/>
                <w:sz w:val="20"/>
                <w:szCs w:val="20"/>
              </w:rPr>
              <w:t>≥</w:t>
            </w:r>
            <w:r>
              <w:rPr>
                <w:kern w:val="0"/>
                <w:sz w:val="20"/>
                <w:szCs w:val="20"/>
              </w:rPr>
              <w:t>98%</w:t>
            </w:r>
            <w:r>
              <w:rPr>
                <w:rFonts w:hint="eastAsia"/>
                <w:kern w:val="0"/>
                <w:sz w:val="20"/>
                <w:szCs w:val="20"/>
              </w:rPr>
              <w:t>计满分，每低于</w:t>
            </w:r>
            <w:r>
              <w:rPr>
                <w:kern w:val="0"/>
                <w:sz w:val="20"/>
                <w:szCs w:val="20"/>
              </w:rPr>
              <w:t>5%</w:t>
            </w:r>
            <w:r>
              <w:rPr>
                <w:rFonts w:hint="eastAsia"/>
                <w:kern w:val="0"/>
                <w:sz w:val="20"/>
                <w:szCs w:val="20"/>
              </w:rPr>
              <w:t>扣</w:t>
            </w:r>
            <w:r>
              <w:rPr>
                <w:kern w:val="0"/>
                <w:sz w:val="20"/>
                <w:szCs w:val="20"/>
              </w:rPr>
              <w:t>1</w:t>
            </w:r>
            <w:r>
              <w:rPr>
                <w:rFonts w:hint="eastAsia"/>
                <w:kern w:val="0"/>
                <w:sz w:val="20"/>
                <w:szCs w:val="20"/>
              </w:rPr>
              <w:t>分，扣完为止。</w:t>
            </w:r>
          </w:p>
        </w:tc>
        <w:tc>
          <w:tcPr>
            <w:tcW w:w="3490" w:type="dxa"/>
            <w:tcBorders>
              <w:top w:val="nil"/>
              <w:left w:val="nil"/>
              <w:bottom w:val="single" w:color="auto" w:sz="4" w:space="0"/>
              <w:right w:val="single" w:color="auto" w:sz="4" w:space="0"/>
            </w:tcBorders>
            <w:vAlign w:val="center"/>
          </w:tcPr>
          <w:p w14:paraId="6FF1505D">
            <w:pPr>
              <w:widowControl/>
              <w:jc w:val="left"/>
              <w:rPr>
                <w:rFonts w:eastAsia="仿宋_GB2312"/>
                <w:kern w:val="0"/>
                <w:sz w:val="20"/>
                <w:szCs w:val="20"/>
              </w:rPr>
            </w:pPr>
            <w:r>
              <w:rPr>
                <w:rFonts w:hint="eastAsia"/>
                <w:kern w:val="0"/>
                <w:sz w:val="20"/>
                <w:szCs w:val="20"/>
              </w:rPr>
              <w:t>预算完成率</w:t>
            </w:r>
            <w:r>
              <w:rPr>
                <w:kern w:val="0"/>
                <w:sz w:val="20"/>
                <w:szCs w:val="20"/>
              </w:rPr>
              <w:t>=</w:t>
            </w:r>
            <w:r>
              <w:rPr>
                <w:rFonts w:hint="eastAsia"/>
                <w:kern w:val="0"/>
                <w:sz w:val="20"/>
                <w:szCs w:val="20"/>
              </w:rPr>
              <w:t>（上年结转</w:t>
            </w:r>
            <w:r>
              <w:rPr>
                <w:kern w:val="0"/>
                <w:sz w:val="20"/>
                <w:szCs w:val="20"/>
              </w:rPr>
              <w:t>+</w:t>
            </w:r>
            <w:r>
              <w:rPr>
                <w:rFonts w:hint="eastAsia"/>
                <w:kern w:val="0"/>
                <w:sz w:val="20"/>
                <w:szCs w:val="20"/>
              </w:rPr>
              <w:t>年初预算</w:t>
            </w:r>
            <w:r>
              <w:rPr>
                <w:kern w:val="0"/>
                <w:sz w:val="20"/>
                <w:szCs w:val="20"/>
              </w:rPr>
              <w:t>+</w:t>
            </w:r>
            <w:r>
              <w:rPr>
                <w:rFonts w:hint="eastAsia"/>
                <w:kern w:val="0"/>
                <w:sz w:val="20"/>
                <w:szCs w:val="20"/>
              </w:rPr>
              <w:t>本年追加预算</w:t>
            </w:r>
            <w:r>
              <w:rPr>
                <w:kern w:val="0"/>
                <w:sz w:val="20"/>
                <w:szCs w:val="20"/>
              </w:rPr>
              <w:t>-</w:t>
            </w:r>
            <w:r>
              <w:rPr>
                <w:rFonts w:hint="eastAsia"/>
                <w:kern w:val="0"/>
                <w:sz w:val="20"/>
                <w:szCs w:val="20"/>
              </w:rPr>
              <w:t>年末结余）</w:t>
            </w:r>
            <w:r>
              <w:rPr>
                <w:kern w:val="0"/>
                <w:sz w:val="20"/>
                <w:szCs w:val="20"/>
              </w:rPr>
              <w:t>/</w:t>
            </w:r>
            <w:r>
              <w:rPr>
                <w:rFonts w:hint="eastAsia"/>
                <w:kern w:val="0"/>
                <w:sz w:val="20"/>
                <w:szCs w:val="20"/>
              </w:rPr>
              <w:t>（上年结转</w:t>
            </w:r>
            <w:r>
              <w:rPr>
                <w:kern w:val="0"/>
                <w:sz w:val="20"/>
                <w:szCs w:val="20"/>
              </w:rPr>
              <w:t>+</w:t>
            </w:r>
            <w:r>
              <w:rPr>
                <w:rFonts w:hint="eastAsia"/>
                <w:kern w:val="0"/>
                <w:sz w:val="20"/>
                <w:szCs w:val="20"/>
              </w:rPr>
              <w:t>年初预算</w:t>
            </w:r>
            <w:r>
              <w:rPr>
                <w:kern w:val="0"/>
                <w:sz w:val="20"/>
                <w:szCs w:val="20"/>
              </w:rPr>
              <w:t>+</w:t>
            </w:r>
            <w:r>
              <w:rPr>
                <w:rFonts w:hint="eastAsia"/>
                <w:kern w:val="0"/>
                <w:sz w:val="20"/>
                <w:szCs w:val="20"/>
              </w:rPr>
              <w:t>本年追加预算）</w:t>
            </w:r>
            <w:r>
              <w:rPr>
                <w:kern w:val="0"/>
                <w:sz w:val="20"/>
                <w:szCs w:val="20"/>
              </w:rPr>
              <w:t>×100%</w:t>
            </w:r>
            <w:r>
              <w:rPr>
                <w:rFonts w:hint="eastAsia"/>
                <w:kern w:val="0"/>
                <w:sz w:val="20"/>
                <w:szCs w:val="20"/>
              </w:rPr>
              <w:t>。</w:t>
            </w:r>
          </w:p>
        </w:tc>
        <w:tc>
          <w:tcPr>
            <w:tcW w:w="637" w:type="dxa"/>
            <w:tcBorders>
              <w:top w:val="nil"/>
              <w:left w:val="nil"/>
              <w:bottom w:val="single" w:color="auto" w:sz="4" w:space="0"/>
              <w:right w:val="single" w:color="auto" w:sz="4" w:space="0"/>
            </w:tcBorders>
            <w:vAlign w:val="center"/>
          </w:tcPr>
          <w:p w14:paraId="65DCB4D6">
            <w:pPr>
              <w:widowControl/>
              <w:jc w:val="center"/>
              <w:rPr>
                <w:kern w:val="0"/>
                <w:sz w:val="24"/>
              </w:rPr>
            </w:pPr>
            <w:r>
              <w:rPr>
                <w:rFonts w:hint="eastAsia"/>
                <w:kern w:val="0"/>
                <w:sz w:val="24"/>
              </w:rPr>
              <w:t>1</w:t>
            </w:r>
          </w:p>
        </w:tc>
      </w:tr>
      <w:tr w14:paraId="72EF6AA0">
        <w:tblPrEx>
          <w:tblCellMar>
            <w:top w:w="0" w:type="dxa"/>
            <w:left w:w="108" w:type="dxa"/>
            <w:bottom w:w="0" w:type="dxa"/>
            <w:right w:w="108" w:type="dxa"/>
          </w:tblCellMar>
        </w:tblPrEx>
        <w:trPr>
          <w:trHeight w:val="1273" w:hRule="atLeast"/>
          <w:jc w:val="center"/>
        </w:trPr>
        <w:tc>
          <w:tcPr>
            <w:tcW w:w="709" w:type="dxa"/>
            <w:vMerge w:val="continue"/>
            <w:tcBorders>
              <w:left w:val="single" w:color="auto" w:sz="4" w:space="0"/>
              <w:right w:val="single" w:color="auto" w:sz="4" w:space="0"/>
            </w:tcBorders>
            <w:vAlign w:val="center"/>
          </w:tcPr>
          <w:p w14:paraId="5F990D14">
            <w:pPr>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3B5346C3">
            <w:pPr>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21670320">
            <w:pPr>
              <w:widowControl/>
              <w:jc w:val="left"/>
              <w:rPr>
                <w:rFonts w:eastAsia="仿宋_GB2312"/>
                <w:kern w:val="0"/>
                <w:sz w:val="20"/>
                <w:szCs w:val="20"/>
              </w:rPr>
            </w:pPr>
            <w:r>
              <w:rPr>
                <w:rFonts w:hint="eastAsia"/>
                <w:kern w:val="0"/>
                <w:sz w:val="20"/>
                <w:szCs w:val="20"/>
              </w:rPr>
              <w:t>预算调整率</w:t>
            </w:r>
          </w:p>
        </w:tc>
        <w:tc>
          <w:tcPr>
            <w:tcW w:w="483" w:type="dxa"/>
            <w:tcBorders>
              <w:top w:val="nil"/>
              <w:left w:val="nil"/>
              <w:bottom w:val="single" w:color="auto" w:sz="4" w:space="0"/>
              <w:right w:val="single" w:color="auto" w:sz="4" w:space="0"/>
            </w:tcBorders>
            <w:vAlign w:val="center"/>
          </w:tcPr>
          <w:p w14:paraId="08F5F163">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vAlign w:val="center"/>
          </w:tcPr>
          <w:p w14:paraId="17405158">
            <w:pPr>
              <w:widowControl/>
              <w:jc w:val="left"/>
              <w:rPr>
                <w:rFonts w:eastAsia="仿宋_GB2312"/>
                <w:kern w:val="0"/>
                <w:sz w:val="20"/>
                <w:szCs w:val="20"/>
              </w:rPr>
            </w:pPr>
            <w:r>
              <w:rPr>
                <w:rFonts w:hint="eastAsia"/>
                <w:kern w:val="0"/>
                <w:sz w:val="20"/>
                <w:szCs w:val="20"/>
              </w:rPr>
              <w:t>预算调整率</w:t>
            </w:r>
            <w:r>
              <w:rPr>
                <w:kern w:val="0"/>
                <w:sz w:val="20"/>
                <w:szCs w:val="20"/>
              </w:rPr>
              <w:t>=0</w:t>
            </w:r>
            <w:r>
              <w:rPr>
                <w:rFonts w:hint="eastAsia"/>
                <w:kern w:val="0"/>
                <w:sz w:val="20"/>
                <w:szCs w:val="20"/>
              </w:rPr>
              <w:t>，计</w:t>
            </w:r>
            <w:r>
              <w:rPr>
                <w:kern w:val="0"/>
                <w:sz w:val="20"/>
                <w:szCs w:val="20"/>
              </w:rPr>
              <w:t>2</w:t>
            </w:r>
            <w:r>
              <w:rPr>
                <w:rFonts w:hint="eastAsia"/>
                <w:kern w:val="0"/>
                <w:sz w:val="20"/>
                <w:szCs w:val="20"/>
              </w:rPr>
              <w:t>分；</w:t>
            </w:r>
            <w:r>
              <w:rPr>
                <w:kern w:val="0"/>
                <w:sz w:val="20"/>
                <w:szCs w:val="20"/>
              </w:rPr>
              <w:t>0-10%</w:t>
            </w:r>
            <w:r>
              <w:rPr>
                <w:rFonts w:hint="eastAsia"/>
                <w:kern w:val="0"/>
                <w:sz w:val="20"/>
                <w:szCs w:val="20"/>
              </w:rPr>
              <w:t>（含），计</w:t>
            </w:r>
            <w:r>
              <w:rPr>
                <w:kern w:val="0"/>
                <w:sz w:val="20"/>
                <w:szCs w:val="20"/>
              </w:rPr>
              <w:t>1.5</w:t>
            </w:r>
            <w:r>
              <w:rPr>
                <w:rFonts w:hint="eastAsia"/>
                <w:kern w:val="0"/>
                <w:sz w:val="20"/>
                <w:szCs w:val="20"/>
              </w:rPr>
              <w:t>分；</w:t>
            </w:r>
            <w:r>
              <w:rPr>
                <w:kern w:val="0"/>
                <w:sz w:val="20"/>
                <w:szCs w:val="20"/>
              </w:rPr>
              <w:t>10-20%</w:t>
            </w:r>
            <w:r>
              <w:rPr>
                <w:rFonts w:hint="eastAsia"/>
                <w:kern w:val="0"/>
                <w:sz w:val="20"/>
                <w:szCs w:val="20"/>
              </w:rPr>
              <w:t>（含），计</w:t>
            </w:r>
            <w:r>
              <w:rPr>
                <w:kern w:val="0"/>
                <w:sz w:val="20"/>
                <w:szCs w:val="20"/>
              </w:rPr>
              <w:t>1</w:t>
            </w:r>
            <w:r>
              <w:rPr>
                <w:rFonts w:hint="eastAsia"/>
                <w:kern w:val="0"/>
                <w:sz w:val="20"/>
                <w:szCs w:val="20"/>
              </w:rPr>
              <w:t>分；</w:t>
            </w:r>
            <w:r>
              <w:rPr>
                <w:kern w:val="0"/>
                <w:sz w:val="20"/>
                <w:szCs w:val="20"/>
              </w:rPr>
              <w:t>20-30%</w:t>
            </w:r>
            <w:r>
              <w:rPr>
                <w:rFonts w:hint="eastAsia"/>
                <w:kern w:val="0"/>
                <w:sz w:val="20"/>
                <w:szCs w:val="20"/>
              </w:rPr>
              <w:t>（含），计</w:t>
            </w:r>
            <w:r>
              <w:rPr>
                <w:kern w:val="0"/>
                <w:sz w:val="20"/>
                <w:szCs w:val="20"/>
              </w:rPr>
              <w:t>0.5</w:t>
            </w:r>
            <w:r>
              <w:rPr>
                <w:rFonts w:hint="eastAsia"/>
                <w:kern w:val="0"/>
                <w:sz w:val="20"/>
                <w:szCs w:val="20"/>
              </w:rPr>
              <w:t>分；大于</w:t>
            </w:r>
            <w:r>
              <w:rPr>
                <w:kern w:val="0"/>
                <w:sz w:val="20"/>
                <w:szCs w:val="20"/>
              </w:rPr>
              <w:t>30%</w:t>
            </w:r>
            <w:r>
              <w:rPr>
                <w:rFonts w:hint="eastAsia"/>
                <w:kern w:val="0"/>
                <w:sz w:val="20"/>
                <w:szCs w:val="20"/>
              </w:rPr>
              <w:t>不得分。</w:t>
            </w:r>
          </w:p>
        </w:tc>
        <w:tc>
          <w:tcPr>
            <w:tcW w:w="3490" w:type="dxa"/>
            <w:tcBorders>
              <w:top w:val="nil"/>
              <w:left w:val="nil"/>
              <w:bottom w:val="single" w:color="auto" w:sz="4" w:space="0"/>
              <w:right w:val="single" w:color="auto" w:sz="4" w:space="0"/>
            </w:tcBorders>
            <w:vAlign w:val="center"/>
          </w:tcPr>
          <w:p w14:paraId="6EB7DA21">
            <w:pPr>
              <w:widowControl/>
              <w:jc w:val="left"/>
              <w:rPr>
                <w:rFonts w:eastAsia="仿宋_GB2312"/>
                <w:kern w:val="0"/>
                <w:sz w:val="20"/>
                <w:szCs w:val="20"/>
              </w:rPr>
            </w:pPr>
            <w:r>
              <w:rPr>
                <w:rFonts w:hint="eastAsia"/>
                <w:kern w:val="0"/>
                <w:sz w:val="20"/>
                <w:szCs w:val="20"/>
              </w:rPr>
              <w:t>预算调整率</w:t>
            </w:r>
            <w:r>
              <w:rPr>
                <w:kern w:val="0"/>
                <w:sz w:val="20"/>
                <w:szCs w:val="20"/>
              </w:rPr>
              <w:t>=</w:t>
            </w:r>
            <w:r>
              <w:rPr>
                <w:rFonts w:hint="eastAsia"/>
                <w:kern w:val="0"/>
                <w:sz w:val="20"/>
                <w:szCs w:val="20"/>
              </w:rPr>
              <w:t>（预算调整数</w:t>
            </w:r>
            <w:r>
              <w:rPr>
                <w:kern w:val="0"/>
                <w:sz w:val="20"/>
                <w:szCs w:val="20"/>
              </w:rPr>
              <w:t>/</w:t>
            </w:r>
            <w:r>
              <w:rPr>
                <w:rFonts w:hint="eastAsia"/>
                <w:kern w:val="0"/>
                <w:sz w:val="20"/>
                <w:szCs w:val="20"/>
              </w:rPr>
              <w:t>预算数）</w:t>
            </w:r>
            <w:r>
              <w:rPr>
                <w:kern w:val="0"/>
                <w:sz w:val="20"/>
                <w:szCs w:val="20"/>
              </w:rPr>
              <w:t>×100%</w:t>
            </w:r>
            <w:r>
              <w:rPr>
                <w:rFonts w:hint="eastAsia"/>
                <w:kern w:val="0"/>
                <w:sz w:val="20"/>
                <w:szCs w:val="20"/>
              </w:rPr>
              <w:t>。</w:t>
            </w:r>
          </w:p>
        </w:tc>
        <w:tc>
          <w:tcPr>
            <w:tcW w:w="637" w:type="dxa"/>
            <w:tcBorders>
              <w:top w:val="nil"/>
              <w:left w:val="nil"/>
              <w:bottom w:val="single" w:color="auto" w:sz="4" w:space="0"/>
              <w:right w:val="single" w:color="auto" w:sz="4" w:space="0"/>
            </w:tcBorders>
            <w:vAlign w:val="center"/>
          </w:tcPr>
          <w:p w14:paraId="06519BBF">
            <w:pPr>
              <w:widowControl/>
              <w:jc w:val="center"/>
              <w:rPr>
                <w:kern w:val="0"/>
                <w:sz w:val="24"/>
              </w:rPr>
            </w:pPr>
            <w:r>
              <w:rPr>
                <w:rFonts w:hint="eastAsia"/>
                <w:kern w:val="0"/>
                <w:sz w:val="24"/>
              </w:rPr>
              <w:t>1.5</w:t>
            </w:r>
          </w:p>
        </w:tc>
      </w:tr>
      <w:tr w14:paraId="32A13EB0">
        <w:tblPrEx>
          <w:tblCellMar>
            <w:top w:w="0" w:type="dxa"/>
            <w:left w:w="108" w:type="dxa"/>
            <w:bottom w:w="0" w:type="dxa"/>
            <w:right w:w="108" w:type="dxa"/>
          </w:tblCellMar>
        </w:tblPrEx>
        <w:trPr>
          <w:trHeight w:val="1325" w:hRule="atLeast"/>
          <w:jc w:val="center"/>
        </w:trPr>
        <w:tc>
          <w:tcPr>
            <w:tcW w:w="709" w:type="dxa"/>
            <w:vMerge w:val="continue"/>
            <w:tcBorders>
              <w:left w:val="single" w:color="auto" w:sz="4" w:space="0"/>
              <w:right w:val="single" w:color="auto" w:sz="4" w:space="0"/>
            </w:tcBorders>
            <w:vAlign w:val="center"/>
          </w:tcPr>
          <w:p w14:paraId="56235C7B">
            <w:pPr>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555423B5">
            <w:pPr>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177528C6">
            <w:pPr>
              <w:widowControl/>
              <w:jc w:val="left"/>
              <w:rPr>
                <w:rFonts w:eastAsia="仿宋_GB2312"/>
                <w:kern w:val="0"/>
                <w:sz w:val="20"/>
                <w:szCs w:val="20"/>
              </w:rPr>
            </w:pPr>
            <w:r>
              <w:rPr>
                <w:rFonts w:hint="eastAsia"/>
                <w:kern w:val="0"/>
                <w:sz w:val="20"/>
                <w:szCs w:val="20"/>
              </w:rPr>
              <w:t>支付进度率</w:t>
            </w:r>
          </w:p>
        </w:tc>
        <w:tc>
          <w:tcPr>
            <w:tcW w:w="483" w:type="dxa"/>
            <w:tcBorders>
              <w:top w:val="nil"/>
              <w:left w:val="nil"/>
              <w:bottom w:val="single" w:color="auto" w:sz="4" w:space="0"/>
              <w:right w:val="single" w:color="auto" w:sz="4" w:space="0"/>
            </w:tcBorders>
            <w:vAlign w:val="center"/>
          </w:tcPr>
          <w:p w14:paraId="55B0E766">
            <w:pPr>
              <w:widowControl/>
              <w:jc w:val="center"/>
              <w:rPr>
                <w:rFonts w:eastAsia="仿宋_GB2312"/>
                <w:kern w:val="0"/>
                <w:sz w:val="20"/>
                <w:szCs w:val="20"/>
              </w:rPr>
            </w:pPr>
            <w:r>
              <w:rPr>
                <w:kern w:val="0"/>
                <w:sz w:val="20"/>
                <w:szCs w:val="20"/>
              </w:rPr>
              <w:t>1</w:t>
            </w:r>
          </w:p>
        </w:tc>
        <w:tc>
          <w:tcPr>
            <w:tcW w:w="2948" w:type="dxa"/>
            <w:tcBorders>
              <w:top w:val="nil"/>
              <w:left w:val="nil"/>
              <w:bottom w:val="single" w:color="auto" w:sz="4" w:space="0"/>
              <w:right w:val="single" w:color="auto" w:sz="4" w:space="0"/>
            </w:tcBorders>
            <w:vAlign w:val="center"/>
          </w:tcPr>
          <w:p w14:paraId="6F182CA9">
            <w:pPr>
              <w:widowControl/>
              <w:jc w:val="left"/>
              <w:rPr>
                <w:rFonts w:eastAsia="仿宋_GB2312"/>
                <w:kern w:val="0"/>
                <w:sz w:val="20"/>
                <w:szCs w:val="20"/>
              </w:rPr>
            </w:pPr>
            <w:r>
              <w:rPr>
                <w:rFonts w:hint="eastAsia"/>
                <w:kern w:val="0"/>
                <w:sz w:val="20"/>
                <w:szCs w:val="20"/>
              </w:rPr>
              <w:t>符合要求计满分，否则计</w:t>
            </w:r>
            <w:r>
              <w:rPr>
                <w:kern w:val="0"/>
                <w:sz w:val="20"/>
                <w:szCs w:val="20"/>
              </w:rPr>
              <w:t>0</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58E2A1EA">
            <w:pPr>
              <w:widowControl/>
              <w:jc w:val="left"/>
              <w:rPr>
                <w:rFonts w:eastAsia="仿宋_GB2312"/>
                <w:kern w:val="0"/>
                <w:sz w:val="20"/>
                <w:szCs w:val="20"/>
              </w:rPr>
            </w:pPr>
            <w:r>
              <w:rPr>
                <w:rFonts w:hint="eastAsia"/>
                <w:kern w:val="0"/>
                <w:sz w:val="20"/>
                <w:szCs w:val="20"/>
              </w:rPr>
              <w:t>支付进度率</w:t>
            </w:r>
            <w:r>
              <w:rPr>
                <w:kern w:val="0"/>
                <w:sz w:val="20"/>
                <w:szCs w:val="20"/>
              </w:rPr>
              <w:t>=</w:t>
            </w:r>
            <w:r>
              <w:rPr>
                <w:rFonts w:hint="eastAsia"/>
                <w:kern w:val="0"/>
                <w:sz w:val="20"/>
                <w:szCs w:val="20"/>
              </w:rPr>
              <w:t>（实际支付进度</w:t>
            </w:r>
            <w:r>
              <w:rPr>
                <w:kern w:val="0"/>
                <w:sz w:val="20"/>
                <w:szCs w:val="20"/>
              </w:rPr>
              <w:t>/</w:t>
            </w:r>
            <w:r>
              <w:rPr>
                <w:rFonts w:hint="eastAsia"/>
                <w:kern w:val="0"/>
                <w:sz w:val="20"/>
                <w:szCs w:val="20"/>
              </w:rPr>
              <w:t>既定支付进度）</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实际支付进度：部门在某一时点的支出预算执行总数与年度支出预算数的比率。</w:t>
            </w:r>
            <w:r>
              <w:rPr>
                <w:rFonts w:eastAsia="仿宋_GB2312"/>
                <w:kern w:val="0"/>
                <w:sz w:val="20"/>
                <w:szCs w:val="20"/>
              </w:rPr>
              <w:br w:type="textWrapping"/>
            </w:r>
            <w:r>
              <w:rPr>
                <w:rFonts w:hint="eastAsia"/>
                <w:kern w:val="0"/>
                <w:sz w:val="20"/>
                <w:szCs w:val="20"/>
              </w:rPr>
              <w:t>既定支付进度：由部门在申报部门整体绩效目标时，参照序时支付进度、前三年支付进度、同级部门平均支付进度水平等确定的，在某一时点应达到的支付进度（比率）。</w:t>
            </w:r>
          </w:p>
        </w:tc>
        <w:tc>
          <w:tcPr>
            <w:tcW w:w="637" w:type="dxa"/>
            <w:tcBorders>
              <w:top w:val="nil"/>
              <w:left w:val="nil"/>
              <w:bottom w:val="single" w:color="auto" w:sz="4" w:space="0"/>
              <w:right w:val="single" w:color="auto" w:sz="4" w:space="0"/>
            </w:tcBorders>
            <w:vAlign w:val="center"/>
          </w:tcPr>
          <w:p w14:paraId="56D54AAF">
            <w:pPr>
              <w:widowControl/>
              <w:jc w:val="center"/>
              <w:rPr>
                <w:kern w:val="0"/>
                <w:sz w:val="24"/>
              </w:rPr>
            </w:pPr>
            <w:r>
              <w:rPr>
                <w:rFonts w:hint="eastAsia"/>
                <w:kern w:val="0"/>
                <w:sz w:val="24"/>
              </w:rPr>
              <w:t>1</w:t>
            </w:r>
          </w:p>
        </w:tc>
      </w:tr>
      <w:tr w14:paraId="46D413C9">
        <w:tblPrEx>
          <w:tblCellMar>
            <w:top w:w="0" w:type="dxa"/>
            <w:left w:w="108" w:type="dxa"/>
            <w:bottom w:w="0" w:type="dxa"/>
            <w:right w:w="108" w:type="dxa"/>
          </w:tblCellMar>
        </w:tblPrEx>
        <w:trPr>
          <w:trHeight w:val="1242" w:hRule="atLeast"/>
          <w:jc w:val="center"/>
        </w:trPr>
        <w:tc>
          <w:tcPr>
            <w:tcW w:w="709" w:type="dxa"/>
            <w:vMerge w:val="continue"/>
            <w:tcBorders>
              <w:left w:val="single" w:color="auto" w:sz="4" w:space="0"/>
              <w:right w:val="single" w:color="auto" w:sz="4" w:space="0"/>
            </w:tcBorders>
            <w:vAlign w:val="center"/>
          </w:tcPr>
          <w:p w14:paraId="20B5B051">
            <w:pPr>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7EA74B81">
            <w:pPr>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7756DEDE">
            <w:pPr>
              <w:jc w:val="center"/>
              <w:rPr>
                <w:rFonts w:eastAsia="仿宋_GB2312"/>
                <w:kern w:val="0"/>
                <w:sz w:val="20"/>
                <w:szCs w:val="20"/>
              </w:rPr>
            </w:pPr>
            <w:r>
              <w:rPr>
                <w:rFonts w:hint="eastAsia"/>
                <w:kern w:val="0"/>
                <w:sz w:val="20"/>
                <w:szCs w:val="20"/>
              </w:rPr>
              <w:t>结转结余</w:t>
            </w:r>
          </w:p>
          <w:p w14:paraId="20AF64B0">
            <w:pPr>
              <w:widowControl/>
              <w:jc w:val="left"/>
              <w:rPr>
                <w:rFonts w:eastAsia="仿宋_GB2312"/>
                <w:kern w:val="0"/>
                <w:sz w:val="20"/>
                <w:szCs w:val="20"/>
              </w:rPr>
            </w:pPr>
            <w:r>
              <w:rPr>
                <w:rFonts w:hint="eastAsia"/>
                <w:kern w:val="0"/>
                <w:sz w:val="20"/>
                <w:szCs w:val="20"/>
              </w:rPr>
              <w:t>变动率</w:t>
            </w:r>
          </w:p>
        </w:tc>
        <w:tc>
          <w:tcPr>
            <w:tcW w:w="483" w:type="dxa"/>
            <w:tcBorders>
              <w:top w:val="nil"/>
              <w:left w:val="nil"/>
              <w:bottom w:val="single" w:color="auto" w:sz="4" w:space="0"/>
              <w:right w:val="single" w:color="auto" w:sz="4" w:space="0"/>
            </w:tcBorders>
            <w:vAlign w:val="center"/>
          </w:tcPr>
          <w:p w14:paraId="25E6A98C">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vAlign w:val="center"/>
          </w:tcPr>
          <w:p w14:paraId="7550FC1B">
            <w:pPr>
              <w:widowControl/>
              <w:jc w:val="left"/>
              <w:rPr>
                <w:rFonts w:eastAsia="仿宋_GB2312"/>
                <w:kern w:val="0"/>
                <w:sz w:val="20"/>
                <w:szCs w:val="20"/>
              </w:rPr>
            </w:pPr>
            <w:r>
              <w:rPr>
                <w:rFonts w:hint="eastAsia" w:eastAsia="仿宋_GB2312"/>
                <w:kern w:val="0"/>
                <w:sz w:val="20"/>
                <w:szCs w:val="20"/>
              </w:rPr>
              <w:t>≤</w:t>
            </w:r>
            <w:r>
              <w:rPr>
                <w:kern w:val="0"/>
                <w:sz w:val="20"/>
                <w:szCs w:val="20"/>
              </w:rPr>
              <w:t>0</w:t>
            </w:r>
            <w:r>
              <w:rPr>
                <w:rFonts w:hint="eastAsia"/>
                <w:kern w:val="0"/>
                <w:sz w:val="20"/>
                <w:szCs w:val="20"/>
              </w:rPr>
              <w:t>计满分，每超出</w:t>
            </w:r>
            <w:r>
              <w:rPr>
                <w:kern w:val="0"/>
                <w:sz w:val="20"/>
                <w:szCs w:val="20"/>
              </w:rPr>
              <w:t>5%</w:t>
            </w:r>
            <w:r>
              <w:rPr>
                <w:rFonts w:hint="eastAsia"/>
                <w:kern w:val="0"/>
                <w:sz w:val="20"/>
                <w:szCs w:val="20"/>
              </w:rPr>
              <w:t>扣</w:t>
            </w:r>
            <w:r>
              <w:rPr>
                <w:kern w:val="0"/>
                <w:sz w:val="20"/>
                <w:szCs w:val="20"/>
              </w:rPr>
              <w:t>1</w:t>
            </w:r>
            <w:r>
              <w:rPr>
                <w:rFonts w:hint="eastAsia"/>
                <w:kern w:val="0"/>
                <w:sz w:val="20"/>
                <w:szCs w:val="20"/>
              </w:rPr>
              <w:t>分，扣完为止。</w:t>
            </w:r>
          </w:p>
        </w:tc>
        <w:tc>
          <w:tcPr>
            <w:tcW w:w="3490" w:type="dxa"/>
            <w:tcBorders>
              <w:top w:val="nil"/>
              <w:left w:val="nil"/>
              <w:bottom w:val="single" w:color="auto" w:sz="4" w:space="0"/>
              <w:right w:val="single" w:color="auto" w:sz="4" w:space="0"/>
            </w:tcBorders>
            <w:vAlign w:val="center"/>
          </w:tcPr>
          <w:p w14:paraId="73CC3D7D">
            <w:pPr>
              <w:widowControl/>
              <w:jc w:val="left"/>
              <w:rPr>
                <w:rFonts w:eastAsia="仿宋_GB2312"/>
                <w:kern w:val="0"/>
                <w:sz w:val="20"/>
                <w:szCs w:val="20"/>
              </w:rPr>
            </w:pPr>
            <w:r>
              <w:rPr>
                <w:rFonts w:hint="eastAsia"/>
                <w:kern w:val="0"/>
                <w:sz w:val="20"/>
                <w:szCs w:val="20"/>
              </w:rPr>
              <w:t>结转结余变动率</w:t>
            </w:r>
            <w:r>
              <w:rPr>
                <w:kern w:val="0"/>
                <w:sz w:val="20"/>
                <w:szCs w:val="20"/>
              </w:rPr>
              <w:t>=[</w:t>
            </w:r>
            <w:r>
              <w:rPr>
                <w:rFonts w:hint="eastAsia"/>
                <w:kern w:val="0"/>
                <w:sz w:val="20"/>
                <w:szCs w:val="20"/>
              </w:rPr>
              <w:t>（本年度累计结转结余资金总额</w:t>
            </w:r>
            <w:r>
              <w:rPr>
                <w:kern w:val="0"/>
                <w:sz w:val="20"/>
                <w:szCs w:val="20"/>
              </w:rPr>
              <w:t>-</w:t>
            </w:r>
            <w:r>
              <w:rPr>
                <w:rFonts w:hint="eastAsia"/>
                <w:kern w:val="0"/>
                <w:sz w:val="20"/>
                <w:szCs w:val="20"/>
              </w:rPr>
              <w:t>上年度累计结转结余资金总额）</w:t>
            </w:r>
            <w:r>
              <w:rPr>
                <w:kern w:val="0"/>
                <w:sz w:val="20"/>
                <w:szCs w:val="20"/>
              </w:rPr>
              <w:t>/</w:t>
            </w:r>
            <w:r>
              <w:rPr>
                <w:rFonts w:hint="eastAsia"/>
                <w:kern w:val="0"/>
                <w:sz w:val="20"/>
                <w:szCs w:val="20"/>
              </w:rPr>
              <w:t>上年度累计结转结余资金总额</w:t>
            </w:r>
            <w:r>
              <w:rPr>
                <w:kern w:val="0"/>
                <w:sz w:val="20"/>
                <w:szCs w:val="20"/>
              </w:rPr>
              <w:t>]×100%</w:t>
            </w:r>
            <w:r>
              <w:rPr>
                <w:rFonts w:hint="eastAsia"/>
                <w:kern w:val="0"/>
                <w:sz w:val="20"/>
                <w:szCs w:val="20"/>
              </w:rPr>
              <w:t>。</w:t>
            </w:r>
          </w:p>
        </w:tc>
        <w:tc>
          <w:tcPr>
            <w:tcW w:w="637" w:type="dxa"/>
            <w:tcBorders>
              <w:top w:val="nil"/>
              <w:left w:val="nil"/>
              <w:bottom w:val="single" w:color="auto" w:sz="4" w:space="0"/>
              <w:right w:val="single" w:color="auto" w:sz="4" w:space="0"/>
            </w:tcBorders>
            <w:vAlign w:val="center"/>
          </w:tcPr>
          <w:p w14:paraId="23017FE5">
            <w:pPr>
              <w:widowControl/>
              <w:jc w:val="center"/>
              <w:rPr>
                <w:kern w:val="0"/>
                <w:sz w:val="24"/>
              </w:rPr>
            </w:pPr>
            <w:r>
              <w:rPr>
                <w:rFonts w:hint="eastAsia"/>
                <w:kern w:val="0"/>
                <w:sz w:val="24"/>
              </w:rPr>
              <w:t>0</w:t>
            </w:r>
          </w:p>
        </w:tc>
      </w:tr>
      <w:tr w14:paraId="2C20255B">
        <w:tblPrEx>
          <w:tblCellMar>
            <w:top w:w="0" w:type="dxa"/>
            <w:left w:w="108" w:type="dxa"/>
            <w:bottom w:w="0" w:type="dxa"/>
            <w:right w:w="108" w:type="dxa"/>
          </w:tblCellMar>
        </w:tblPrEx>
        <w:trPr>
          <w:trHeight w:val="1263" w:hRule="atLeast"/>
          <w:jc w:val="center"/>
        </w:trPr>
        <w:tc>
          <w:tcPr>
            <w:tcW w:w="709" w:type="dxa"/>
            <w:vMerge w:val="continue"/>
            <w:tcBorders>
              <w:left w:val="single" w:color="auto" w:sz="4" w:space="0"/>
              <w:right w:val="single" w:color="auto" w:sz="4" w:space="0"/>
            </w:tcBorders>
            <w:vAlign w:val="center"/>
          </w:tcPr>
          <w:p w14:paraId="0FAC13FE">
            <w:pPr>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79EBEA88">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420B4924">
            <w:pPr>
              <w:widowControl/>
              <w:jc w:val="left"/>
              <w:rPr>
                <w:rFonts w:eastAsia="仿宋_GB2312"/>
                <w:kern w:val="0"/>
                <w:sz w:val="20"/>
                <w:szCs w:val="20"/>
              </w:rPr>
            </w:pPr>
            <w:r>
              <w:rPr>
                <w:rFonts w:hint="eastAsia"/>
                <w:kern w:val="0"/>
                <w:sz w:val="20"/>
                <w:szCs w:val="20"/>
              </w:rPr>
              <w:t>公用经费控制率</w:t>
            </w:r>
          </w:p>
        </w:tc>
        <w:tc>
          <w:tcPr>
            <w:tcW w:w="483" w:type="dxa"/>
            <w:tcBorders>
              <w:top w:val="nil"/>
              <w:left w:val="nil"/>
              <w:bottom w:val="single" w:color="auto" w:sz="4" w:space="0"/>
              <w:right w:val="single" w:color="auto" w:sz="4" w:space="0"/>
            </w:tcBorders>
            <w:vAlign w:val="center"/>
          </w:tcPr>
          <w:p w14:paraId="2E32732D">
            <w:pPr>
              <w:widowControl/>
              <w:jc w:val="center"/>
              <w:rPr>
                <w:rFonts w:eastAsia="仿宋_GB2312"/>
                <w:kern w:val="0"/>
                <w:sz w:val="20"/>
                <w:szCs w:val="20"/>
              </w:rPr>
            </w:pPr>
            <w:r>
              <w:rPr>
                <w:kern w:val="0"/>
                <w:sz w:val="20"/>
                <w:szCs w:val="20"/>
              </w:rPr>
              <w:t>3</w:t>
            </w:r>
          </w:p>
        </w:tc>
        <w:tc>
          <w:tcPr>
            <w:tcW w:w="2948" w:type="dxa"/>
            <w:tcBorders>
              <w:top w:val="nil"/>
              <w:left w:val="nil"/>
              <w:bottom w:val="single" w:color="auto" w:sz="4" w:space="0"/>
              <w:right w:val="single" w:color="auto" w:sz="4" w:space="0"/>
            </w:tcBorders>
            <w:vAlign w:val="center"/>
          </w:tcPr>
          <w:p w14:paraId="2C420078">
            <w:pPr>
              <w:widowControl/>
              <w:jc w:val="left"/>
              <w:rPr>
                <w:rFonts w:eastAsia="仿宋_GB2312"/>
                <w:kern w:val="0"/>
                <w:sz w:val="20"/>
                <w:szCs w:val="20"/>
              </w:rPr>
            </w:pPr>
            <w:r>
              <w:rPr>
                <w:kern w:val="0"/>
                <w:sz w:val="20"/>
                <w:szCs w:val="20"/>
              </w:rPr>
              <w:t>100%</w:t>
            </w:r>
            <w:r>
              <w:rPr>
                <w:rFonts w:hint="eastAsia"/>
                <w:kern w:val="0"/>
                <w:sz w:val="20"/>
                <w:szCs w:val="20"/>
              </w:rPr>
              <w:t>以下（含）计满分，每超出</w:t>
            </w:r>
            <w:r>
              <w:rPr>
                <w:kern w:val="0"/>
                <w:sz w:val="20"/>
                <w:szCs w:val="20"/>
              </w:rPr>
              <w:t>1%</w:t>
            </w:r>
            <w:r>
              <w:rPr>
                <w:rFonts w:hint="eastAsia"/>
                <w:kern w:val="0"/>
                <w:sz w:val="20"/>
                <w:szCs w:val="20"/>
              </w:rPr>
              <w:t>扣</w:t>
            </w:r>
            <w:r>
              <w:rPr>
                <w:kern w:val="0"/>
                <w:sz w:val="20"/>
                <w:szCs w:val="20"/>
              </w:rPr>
              <w:t>1</w:t>
            </w:r>
            <w:r>
              <w:rPr>
                <w:rFonts w:hint="eastAsia"/>
                <w:kern w:val="0"/>
                <w:sz w:val="20"/>
                <w:szCs w:val="20"/>
              </w:rPr>
              <w:t>分，扣完为止。</w:t>
            </w:r>
          </w:p>
        </w:tc>
        <w:tc>
          <w:tcPr>
            <w:tcW w:w="3490" w:type="dxa"/>
            <w:tcBorders>
              <w:top w:val="nil"/>
              <w:left w:val="nil"/>
              <w:bottom w:val="single" w:color="auto" w:sz="4" w:space="0"/>
              <w:right w:val="single" w:color="auto" w:sz="4" w:space="0"/>
            </w:tcBorders>
            <w:vAlign w:val="center"/>
          </w:tcPr>
          <w:p w14:paraId="790DB7E3">
            <w:pPr>
              <w:widowControl/>
              <w:jc w:val="left"/>
              <w:rPr>
                <w:rFonts w:eastAsia="仿宋_GB2312"/>
                <w:kern w:val="0"/>
                <w:sz w:val="20"/>
                <w:szCs w:val="20"/>
              </w:rPr>
            </w:pPr>
            <w:r>
              <w:rPr>
                <w:rFonts w:hint="eastAsia"/>
                <w:kern w:val="0"/>
                <w:sz w:val="20"/>
                <w:szCs w:val="20"/>
              </w:rPr>
              <w:t>公用经费控制率</w:t>
            </w:r>
            <w:r>
              <w:rPr>
                <w:kern w:val="0"/>
                <w:sz w:val="20"/>
                <w:szCs w:val="20"/>
              </w:rPr>
              <w:t>=</w:t>
            </w:r>
            <w:r>
              <w:rPr>
                <w:rFonts w:hint="eastAsia"/>
                <w:kern w:val="0"/>
                <w:sz w:val="20"/>
                <w:szCs w:val="20"/>
              </w:rPr>
              <w:t>（实际支出公用经费总额</w:t>
            </w:r>
            <w:r>
              <w:rPr>
                <w:kern w:val="0"/>
                <w:sz w:val="20"/>
                <w:szCs w:val="20"/>
              </w:rPr>
              <w:t>/</w:t>
            </w:r>
            <w:r>
              <w:rPr>
                <w:rFonts w:hint="eastAsia"/>
                <w:kern w:val="0"/>
                <w:sz w:val="20"/>
                <w:szCs w:val="20"/>
              </w:rPr>
              <w:t>预算安排公用经费总额）</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公用经费支出是指部门基本支出中的一般商品和服务支出。</w:t>
            </w:r>
          </w:p>
        </w:tc>
        <w:tc>
          <w:tcPr>
            <w:tcW w:w="637" w:type="dxa"/>
            <w:tcBorders>
              <w:top w:val="nil"/>
              <w:left w:val="nil"/>
              <w:bottom w:val="single" w:color="auto" w:sz="4" w:space="0"/>
              <w:right w:val="single" w:color="auto" w:sz="4" w:space="0"/>
            </w:tcBorders>
            <w:vAlign w:val="center"/>
          </w:tcPr>
          <w:p w14:paraId="08A0005D">
            <w:pPr>
              <w:widowControl/>
              <w:jc w:val="center"/>
              <w:rPr>
                <w:kern w:val="0"/>
                <w:sz w:val="24"/>
              </w:rPr>
            </w:pPr>
            <w:r>
              <w:rPr>
                <w:rFonts w:hint="eastAsia"/>
                <w:kern w:val="0"/>
                <w:sz w:val="24"/>
              </w:rPr>
              <w:t>3</w:t>
            </w:r>
          </w:p>
        </w:tc>
      </w:tr>
      <w:tr w14:paraId="28309631">
        <w:tblPrEx>
          <w:tblCellMar>
            <w:top w:w="0" w:type="dxa"/>
            <w:left w:w="108" w:type="dxa"/>
            <w:bottom w:w="0" w:type="dxa"/>
            <w:right w:w="108" w:type="dxa"/>
          </w:tblCellMar>
        </w:tblPrEx>
        <w:trPr>
          <w:trHeight w:val="818" w:hRule="atLeast"/>
          <w:jc w:val="center"/>
        </w:trPr>
        <w:tc>
          <w:tcPr>
            <w:tcW w:w="709" w:type="dxa"/>
            <w:vMerge w:val="continue"/>
            <w:tcBorders>
              <w:left w:val="single" w:color="auto" w:sz="4" w:space="0"/>
              <w:right w:val="single" w:color="auto" w:sz="4" w:space="0"/>
            </w:tcBorders>
            <w:vAlign w:val="center"/>
          </w:tcPr>
          <w:p w14:paraId="7DF2BFE0">
            <w:pPr>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17CE9F33">
            <w:pPr>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546799F5">
            <w:pPr>
              <w:widowControl/>
              <w:jc w:val="left"/>
              <w:rPr>
                <w:rFonts w:eastAsia="仿宋_GB2312"/>
                <w:kern w:val="0"/>
                <w:sz w:val="20"/>
                <w:szCs w:val="20"/>
              </w:rPr>
            </w:pP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控制率</w:t>
            </w:r>
          </w:p>
        </w:tc>
        <w:tc>
          <w:tcPr>
            <w:tcW w:w="483" w:type="dxa"/>
            <w:tcBorders>
              <w:top w:val="nil"/>
              <w:left w:val="nil"/>
              <w:bottom w:val="single" w:color="auto" w:sz="4" w:space="0"/>
              <w:right w:val="single" w:color="auto" w:sz="4" w:space="0"/>
            </w:tcBorders>
            <w:vAlign w:val="center"/>
          </w:tcPr>
          <w:p w14:paraId="3C04B603">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vAlign w:val="center"/>
          </w:tcPr>
          <w:p w14:paraId="5014ACB6">
            <w:pPr>
              <w:widowControl/>
              <w:jc w:val="left"/>
              <w:rPr>
                <w:rFonts w:eastAsia="仿宋_GB2312"/>
                <w:kern w:val="0"/>
                <w:sz w:val="20"/>
                <w:szCs w:val="20"/>
              </w:rPr>
            </w:pPr>
            <w:r>
              <w:rPr>
                <w:kern w:val="0"/>
                <w:sz w:val="20"/>
                <w:szCs w:val="20"/>
              </w:rPr>
              <w:t>100%</w:t>
            </w:r>
            <w:r>
              <w:rPr>
                <w:rFonts w:hint="eastAsia"/>
                <w:kern w:val="0"/>
                <w:sz w:val="20"/>
                <w:szCs w:val="20"/>
              </w:rPr>
              <w:t>以下（含）计满分，否则计</w:t>
            </w:r>
            <w:r>
              <w:rPr>
                <w:kern w:val="0"/>
                <w:sz w:val="20"/>
                <w:szCs w:val="20"/>
              </w:rPr>
              <w:t>0</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78AADE7F">
            <w:pPr>
              <w:widowControl/>
              <w:jc w:val="left"/>
              <w:rPr>
                <w:rFonts w:eastAsia="仿宋_GB2312"/>
                <w:kern w:val="0"/>
                <w:sz w:val="20"/>
                <w:szCs w:val="20"/>
              </w:rPr>
            </w:pP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控制率</w:t>
            </w:r>
            <w:r>
              <w:rPr>
                <w:kern w:val="0"/>
                <w:sz w:val="20"/>
                <w:szCs w:val="20"/>
              </w:rPr>
              <w:t>-</w:t>
            </w:r>
            <w:r>
              <w:rPr>
                <w:rFonts w:hint="eastAsia"/>
                <w:kern w:val="0"/>
                <w:sz w:val="20"/>
                <w:szCs w:val="20"/>
              </w:rPr>
              <w:t>（</w:t>
            </w: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实际支出数</w:t>
            </w:r>
            <w:r>
              <w:rPr>
                <w:kern w:val="0"/>
                <w:sz w:val="20"/>
                <w:szCs w:val="20"/>
              </w:rPr>
              <w:t>/“</w:t>
            </w:r>
            <w:r>
              <w:rPr>
                <w:rFonts w:hint="eastAsia"/>
                <w:kern w:val="0"/>
                <w:sz w:val="20"/>
                <w:szCs w:val="20"/>
              </w:rPr>
              <w:t>三公经费</w:t>
            </w:r>
            <w:r>
              <w:rPr>
                <w:kern w:val="0"/>
                <w:sz w:val="20"/>
                <w:szCs w:val="20"/>
              </w:rPr>
              <w:t>”</w:t>
            </w:r>
            <w:r>
              <w:rPr>
                <w:rFonts w:hint="eastAsia"/>
                <w:kern w:val="0"/>
                <w:sz w:val="20"/>
                <w:szCs w:val="20"/>
              </w:rPr>
              <w:t>预算安排数）</w:t>
            </w:r>
            <w:r>
              <w:rPr>
                <w:kern w:val="0"/>
                <w:sz w:val="20"/>
                <w:szCs w:val="20"/>
              </w:rPr>
              <w:t>×100%</w:t>
            </w:r>
            <w:r>
              <w:rPr>
                <w:rFonts w:hint="eastAsia"/>
                <w:kern w:val="0"/>
                <w:sz w:val="20"/>
                <w:szCs w:val="20"/>
              </w:rPr>
              <w:t>。</w:t>
            </w:r>
          </w:p>
        </w:tc>
        <w:tc>
          <w:tcPr>
            <w:tcW w:w="637" w:type="dxa"/>
            <w:tcBorders>
              <w:top w:val="nil"/>
              <w:left w:val="nil"/>
              <w:bottom w:val="single" w:color="auto" w:sz="4" w:space="0"/>
              <w:right w:val="single" w:color="auto" w:sz="4" w:space="0"/>
            </w:tcBorders>
            <w:vAlign w:val="center"/>
          </w:tcPr>
          <w:p w14:paraId="20CB373B">
            <w:pPr>
              <w:widowControl/>
              <w:jc w:val="center"/>
              <w:rPr>
                <w:kern w:val="0"/>
                <w:sz w:val="24"/>
              </w:rPr>
            </w:pPr>
            <w:r>
              <w:rPr>
                <w:rFonts w:hint="eastAsia"/>
                <w:kern w:val="0"/>
                <w:sz w:val="24"/>
              </w:rPr>
              <w:t>2</w:t>
            </w:r>
          </w:p>
        </w:tc>
      </w:tr>
      <w:tr w14:paraId="0456160D">
        <w:tblPrEx>
          <w:tblCellMar>
            <w:top w:w="0" w:type="dxa"/>
            <w:left w:w="108" w:type="dxa"/>
            <w:bottom w:w="0" w:type="dxa"/>
            <w:right w:w="108" w:type="dxa"/>
          </w:tblCellMar>
        </w:tblPrEx>
        <w:trPr>
          <w:trHeight w:val="734" w:hRule="atLeast"/>
          <w:jc w:val="center"/>
        </w:trPr>
        <w:tc>
          <w:tcPr>
            <w:tcW w:w="709" w:type="dxa"/>
            <w:vMerge w:val="continue"/>
            <w:tcBorders>
              <w:left w:val="single" w:color="auto" w:sz="4" w:space="0"/>
              <w:right w:val="single" w:color="auto" w:sz="4" w:space="0"/>
            </w:tcBorders>
            <w:vAlign w:val="center"/>
          </w:tcPr>
          <w:p w14:paraId="42F1CD9F">
            <w:pPr>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7567E612">
            <w:pPr>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5996D8D5">
            <w:pPr>
              <w:jc w:val="left"/>
              <w:rPr>
                <w:rFonts w:ascii="仿宋" w:hAnsi="仿宋" w:eastAsia="仿宋" w:cs="宋体"/>
                <w:sz w:val="20"/>
                <w:szCs w:val="20"/>
              </w:rPr>
            </w:pPr>
            <w:r>
              <w:rPr>
                <w:rFonts w:ascii="仿宋" w:hAnsi="仿宋"/>
                <w:sz w:val="20"/>
                <w:szCs w:val="20"/>
              </w:rPr>
              <w:t>政府采购节资率</w:t>
            </w:r>
          </w:p>
          <w:p w14:paraId="4724E485">
            <w:pPr>
              <w:widowControl/>
              <w:jc w:val="left"/>
              <w:rPr>
                <w:rFonts w:eastAsia="仿宋_GB2312"/>
                <w:color w:val="FF0000"/>
                <w:kern w:val="0"/>
                <w:sz w:val="20"/>
                <w:szCs w:val="20"/>
              </w:rPr>
            </w:pPr>
          </w:p>
        </w:tc>
        <w:tc>
          <w:tcPr>
            <w:tcW w:w="483" w:type="dxa"/>
            <w:tcBorders>
              <w:top w:val="nil"/>
              <w:left w:val="nil"/>
              <w:bottom w:val="single" w:color="auto" w:sz="4" w:space="0"/>
              <w:right w:val="single" w:color="auto" w:sz="4" w:space="0"/>
            </w:tcBorders>
            <w:vAlign w:val="center"/>
          </w:tcPr>
          <w:p w14:paraId="7AF4C5F8">
            <w:pPr>
              <w:widowControl/>
              <w:jc w:val="center"/>
              <w:rPr>
                <w:rFonts w:eastAsia="仿宋_GB2312"/>
                <w:kern w:val="0"/>
                <w:sz w:val="20"/>
                <w:szCs w:val="20"/>
              </w:rPr>
            </w:pPr>
            <w:r>
              <w:rPr>
                <w:kern w:val="0"/>
                <w:sz w:val="20"/>
                <w:szCs w:val="20"/>
              </w:rPr>
              <w:t>1</w:t>
            </w:r>
          </w:p>
        </w:tc>
        <w:tc>
          <w:tcPr>
            <w:tcW w:w="2948" w:type="dxa"/>
            <w:tcBorders>
              <w:top w:val="nil"/>
              <w:left w:val="nil"/>
              <w:bottom w:val="single" w:color="auto" w:sz="4" w:space="0"/>
              <w:right w:val="single" w:color="auto" w:sz="4" w:space="0"/>
            </w:tcBorders>
            <w:vAlign w:val="center"/>
          </w:tcPr>
          <w:p w14:paraId="5FB90524">
            <w:pPr>
              <w:widowControl/>
              <w:jc w:val="left"/>
              <w:rPr>
                <w:rFonts w:eastAsia="仿宋_GB2312"/>
                <w:kern w:val="0"/>
                <w:sz w:val="20"/>
                <w:szCs w:val="20"/>
              </w:rPr>
            </w:pPr>
            <w:r>
              <w:rPr>
                <w:rFonts w:hint="eastAsia"/>
                <w:kern w:val="0"/>
                <w:sz w:val="20"/>
                <w:szCs w:val="20"/>
              </w:rPr>
              <w:t>＞</w:t>
            </w:r>
            <w:r>
              <w:rPr>
                <w:kern w:val="0"/>
                <w:sz w:val="20"/>
                <w:szCs w:val="20"/>
              </w:rPr>
              <w:t>0</w:t>
            </w:r>
            <w:r>
              <w:rPr>
                <w:rFonts w:hint="eastAsia"/>
                <w:kern w:val="0"/>
                <w:sz w:val="20"/>
                <w:szCs w:val="20"/>
              </w:rPr>
              <w:t>计满分，否则计</w:t>
            </w:r>
            <w:r>
              <w:rPr>
                <w:kern w:val="0"/>
                <w:sz w:val="20"/>
                <w:szCs w:val="20"/>
              </w:rPr>
              <w:t>0</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4DE4903F">
            <w:pPr>
              <w:widowControl/>
              <w:jc w:val="left"/>
              <w:rPr>
                <w:rFonts w:eastAsia="仿宋_GB2312"/>
                <w:kern w:val="0"/>
                <w:sz w:val="20"/>
                <w:szCs w:val="20"/>
              </w:rPr>
            </w:pPr>
            <w:r>
              <w:rPr>
                <w:rFonts w:hint="eastAsia"/>
                <w:kern w:val="0"/>
                <w:sz w:val="20"/>
                <w:szCs w:val="20"/>
              </w:rPr>
              <w:t>节资率</w:t>
            </w:r>
            <w:r>
              <w:rPr>
                <w:kern w:val="0"/>
                <w:sz w:val="20"/>
                <w:szCs w:val="20"/>
              </w:rPr>
              <w:t>=</w:t>
            </w:r>
            <w:r>
              <w:rPr>
                <w:rFonts w:hint="eastAsia"/>
                <w:kern w:val="0"/>
                <w:sz w:val="20"/>
                <w:szCs w:val="20"/>
              </w:rPr>
              <w:t>（预算资金</w:t>
            </w:r>
            <w:r>
              <w:rPr>
                <w:kern w:val="0"/>
                <w:sz w:val="20"/>
                <w:szCs w:val="20"/>
              </w:rPr>
              <w:t>-</w:t>
            </w:r>
            <w:r>
              <w:rPr>
                <w:rFonts w:hint="eastAsia"/>
                <w:kern w:val="0"/>
                <w:sz w:val="20"/>
                <w:szCs w:val="20"/>
              </w:rPr>
              <w:t>实际采购资金）</w:t>
            </w:r>
            <w:r>
              <w:rPr>
                <w:kern w:val="0"/>
                <w:sz w:val="20"/>
                <w:szCs w:val="20"/>
              </w:rPr>
              <w:t>/</w:t>
            </w:r>
            <w:r>
              <w:rPr>
                <w:rFonts w:hint="eastAsia"/>
                <w:kern w:val="0"/>
                <w:sz w:val="20"/>
                <w:szCs w:val="20"/>
              </w:rPr>
              <w:t>预算资金</w:t>
            </w:r>
          </w:p>
        </w:tc>
        <w:tc>
          <w:tcPr>
            <w:tcW w:w="637" w:type="dxa"/>
            <w:tcBorders>
              <w:top w:val="nil"/>
              <w:left w:val="nil"/>
              <w:bottom w:val="single" w:color="auto" w:sz="4" w:space="0"/>
              <w:right w:val="single" w:color="auto" w:sz="4" w:space="0"/>
            </w:tcBorders>
            <w:vAlign w:val="center"/>
          </w:tcPr>
          <w:p w14:paraId="4AD31B44">
            <w:pPr>
              <w:widowControl/>
              <w:jc w:val="center"/>
              <w:rPr>
                <w:kern w:val="0"/>
                <w:sz w:val="24"/>
              </w:rPr>
            </w:pPr>
            <w:r>
              <w:rPr>
                <w:rFonts w:hint="eastAsia"/>
                <w:kern w:val="0"/>
                <w:sz w:val="24"/>
              </w:rPr>
              <w:t>1</w:t>
            </w:r>
          </w:p>
        </w:tc>
      </w:tr>
      <w:tr w14:paraId="578A5134">
        <w:tblPrEx>
          <w:tblCellMar>
            <w:top w:w="0" w:type="dxa"/>
            <w:left w:w="108" w:type="dxa"/>
            <w:bottom w:w="0" w:type="dxa"/>
            <w:right w:w="108" w:type="dxa"/>
          </w:tblCellMar>
        </w:tblPrEx>
        <w:trPr>
          <w:jc w:val="center"/>
        </w:trPr>
        <w:tc>
          <w:tcPr>
            <w:tcW w:w="709" w:type="dxa"/>
            <w:vMerge w:val="continue"/>
            <w:tcBorders>
              <w:left w:val="single" w:color="auto" w:sz="4" w:space="0"/>
              <w:right w:val="single" w:color="auto" w:sz="4" w:space="0"/>
            </w:tcBorders>
            <w:vAlign w:val="center"/>
          </w:tcPr>
          <w:p w14:paraId="3C8AA211">
            <w:pPr>
              <w:jc w:val="left"/>
              <w:rPr>
                <w:rFonts w:eastAsia="仿宋_GB2312"/>
                <w:kern w:val="0"/>
                <w:sz w:val="20"/>
                <w:szCs w:val="20"/>
              </w:rPr>
            </w:pPr>
          </w:p>
        </w:tc>
        <w:tc>
          <w:tcPr>
            <w:tcW w:w="677" w:type="dxa"/>
            <w:vMerge w:val="continue"/>
            <w:tcBorders>
              <w:left w:val="single" w:color="auto" w:sz="4" w:space="0"/>
              <w:bottom w:val="single" w:color="auto" w:sz="4" w:space="0"/>
              <w:right w:val="single" w:color="auto" w:sz="4" w:space="0"/>
            </w:tcBorders>
            <w:vAlign w:val="center"/>
          </w:tcPr>
          <w:p w14:paraId="403BDDEB">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7EB5DD4C">
            <w:pPr>
              <w:widowControl/>
              <w:jc w:val="left"/>
              <w:rPr>
                <w:rFonts w:eastAsia="仿宋_GB2312"/>
                <w:kern w:val="0"/>
                <w:sz w:val="20"/>
                <w:szCs w:val="20"/>
              </w:rPr>
            </w:pPr>
            <w:r>
              <w:rPr>
                <w:rFonts w:hint="eastAsia"/>
                <w:kern w:val="0"/>
                <w:sz w:val="20"/>
                <w:szCs w:val="20"/>
              </w:rPr>
              <w:t>政府采购执行率</w:t>
            </w:r>
          </w:p>
        </w:tc>
        <w:tc>
          <w:tcPr>
            <w:tcW w:w="483" w:type="dxa"/>
            <w:tcBorders>
              <w:top w:val="nil"/>
              <w:left w:val="nil"/>
              <w:bottom w:val="single" w:color="auto" w:sz="4" w:space="0"/>
              <w:right w:val="single" w:color="auto" w:sz="4" w:space="0"/>
            </w:tcBorders>
            <w:vAlign w:val="center"/>
          </w:tcPr>
          <w:p w14:paraId="7AACCE63">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vAlign w:val="center"/>
          </w:tcPr>
          <w:p w14:paraId="0790D4AC">
            <w:pPr>
              <w:widowControl/>
              <w:jc w:val="left"/>
              <w:rPr>
                <w:rFonts w:ascii="宋体" w:hAnsi="宋体" w:cs="宋体"/>
                <w:kern w:val="0"/>
                <w:sz w:val="20"/>
                <w:szCs w:val="20"/>
              </w:rPr>
            </w:pPr>
            <w:r>
              <w:rPr>
                <w:rFonts w:hint="eastAsia" w:ascii="宋体" w:hAnsi="宋体" w:cs="宋体"/>
                <w:kern w:val="0"/>
                <w:sz w:val="20"/>
                <w:szCs w:val="20"/>
              </w:rPr>
              <w:t>等于</w:t>
            </w:r>
            <w:r>
              <w:rPr>
                <w:rFonts w:ascii="宋体" w:hAnsi="宋体" w:cs="宋体"/>
                <w:kern w:val="0"/>
                <w:sz w:val="20"/>
                <w:szCs w:val="20"/>
              </w:rPr>
              <w:t>100%计满分，每超过（降低）5%</w:t>
            </w:r>
            <w:r>
              <w:rPr>
                <w:rFonts w:hint="eastAsia" w:ascii="宋体" w:hAnsi="宋体" w:cs="宋体"/>
                <w:kern w:val="0"/>
                <w:sz w:val="20"/>
                <w:szCs w:val="20"/>
              </w:rPr>
              <w:t>扣</w:t>
            </w:r>
            <w:r>
              <w:rPr>
                <w:rFonts w:ascii="宋体" w:hAnsi="宋体" w:cs="宋体"/>
                <w:kern w:val="0"/>
                <w:sz w:val="20"/>
                <w:szCs w:val="20"/>
              </w:rPr>
              <w:t>0.5分，扣完为止。</w:t>
            </w:r>
          </w:p>
        </w:tc>
        <w:tc>
          <w:tcPr>
            <w:tcW w:w="3490" w:type="dxa"/>
            <w:tcBorders>
              <w:top w:val="nil"/>
              <w:left w:val="nil"/>
              <w:bottom w:val="single" w:color="auto" w:sz="4" w:space="0"/>
              <w:right w:val="single" w:color="auto" w:sz="4" w:space="0"/>
            </w:tcBorders>
            <w:vAlign w:val="center"/>
          </w:tcPr>
          <w:p w14:paraId="06B81F6B">
            <w:pPr>
              <w:widowControl/>
              <w:jc w:val="left"/>
              <w:rPr>
                <w:rFonts w:eastAsia="仿宋_GB2312"/>
                <w:kern w:val="0"/>
                <w:sz w:val="20"/>
                <w:szCs w:val="20"/>
              </w:rPr>
            </w:pPr>
            <w:r>
              <w:rPr>
                <w:rFonts w:hint="eastAsia"/>
                <w:kern w:val="0"/>
                <w:sz w:val="20"/>
                <w:szCs w:val="20"/>
              </w:rPr>
              <w:t>政府采购执行率</w:t>
            </w:r>
            <w:r>
              <w:rPr>
                <w:kern w:val="0"/>
                <w:sz w:val="20"/>
                <w:szCs w:val="20"/>
              </w:rPr>
              <w:t>%=</w:t>
            </w:r>
            <w:r>
              <w:rPr>
                <w:rFonts w:hint="eastAsia"/>
                <w:kern w:val="0"/>
                <w:sz w:val="20"/>
                <w:szCs w:val="20"/>
              </w:rPr>
              <w:t>（实际履约验收个数</w:t>
            </w:r>
            <w:r>
              <w:rPr>
                <w:kern w:val="0"/>
                <w:sz w:val="20"/>
                <w:szCs w:val="20"/>
              </w:rPr>
              <w:t>/</w:t>
            </w:r>
            <w:r>
              <w:rPr>
                <w:rFonts w:hint="eastAsia"/>
                <w:kern w:val="0"/>
                <w:sz w:val="20"/>
                <w:szCs w:val="20"/>
              </w:rPr>
              <w:t>政府采购个数）×</w:t>
            </w:r>
            <w:r>
              <w:rPr>
                <w:kern w:val="0"/>
                <w:sz w:val="20"/>
                <w:szCs w:val="20"/>
              </w:rPr>
              <w:t>100%</w:t>
            </w:r>
          </w:p>
        </w:tc>
        <w:tc>
          <w:tcPr>
            <w:tcW w:w="637" w:type="dxa"/>
            <w:tcBorders>
              <w:top w:val="nil"/>
              <w:left w:val="nil"/>
              <w:bottom w:val="single" w:color="auto" w:sz="4" w:space="0"/>
              <w:right w:val="single" w:color="auto" w:sz="4" w:space="0"/>
            </w:tcBorders>
            <w:vAlign w:val="center"/>
          </w:tcPr>
          <w:p w14:paraId="1351D2D9">
            <w:pPr>
              <w:widowControl/>
              <w:jc w:val="center"/>
              <w:rPr>
                <w:kern w:val="0"/>
                <w:sz w:val="24"/>
              </w:rPr>
            </w:pPr>
            <w:r>
              <w:rPr>
                <w:rFonts w:hint="eastAsia"/>
                <w:kern w:val="0"/>
                <w:sz w:val="24"/>
              </w:rPr>
              <w:t>2</w:t>
            </w:r>
          </w:p>
        </w:tc>
      </w:tr>
      <w:tr w14:paraId="77F593D9">
        <w:tblPrEx>
          <w:tblCellMar>
            <w:top w:w="0" w:type="dxa"/>
            <w:left w:w="108" w:type="dxa"/>
            <w:bottom w:w="0" w:type="dxa"/>
            <w:right w:w="108" w:type="dxa"/>
          </w:tblCellMar>
        </w:tblPrEx>
        <w:trPr>
          <w:trHeight w:val="2856" w:hRule="atLeast"/>
          <w:jc w:val="center"/>
        </w:trPr>
        <w:tc>
          <w:tcPr>
            <w:tcW w:w="709" w:type="dxa"/>
            <w:vMerge w:val="continue"/>
            <w:tcBorders>
              <w:left w:val="single" w:color="auto" w:sz="4" w:space="0"/>
              <w:right w:val="single" w:color="auto" w:sz="4" w:space="0"/>
            </w:tcBorders>
            <w:vAlign w:val="center"/>
          </w:tcPr>
          <w:p w14:paraId="25B83C47">
            <w:pPr>
              <w:jc w:val="center"/>
              <w:rPr>
                <w:rFonts w:eastAsia="仿宋_GB2312"/>
                <w:kern w:val="0"/>
                <w:sz w:val="20"/>
                <w:szCs w:val="20"/>
              </w:rPr>
            </w:pPr>
          </w:p>
        </w:tc>
        <w:tc>
          <w:tcPr>
            <w:tcW w:w="677" w:type="dxa"/>
            <w:tcBorders>
              <w:top w:val="nil"/>
              <w:left w:val="nil"/>
              <w:right w:val="single" w:color="auto" w:sz="4" w:space="0"/>
            </w:tcBorders>
            <w:vAlign w:val="center"/>
          </w:tcPr>
          <w:p w14:paraId="482C219B">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65A58BB5">
            <w:pPr>
              <w:widowControl/>
              <w:jc w:val="left"/>
              <w:rPr>
                <w:rFonts w:eastAsia="仿宋_GB2312"/>
                <w:kern w:val="0"/>
                <w:sz w:val="20"/>
                <w:szCs w:val="20"/>
              </w:rPr>
            </w:pPr>
            <w:r>
              <w:rPr>
                <w:rFonts w:hint="eastAsia"/>
                <w:kern w:val="0"/>
                <w:sz w:val="20"/>
                <w:szCs w:val="20"/>
              </w:rPr>
              <w:t>管理制度健全性</w:t>
            </w:r>
          </w:p>
        </w:tc>
        <w:tc>
          <w:tcPr>
            <w:tcW w:w="483" w:type="dxa"/>
            <w:tcBorders>
              <w:top w:val="nil"/>
              <w:left w:val="nil"/>
              <w:bottom w:val="single" w:color="auto" w:sz="4" w:space="0"/>
              <w:right w:val="single" w:color="auto" w:sz="4" w:space="0"/>
            </w:tcBorders>
            <w:vAlign w:val="center"/>
          </w:tcPr>
          <w:p w14:paraId="77E814E1">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tcPr>
          <w:p w14:paraId="497A56C4">
            <w:pPr>
              <w:widowControl/>
              <w:rPr>
                <w:rFonts w:ascii="宋体" w:hAnsi="宋体" w:cs="宋体"/>
                <w:kern w:val="0"/>
                <w:sz w:val="20"/>
                <w:szCs w:val="20"/>
              </w:rPr>
            </w:pPr>
            <w:r>
              <w:rPr>
                <w:rFonts w:hint="eastAsia" w:ascii="仿宋_GB2312"/>
                <w:kern w:val="0"/>
                <w:sz w:val="20"/>
                <w:szCs w:val="20"/>
              </w:rPr>
              <w:t>①</w:t>
            </w:r>
            <w:r>
              <w:rPr>
                <w:rFonts w:hint="eastAsia"/>
                <w:kern w:val="0"/>
                <w:sz w:val="20"/>
                <w:szCs w:val="20"/>
              </w:rPr>
              <w:t>有内部财务管理制度、会计核算制度等管理制度；</w:t>
            </w:r>
            <w:r>
              <w:rPr>
                <w:rFonts w:ascii="宋体" w:hAnsi="宋体" w:cs="宋体"/>
                <w:kern w:val="0"/>
                <w:sz w:val="20"/>
                <w:szCs w:val="20"/>
              </w:rPr>
              <w:t>②</w:t>
            </w:r>
            <w:r>
              <w:rPr>
                <w:rFonts w:hint="eastAsia"/>
                <w:kern w:val="0"/>
                <w:sz w:val="20"/>
                <w:szCs w:val="20"/>
              </w:rPr>
              <w:t>有本部门厉行节约制度；</w:t>
            </w:r>
            <w:r>
              <w:rPr>
                <w:rFonts w:eastAsia="仿宋_GB2312"/>
                <w:kern w:val="0"/>
                <w:sz w:val="20"/>
                <w:szCs w:val="20"/>
              </w:rPr>
              <w:br w:type="textWrapping"/>
            </w:r>
            <w:r>
              <w:rPr>
                <w:rFonts w:ascii="宋体" w:hAnsi="宋体" w:cs="宋体"/>
                <w:kern w:val="0"/>
                <w:sz w:val="20"/>
                <w:szCs w:val="20"/>
              </w:rPr>
              <w:t>③</w:t>
            </w:r>
            <w:r>
              <w:rPr>
                <w:rFonts w:hint="eastAsia"/>
                <w:kern w:val="0"/>
                <w:sz w:val="20"/>
                <w:szCs w:val="20"/>
              </w:rPr>
              <w:t>相关管理制度合法、合规、完整；</w:t>
            </w:r>
            <w:r>
              <w:rPr>
                <w:rFonts w:ascii="宋体" w:hAnsi="宋体" w:cs="宋体"/>
                <w:kern w:val="0"/>
                <w:sz w:val="20"/>
                <w:szCs w:val="20"/>
              </w:rPr>
              <w:t>④</w:t>
            </w:r>
            <w:r>
              <w:rPr>
                <w:rFonts w:hint="eastAsia"/>
                <w:kern w:val="0"/>
                <w:sz w:val="20"/>
                <w:szCs w:val="20"/>
              </w:rPr>
              <w:t>相关管理制度得到有效执行。</w:t>
            </w:r>
          </w:p>
        </w:tc>
        <w:tc>
          <w:tcPr>
            <w:tcW w:w="3490" w:type="dxa"/>
            <w:tcBorders>
              <w:top w:val="nil"/>
              <w:left w:val="nil"/>
              <w:bottom w:val="single" w:color="auto" w:sz="4" w:space="0"/>
              <w:right w:val="single" w:color="auto" w:sz="4" w:space="0"/>
            </w:tcBorders>
            <w:vAlign w:val="center"/>
          </w:tcPr>
          <w:p w14:paraId="60679D8F">
            <w:pPr>
              <w:widowControl/>
              <w:jc w:val="left"/>
              <w:rPr>
                <w:rFonts w:hint="eastAsia" w:eastAsia="仿宋_GB2312"/>
                <w:kern w:val="0"/>
                <w:sz w:val="20"/>
                <w:szCs w:val="20"/>
                <w:lang w:eastAsia="zh-CN"/>
              </w:rPr>
            </w:pPr>
            <w:r>
              <w:rPr>
                <w:rFonts w:hint="eastAsia" w:asciiTheme="majorEastAsia" w:hAnsiTheme="majorEastAsia" w:eastAsiaTheme="majorEastAsia" w:cstheme="majorEastAsia"/>
                <w:kern w:val="0"/>
                <w:sz w:val="20"/>
                <w:szCs w:val="20"/>
                <w:lang w:eastAsia="zh-CN"/>
              </w:rPr>
              <w:t>管理制度健全。</w:t>
            </w:r>
          </w:p>
        </w:tc>
        <w:tc>
          <w:tcPr>
            <w:tcW w:w="637" w:type="dxa"/>
            <w:tcBorders>
              <w:top w:val="nil"/>
              <w:left w:val="nil"/>
              <w:bottom w:val="single" w:color="auto" w:sz="4" w:space="0"/>
              <w:right w:val="single" w:color="auto" w:sz="4" w:space="0"/>
            </w:tcBorders>
            <w:vAlign w:val="center"/>
          </w:tcPr>
          <w:p w14:paraId="5836A4AF">
            <w:pPr>
              <w:widowControl/>
              <w:jc w:val="center"/>
              <w:rPr>
                <w:kern w:val="0"/>
                <w:sz w:val="24"/>
              </w:rPr>
            </w:pPr>
            <w:r>
              <w:rPr>
                <w:rFonts w:hint="eastAsia"/>
                <w:kern w:val="0"/>
                <w:sz w:val="24"/>
              </w:rPr>
              <w:t>2</w:t>
            </w:r>
          </w:p>
        </w:tc>
      </w:tr>
      <w:tr w14:paraId="163F092E">
        <w:tblPrEx>
          <w:tblCellMar>
            <w:top w:w="0" w:type="dxa"/>
            <w:left w:w="108" w:type="dxa"/>
            <w:bottom w:w="0" w:type="dxa"/>
            <w:right w:w="108" w:type="dxa"/>
          </w:tblCellMar>
        </w:tblPrEx>
        <w:trPr>
          <w:trHeight w:val="2856" w:hRule="atLeast"/>
          <w:jc w:val="center"/>
        </w:trPr>
        <w:tc>
          <w:tcPr>
            <w:tcW w:w="709" w:type="dxa"/>
            <w:vMerge w:val="restart"/>
            <w:tcBorders>
              <w:top w:val="nil"/>
              <w:left w:val="single" w:color="auto" w:sz="4" w:space="0"/>
              <w:right w:val="single" w:color="auto" w:sz="4" w:space="0"/>
            </w:tcBorders>
            <w:vAlign w:val="center"/>
          </w:tcPr>
          <w:p w14:paraId="02144E7E">
            <w:pPr>
              <w:jc w:val="center"/>
              <w:rPr>
                <w:rFonts w:eastAsia="仿宋_GB2312"/>
                <w:kern w:val="0"/>
                <w:sz w:val="20"/>
                <w:szCs w:val="20"/>
              </w:rPr>
            </w:pPr>
            <w:r>
              <w:rPr>
                <w:rFonts w:hint="eastAsia"/>
                <w:kern w:val="0"/>
                <w:sz w:val="20"/>
                <w:szCs w:val="20"/>
              </w:rPr>
              <w:t>过程</w:t>
            </w:r>
          </w:p>
          <w:p w14:paraId="041D78D1">
            <w:pPr>
              <w:jc w:val="left"/>
              <w:rPr>
                <w:rFonts w:eastAsia="仿宋_GB2312"/>
                <w:kern w:val="0"/>
                <w:sz w:val="20"/>
                <w:szCs w:val="20"/>
              </w:rPr>
            </w:pPr>
          </w:p>
          <w:p w14:paraId="618B660D">
            <w:pPr>
              <w:widowControl/>
              <w:jc w:val="left"/>
              <w:rPr>
                <w:rFonts w:eastAsia="仿宋_GB2312"/>
                <w:kern w:val="0"/>
                <w:sz w:val="20"/>
                <w:szCs w:val="20"/>
              </w:rPr>
            </w:pPr>
            <w:r>
              <w:rPr>
                <w:kern w:val="0"/>
                <w:sz w:val="20"/>
                <w:szCs w:val="20"/>
              </w:rPr>
              <w:t>30</w:t>
            </w:r>
            <w:r>
              <w:rPr>
                <w:rFonts w:hint="eastAsia"/>
                <w:kern w:val="0"/>
                <w:sz w:val="20"/>
                <w:szCs w:val="20"/>
              </w:rPr>
              <w:t>分</w:t>
            </w:r>
          </w:p>
        </w:tc>
        <w:tc>
          <w:tcPr>
            <w:tcW w:w="677" w:type="dxa"/>
            <w:vMerge w:val="restart"/>
            <w:tcBorders>
              <w:top w:val="nil"/>
              <w:left w:val="nil"/>
              <w:right w:val="single" w:color="auto" w:sz="4" w:space="0"/>
            </w:tcBorders>
            <w:vAlign w:val="center"/>
          </w:tcPr>
          <w:p w14:paraId="39F6B1D9">
            <w:pPr>
              <w:widowControl/>
              <w:jc w:val="left"/>
              <w:rPr>
                <w:rFonts w:eastAsia="仿宋_GB2312"/>
                <w:kern w:val="0"/>
                <w:sz w:val="20"/>
                <w:szCs w:val="20"/>
              </w:rPr>
            </w:pPr>
            <w:r>
              <w:rPr>
                <w:rFonts w:hint="eastAsia"/>
                <w:kern w:val="0"/>
                <w:sz w:val="20"/>
                <w:szCs w:val="20"/>
              </w:rPr>
              <w:t>预算管理</w:t>
            </w:r>
          </w:p>
          <w:p w14:paraId="1EFCA950">
            <w:pPr>
              <w:widowControl/>
              <w:jc w:val="left"/>
              <w:rPr>
                <w:rFonts w:eastAsia="仿宋_GB2312"/>
                <w:kern w:val="0"/>
                <w:sz w:val="20"/>
                <w:szCs w:val="20"/>
              </w:rPr>
            </w:pPr>
          </w:p>
          <w:p w14:paraId="353720DA">
            <w:pPr>
              <w:widowControl/>
              <w:jc w:val="left"/>
              <w:rPr>
                <w:rFonts w:eastAsia="仿宋_GB2312"/>
                <w:kern w:val="0"/>
                <w:sz w:val="20"/>
                <w:szCs w:val="20"/>
              </w:rPr>
            </w:pPr>
            <w:r>
              <w:rPr>
                <w:kern w:val="0"/>
                <w:sz w:val="20"/>
                <w:szCs w:val="20"/>
              </w:rPr>
              <w:t>10</w:t>
            </w:r>
            <w:r>
              <w:rPr>
                <w:rFonts w:hint="eastAsia"/>
                <w:kern w:val="0"/>
                <w:sz w:val="20"/>
                <w:szCs w:val="20"/>
              </w:rPr>
              <w:t>分</w:t>
            </w:r>
          </w:p>
        </w:tc>
        <w:tc>
          <w:tcPr>
            <w:tcW w:w="1014" w:type="dxa"/>
            <w:tcBorders>
              <w:top w:val="nil"/>
              <w:left w:val="nil"/>
              <w:bottom w:val="single" w:color="auto" w:sz="4" w:space="0"/>
              <w:right w:val="single" w:color="auto" w:sz="4" w:space="0"/>
            </w:tcBorders>
            <w:vAlign w:val="center"/>
          </w:tcPr>
          <w:p w14:paraId="1F10A395">
            <w:pPr>
              <w:widowControl/>
              <w:jc w:val="left"/>
              <w:rPr>
                <w:rFonts w:eastAsia="仿宋_GB2312"/>
                <w:kern w:val="0"/>
                <w:sz w:val="20"/>
                <w:szCs w:val="20"/>
              </w:rPr>
            </w:pPr>
            <w:r>
              <w:rPr>
                <w:rFonts w:hint="eastAsia"/>
                <w:kern w:val="0"/>
                <w:sz w:val="20"/>
                <w:szCs w:val="20"/>
              </w:rPr>
              <w:t>资金使用合规性</w:t>
            </w:r>
          </w:p>
        </w:tc>
        <w:tc>
          <w:tcPr>
            <w:tcW w:w="483" w:type="dxa"/>
            <w:tcBorders>
              <w:top w:val="nil"/>
              <w:left w:val="nil"/>
              <w:bottom w:val="single" w:color="auto" w:sz="4" w:space="0"/>
              <w:right w:val="single" w:color="auto" w:sz="4" w:space="0"/>
            </w:tcBorders>
            <w:vAlign w:val="center"/>
          </w:tcPr>
          <w:p w14:paraId="4DB46EBE">
            <w:pPr>
              <w:widowControl/>
              <w:jc w:val="center"/>
              <w:rPr>
                <w:rFonts w:eastAsia="仿宋_GB2312"/>
                <w:kern w:val="0"/>
                <w:sz w:val="20"/>
                <w:szCs w:val="20"/>
              </w:rPr>
            </w:pPr>
            <w:r>
              <w:rPr>
                <w:kern w:val="0"/>
                <w:sz w:val="20"/>
                <w:szCs w:val="20"/>
              </w:rPr>
              <w:t>4</w:t>
            </w:r>
          </w:p>
        </w:tc>
        <w:tc>
          <w:tcPr>
            <w:tcW w:w="2948" w:type="dxa"/>
            <w:tcBorders>
              <w:top w:val="nil"/>
              <w:left w:val="nil"/>
              <w:bottom w:val="single" w:color="auto" w:sz="4" w:space="0"/>
              <w:right w:val="single" w:color="auto" w:sz="4" w:space="0"/>
            </w:tcBorders>
            <w:vAlign w:val="center"/>
          </w:tcPr>
          <w:p w14:paraId="6B5D1DD7">
            <w:pPr>
              <w:widowControl/>
              <w:jc w:val="left"/>
              <w:rPr>
                <w:rFonts w:eastAsia="仿宋_GB2312"/>
                <w:kern w:val="0"/>
                <w:sz w:val="20"/>
                <w:szCs w:val="20"/>
              </w:rPr>
            </w:pPr>
            <w:r>
              <w:rPr>
                <w:rFonts w:ascii="宋体" w:hAnsi="宋体" w:cs="宋体"/>
                <w:kern w:val="0"/>
                <w:sz w:val="20"/>
                <w:szCs w:val="20"/>
              </w:rPr>
              <w:t>①</w:t>
            </w:r>
            <w:r>
              <w:rPr>
                <w:rFonts w:hint="eastAsia"/>
                <w:kern w:val="0"/>
                <w:sz w:val="20"/>
                <w:szCs w:val="20"/>
              </w:rPr>
              <w:t>支出符合国家财经法规和财务管理制度规定以及有关专项资金管理办法的规定；</w:t>
            </w:r>
            <w:r>
              <w:rPr>
                <w:rFonts w:ascii="宋体" w:hAnsi="宋体" w:cs="宋体"/>
                <w:kern w:val="0"/>
                <w:sz w:val="20"/>
                <w:szCs w:val="20"/>
              </w:rPr>
              <w:t>②</w:t>
            </w:r>
            <w:r>
              <w:rPr>
                <w:rFonts w:hint="eastAsia"/>
                <w:kern w:val="0"/>
                <w:sz w:val="20"/>
                <w:szCs w:val="20"/>
              </w:rPr>
              <w:t>资金拨付有完整的审批程序和手续；</w:t>
            </w:r>
            <w:r>
              <w:rPr>
                <w:rFonts w:ascii="宋体" w:hAnsi="宋体" w:cs="宋体"/>
                <w:kern w:val="0"/>
                <w:sz w:val="20"/>
                <w:szCs w:val="20"/>
              </w:rPr>
              <w:t>③</w:t>
            </w:r>
            <w:r>
              <w:rPr>
                <w:rFonts w:hint="eastAsia"/>
                <w:kern w:val="0"/>
                <w:sz w:val="20"/>
                <w:szCs w:val="20"/>
              </w:rPr>
              <w:t>项目支出按规定经过评估论证；</w:t>
            </w:r>
            <w:r>
              <w:rPr>
                <w:rFonts w:ascii="宋体" w:hAnsi="宋体" w:cs="宋体"/>
                <w:kern w:val="0"/>
                <w:sz w:val="20"/>
                <w:szCs w:val="20"/>
              </w:rPr>
              <w:t>④</w:t>
            </w:r>
            <w:r>
              <w:rPr>
                <w:rFonts w:hint="eastAsia"/>
                <w:kern w:val="0"/>
                <w:sz w:val="20"/>
                <w:szCs w:val="20"/>
              </w:rPr>
              <w:t>支出符合部门预算批复的用途；</w:t>
            </w:r>
            <w:r>
              <w:rPr>
                <w:rFonts w:ascii="宋体" w:hAnsi="宋体" w:cs="宋体"/>
                <w:kern w:val="0"/>
                <w:sz w:val="20"/>
                <w:szCs w:val="20"/>
              </w:rPr>
              <w:t>⑤</w:t>
            </w:r>
            <w:r>
              <w:rPr>
                <w:rFonts w:hint="eastAsia"/>
                <w:kern w:val="0"/>
                <w:sz w:val="20"/>
                <w:szCs w:val="20"/>
              </w:rPr>
              <w:t>资金使用无截留、挤占、挪用、虚列支出等情况。</w:t>
            </w:r>
            <w:r>
              <w:rPr>
                <w:rFonts w:eastAsia="仿宋_GB2312"/>
                <w:kern w:val="0"/>
                <w:sz w:val="20"/>
                <w:szCs w:val="20"/>
              </w:rPr>
              <w:br w:type="textWrapping"/>
            </w:r>
            <w:r>
              <w:rPr>
                <w:rFonts w:hint="eastAsia"/>
                <w:kern w:val="0"/>
                <w:sz w:val="20"/>
                <w:szCs w:val="20"/>
              </w:rPr>
              <w:t>以上情况每出现一例不符合要求的扣</w:t>
            </w:r>
            <w:r>
              <w:rPr>
                <w:kern w:val="0"/>
                <w:sz w:val="20"/>
                <w:szCs w:val="20"/>
              </w:rPr>
              <w:t>1</w:t>
            </w:r>
            <w:r>
              <w:rPr>
                <w:rFonts w:hint="eastAsia"/>
                <w:kern w:val="0"/>
                <w:sz w:val="20"/>
                <w:szCs w:val="20"/>
              </w:rPr>
              <w:t>分，扣完为止。</w:t>
            </w:r>
          </w:p>
        </w:tc>
        <w:tc>
          <w:tcPr>
            <w:tcW w:w="3490" w:type="dxa"/>
            <w:tcBorders>
              <w:top w:val="nil"/>
              <w:left w:val="nil"/>
              <w:bottom w:val="single" w:color="auto" w:sz="4" w:space="0"/>
              <w:right w:val="single" w:color="auto" w:sz="4" w:space="0"/>
            </w:tcBorders>
            <w:vAlign w:val="center"/>
          </w:tcPr>
          <w:p w14:paraId="1214BB37">
            <w:pPr>
              <w:widowControl/>
              <w:jc w:val="left"/>
              <w:rPr>
                <w:rFonts w:hint="eastAsia" w:eastAsia="仿宋_GB2312"/>
                <w:kern w:val="0"/>
                <w:sz w:val="20"/>
                <w:szCs w:val="20"/>
                <w:lang w:val="en" w:eastAsia="zh-CN"/>
              </w:rPr>
            </w:pPr>
            <w:r>
              <w:rPr>
                <w:rFonts w:hint="eastAsia"/>
                <w:kern w:val="0"/>
                <w:sz w:val="20"/>
                <w:szCs w:val="20"/>
                <w:lang w:val="en" w:eastAsia="zh-CN"/>
              </w:rPr>
              <w:t>资金使用合规。</w:t>
            </w:r>
          </w:p>
        </w:tc>
        <w:tc>
          <w:tcPr>
            <w:tcW w:w="637" w:type="dxa"/>
            <w:tcBorders>
              <w:top w:val="nil"/>
              <w:left w:val="nil"/>
              <w:bottom w:val="single" w:color="auto" w:sz="4" w:space="0"/>
              <w:right w:val="single" w:color="auto" w:sz="4" w:space="0"/>
            </w:tcBorders>
            <w:vAlign w:val="center"/>
          </w:tcPr>
          <w:p w14:paraId="67402760">
            <w:pPr>
              <w:widowControl/>
              <w:jc w:val="left"/>
              <w:rPr>
                <w:kern w:val="0"/>
                <w:sz w:val="24"/>
              </w:rPr>
            </w:pPr>
            <w:r>
              <w:rPr>
                <w:rFonts w:hint="eastAsia"/>
                <w:kern w:val="0"/>
                <w:sz w:val="24"/>
              </w:rPr>
              <w:t>4</w:t>
            </w:r>
          </w:p>
        </w:tc>
      </w:tr>
      <w:tr w14:paraId="6D56F4AD">
        <w:tblPrEx>
          <w:tblCellMar>
            <w:top w:w="0" w:type="dxa"/>
            <w:left w:w="108" w:type="dxa"/>
            <w:bottom w:w="0" w:type="dxa"/>
            <w:right w:w="108" w:type="dxa"/>
          </w:tblCellMar>
        </w:tblPrEx>
        <w:trPr>
          <w:trHeight w:val="1974" w:hRule="atLeast"/>
          <w:jc w:val="center"/>
        </w:trPr>
        <w:tc>
          <w:tcPr>
            <w:tcW w:w="709" w:type="dxa"/>
            <w:vMerge w:val="continue"/>
            <w:tcBorders>
              <w:left w:val="single" w:color="auto" w:sz="4" w:space="0"/>
              <w:right w:val="single" w:color="auto" w:sz="4" w:space="0"/>
            </w:tcBorders>
            <w:vAlign w:val="center"/>
          </w:tcPr>
          <w:p w14:paraId="4C12C5C7">
            <w:pPr>
              <w:widowControl/>
              <w:jc w:val="left"/>
              <w:rPr>
                <w:rFonts w:eastAsia="仿宋_GB2312"/>
                <w:kern w:val="0"/>
                <w:sz w:val="20"/>
                <w:szCs w:val="20"/>
              </w:rPr>
            </w:pPr>
          </w:p>
        </w:tc>
        <w:tc>
          <w:tcPr>
            <w:tcW w:w="677" w:type="dxa"/>
            <w:vMerge w:val="continue"/>
            <w:tcBorders>
              <w:left w:val="nil"/>
              <w:bottom w:val="single" w:color="auto" w:sz="4" w:space="0"/>
              <w:right w:val="single" w:color="auto" w:sz="4" w:space="0"/>
            </w:tcBorders>
            <w:vAlign w:val="center"/>
          </w:tcPr>
          <w:p w14:paraId="39DF99C9">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6B38B245">
            <w:pPr>
              <w:widowControl/>
              <w:jc w:val="left"/>
              <w:rPr>
                <w:rFonts w:eastAsia="仿宋_GB2312"/>
                <w:kern w:val="0"/>
                <w:sz w:val="20"/>
                <w:szCs w:val="20"/>
              </w:rPr>
            </w:pPr>
            <w:r>
              <w:rPr>
                <w:rFonts w:hint="eastAsia"/>
                <w:kern w:val="0"/>
                <w:sz w:val="20"/>
                <w:szCs w:val="20"/>
              </w:rPr>
              <w:t>预决算信息公开性</w:t>
            </w:r>
          </w:p>
        </w:tc>
        <w:tc>
          <w:tcPr>
            <w:tcW w:w="483" w:type="dxa"/>
            <w:tcBorders>
              <w:top w:val="nil"/>
              <w:left w:val="nil"/>
              <w:bottom w:val="single" w:color="auto" w:sz="4" w:space="0"/>
              <w:right w:val="single" w:color="auto" w:sz="4" w:space="0"/>
            </w:tcBorders>
            <w:vAlign w:val="center"/>
          </w:tcPr>
          <w:p w14:paraId="187C4087">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vAlign w:val="center"/>
          </w:tcPr>
          <w:p w14:paraId="1349C5F4">
            <w:pPr>
              <w:widowControl/>
              <w:jc w:val="left"/>
              <w:rPr>
                <w:rFonts w:ascii="宋体" w:hAnsi="宋体" w:cs="宋体"/>
                <w:kern w:val="0"/>
                <w:sz w:val="20"/>
                <w:szCs w:val="20"/>
              </w:rPr>
            </w:pPr>
            <w:r>
              <w:rPr>
                <w:rFonts w:hint="eastAsia" w:ascii="仿宋_GB2312"/>
                <w:kern w:val="0"/>
                <w:sz w:val="20"/>
                <w:szCs w:val="20"/>
              </w:rPr>
              <w:t>①</w:t>
            </w:r>
            <w:r>
              <w:rPr>
                <w:rFonts w:hint="eastAsia"/>
                <w:kern w:val="0"/>
                <w:sz w:val="20"/>
                <w:szCs w:val="20"/>
              </w:rPr>
              <w:t>按规定内容公开预决算信息，</w:t>
            </w:r>
            <w:r>
              <w:rPr>
                <w:kern w:val="0"/>
                <w:sz w:val="20"/>
                <w:szCs w:val="20"/>
              </w:rPr>
              <w:t>1</w:t>
            </w:r>
            <w:r>
              <w:rPr>
                <w:rFonts w:hint="eastAsia"/>
                <w:kern w:val="0"/>
                <w:sz w:val="20"/>
                <w:szCs w:val="20"/>
              </w:rPr>
              <w:t>分；</w:t>
            </w:r>
            <w:r>
              <w:rPr>
                <w:rFonts w:ascii="宋体" w:hAnsi="宋体" w:cs="宋体"/>
                <w:kern w:val="0"/>
                <w:sz w:val="20"/>
                <w:szCs w:val="20"/>
              </w:rPr>
              <w:t>②</w:t>
            </w:r>
            <w:r>
              <w:rPr>
                <w:rFonts w:hint="eastAsia"/>
                <w:kern w:val="0"/>
                <w:sz w:val="20"/>
                <w:szCs w:val="20"/>
              </w:rPr>
              <w:t>按规定时限公开预决算信息，</w:t>
            </w:r>
            <w:r>
              <w:rPr>
                <w:kern w:val="0"/>
                <w:sz w:val="20"/>
                <w:szCs w:val="20"/>
              </w:rPr>
              <w:t>1</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4BA7A981">
            <w:pPr>
              <w:widowControl/>
              <w:jc w:val="left"/>
              <w:rPr>
                <w:rFonts w:eastAsia="仿宋_GB2312"/>
                <w:kern w:val="0"/>
                <w:sz w:val="20"/>
                <w:szCs w:val="20"/>
              </w:rPr>
            </w:pPr>
            <w:r>
              <w:rPr>
                <w:rFonts w:hint="eastAsia"/>
                <w:kern w:val="0"/>
                <w:sz w:val="20"/>
                <w:szCs w:val="20"/>
              </w:rPr>
              <w:t>预决算信息是指与部门预算、执行、决算、监督、绩效等管理相关的信息。</w:t>
            </w:r>
          </w:p>
        </w:tc>
        <w:tc>
          <w:tcPr>
            <w:tcW w:w="637" w:type="dxa"/>
            <w:tcBorders>
              <w:top w:val="nil"/>
              <w:left w:val="nil"/>
              <w:bottom w:val="single" w:color="auto" w:sz="4" w:space="0"/>
              <w:right w:val="single" w:color="auto" w:sz="4" w:space="0"/>
            </w:tcBorders>
            <w:vAlign w:val="center"/>
          </w:tcPr>
          <w:p w14:paraId="7E6288D4">
            <w:pPr>
              <w:widowControl/>
              <w:jc w:val="center"/>
              <w:rPr>
                <w:kern w:val="0"/>
                <w:sz w:val="24"/>
              </w:rPr>
            </w:pPr>
            <w:r>
              <w:rPr>
                <w:rFonts w:hint="eastAsia"/>
                <w:kern w:val="0"/>
                <w:sz w:val="24"/>
              </w:rPr>
              <w:t>2</w:t>
            </w:r>
          </w:p>
        </w:tc>
      </w:tr>
      <w:tr w14:paraId="041552E4">
        <w:tblPrEx>
          <w:tblCellMar>
            <w:top w:w="0" w:type="dxa"/>
            <w:left w:w="108" w:type="dxa"/>
            <w:bottom w:w="0" w:type="dxa"/>
            <w:right w:w="108" w:type="dxa"/>
          </w:tblCellMar>
        </w:tblPrEx>
        <w:trPr>
          <w:trHeight w:val="1974" w:hRule="atLeast"/>
          <w:jc w:val="center"/>
        </w:trPr>
        <w:tc>
          <w:tcPr>
            <w:tcW w:w="709" w:type="dxa"/>
            <w:vMerge w:val="continue"/>
            <w:tcBorders>
              <w:left w:val="single" w:color="auto" w:sz="4" w:space="0"/>
              <w:right w:val="single" w:color="auto" w:sz="4" w:space="0"/>
            </w:tcBorders>
            <w:vAlign w:val="center"/>
          </w:tcPr>
          <w:p w14:paraId="1548DD2B">
            <w:pPr>
              <w:widowControl/>
              <w:jc w:val="left"/>
              <w:rPr>
                <w:rFonts w:eastAsia="仿宋_GB2312"/>
                <w:kern w:val="0"/>
                <w:sz w:val="20"/>
                <w:szCs w:val="20"/>
              </w:rPr>
            </w:pPr>
          </w:p>
        </w:tc>
        <w:tc>
          <w:tcPr>
            <w:tcW w:w="677" w:type="dxa"/>
            <w:vMerge w:val="continue"/>
            <w:tcBorders>
              <w:left w:val="nil"/>
              <w:bottom w:val="single" w:color="auto" w:sz="4" w:space="0"/>
              <w:right w:val="single" w:color="auto" w:sz="4" w:space="0"/>
            </w:tcBorders>
            <w:vAlign w:val="center"/>
          </w:tcPr>
          <w:p w14:paraId="26AEF526">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1AA13898">
            <w:pPr>
              <w:widowControl/>
              <w:jc w:val="left"/>
              <w:rPr>
                <w:rFonts w:eastAsia="仿宋_GB2312"/>
                <w:kern w:val="0"/>
                <w:sz w:val="20"/>
                <w:szCs w:val="20"/>
              </w:rPr>
            </w:pPr>
            <w:r>
              <w:rPr>
                <w:rFonts w:hint="eastAsia"/>
                <w:kern w:val="0"/>
                <w:sz w:val="20"/>
                <w:szCs w:val="20"/>
              </w:rPr>
              <w:t>基础信息完善性</w:t>
            </w:r>
          </w:p>
        </w:tc>
        <w:tc>
          <w:tcPr>
            <w:tcW w:w="483" w:type="dxa"/>
            <w:tcBorders>
              <w:top w:val="nil"/>
              <w:left w:val="nil"/>
              <w:bottom w:val="single" w:color="auto" w:sz="4" w:space="0"/>
              <w:right w:val="single" w:color="auto" w:sz="4" w:space="0"/>
            </w:tcBorders>
            <w:vAlign w:val="center"/>
          </w:tcPr>
          <w:p w14:paraId="4EA2BBDD">
            <w:pPr>
              <w:widowControl/>
              <w:jc w:val="center"/>
              <w:rPr>
                <w:rFonts w:eastAsia="仿宋_GB2312"/>
                <w:kern w:val="0"/>
                <w:sz w:val="20"/>
                <w:szCs w:val="20"/>
              </w:rPr>
            </w:pPr>
            <w:r>
              <w:rPr>
                <w:kern w:val="0"/>
                <w:sz w:val="20"/>
                <w:szCs w:val="20"/>
              </w:rPr>
              <w:t>2</w:t>
            </w:r>
          </w:p>
        </w:tc>
        <w:tc>
          <w:tcPr>
            <w:tcW w:w="2948" w:type="dxa"/>
            <w:tcBorders>
              <w:top w:val="nil"/>
              <w:left w:val="nil"/>
              <w:bottom w:val="single" w:color="auto" w:sz="4" w:space="0"/>
              <w:right w:val="single" w:color="auto" w:sz="4" w:space="0"/>
            </w:tcBorders>
          </w:tcPr>
          <w:p w14:paraId="5593493A">
            <w:pPr>
              <w:widowControl/>
              <w:rPr>
                <w:rFonts w:eastAsia="仿宋_GB2312"/>
                <w:kern w:val="0"/>
                <w:sz w:val="20"/>
                <w:szCs w:val="20"/>
              </w:rPr>
            </w:pPr>
            <w:r>
              <w:rPr>
                <w:rFonts w:hint="eastAsia" w:ascii="仿宋_GB2312"/>
                <w:kern w:val="0"/>
                <w:sz w:val="20"/>
                <w:szCs w:val="20"/>
              </w:rPr>
              <w:t>①</w:t>
            </w:r>
            <w:r>
              <w:rPr>
                <w:rFonts w:hint="eastAsia"/>
                <w:kern w:val="0"/>
                <w:sz w:val="20"/>
                <w:szCs w:val="20"/>
              </w:rPr>
              <w:t>基础数据信息和会计信息数据真实计，计</w:t>
            </w:r>
            <w:r>
              <w:rPr>
                <w:kern w:val="0"/>
                <w:sz w:val="20"/>
                <w:szCs w:val="20"/>
              </w:rPr>
              <w:t>1</w:t>
            </w:r>
            <w:r>
              <w:rPr>
                <w:rFonts w:hint="eastAsia"/>
                <w:kern w:val="0"/>
                <w:sz w:val="20"/>
                <w:szCs w:val="20"/>
              </w:rPr>
              <w:t>分；</w:t>
            </w:r>
            <w:r>
              <w:rPr>
                <w:rFonts w:ascii="宋体" w:hAnsi="宋体" w:cs="宋体"/>
                <w:kern w:val="0"/>
                <w:sz w:val="20"/>
                <w:szCs w:val="20"/>
              </w:rPr>
              <w:t>②</w:t>
            </w:r>
            <w:r>
              <w:rPr>
                <w:rFonts w:hint="eastAsia"/>
                <w:kern w:val="0"/>
                <w:sz w:val="20"/>
                <w:szCs w:val="20"/>
              </w:rPr>
              <w:t>基础数据信息和会计信息数据完整，计</w:t>
            </w:r>
            <w:r>
              <w:rPr>
                <w:kern w:val="0"/>
                <w:sz w:val="20"/>
                <w:szCs w:val="20"/>
              </w:rPr>
              <w:t>0.5</w:t>
            </w:r>
            <w:r>
              <w:rPr>
                <w:rFonts w:hint="eastAsia"/>
                <w:kern w:val="0"/>
                <w:sz w:val="20"/>
                <w:szCs w:val="20"/>
              </w:rPr>
              <w:t>分；</w:t>
            </w:r>
            <w:r>
              <w:rPr>
                <w:rFonts w:ascii="宋体" w:hAnsi="宋体" w:cs="宋体"/>
                <w:kern w:val="0"/>
                <w:sz w:val="20"/>
                <w:szCs w:val="20"/>
              </w:rPr>
              <w:t>③</w:t>
            </w:r>
            <w:r>
              <w:rPr>
                <w:rFonts w:hint="eastAsia"/>
                <w:kern w:val="0"/>
                <w:sz w:val="20"/>
                <w:szCs w:val="20"/>
              </w:rPr>
              <w:t>基础数据信息和会计信息数据准确，计</w:t>
            </w:r>
            <w:r>
              <w:rPr>
                <w:kern w:val="0"/>
                <w:sz w:val="20"/>
                <w:szCs w:val="20"/>
              </w:rPr>
              <w:t>0.5</w:t>
            </w:r>
            <w:r>
              <w:rPr>
                <w:rFonts w:hint="eastAsia"/>
                <w:kern w:val="0"/>
                <w:sz w:val="20"/>
                <w:szCs w:val="20"/>
              </w:rPr>
              <w:t>。</w:t>
            </w:r>
          </w:p>
        </w:tc>
        <w:tc>
          <w:tcPr>
            <w:tcW w:w="3490" w:type="dxa"/>
            <w:tcBorders>
              <w:top w:val="nil"/>
              <w:left w:val="nil"/>
              <w:bottom w:val="single" w:color="auto" w:sz="4" w:space="0"/>
              <w:right w:val="single" w:color="auto" w:sz="4" w:space="0"/>
            </w:tcBorders>
            <w:vAlign w:val="center"/>
          </w:tcPr>
          <w:p w14:paraId="7192BB19">
            <w:pPr>
              <w:widowControl/>
              <w:jc w:val="left"/>
              <w:rPr>
                <w:rFonts w:hint="eastAsia" w:eastAsia="仿宋_GB2312"/>
                <w:kern w:val="0"/>
                <w:sz w:val="20"/>
                <w:szCs w:val="20"/>
                <w:lang w:eastAsia="zh-CN"/>
              </w:rPr>
            </w:pPr>
            <w:r>
              <w:rPr>
                <w:rFonts w:hint="eastAsia"/>
                <w:kern w:val="0"/>
                <w:sz w:val="20"/>
                <w:szCs w:val="20"/>
                <w:lang w:eastAsia="zh-CN"/>
              </w:rPr>
              <w:t>基础数据信息和会计信息数据真实、完整、准确。</w:t>
            </w:r>
          </w:p>
        </w:tc>
        <w:tc>
          <w:tcPr>
            <w:tcW w:w="637" w:type="dxa"/>
            <w:tcBorders>
              <w:top w:val="nil"/>
              <w:left w:val="nil"/>
              <w:bottom w:val="single" w:color="auto" w:sz="4" w:space="0"/>
              <w:right w:val="single" w:color="auto" w:sz="4" w:space="0"/>
            </w:tcBorders>
            <w:vAlign w:val="center"/>
          </w:tcPr>
          <w:p w14:paraId="30BC8FC7">
            <w:pPr>
              <w:widowControl/>
              <w:jc w:val="center"/>
              <w:rPr>
                <w:kern w:val="0"/>
                <w:sz w:val="24"/>
              </w:rPr>
            </w:pPr>
            <w:r>
              <w:rPr>
                <w:rFonts w:hint="eastAsia"/>
                <w:kern w:val="0"/>
                <w:sz w:val="24"/>
              </w:rPr>
              <w:t>2</w:t>
            </w:r>
          </w:p>
        </w:tc>
      </w:tr>
      <w:tr w14:paraId="4E9B1ECD">
        <w:tblPrEx>
          <w:tblCellMar>
            <w:top w:w="0" w:type="dxa"/>
            <w:left w:w="108" w:type="dxa"/>
            <w:bottom w:w="0" w:type="dxa"/>
            <w:right w:w="108" w:type="dxa"/>
          </w:tblCellMar>
        </w:tblPrEx>
        <w:trPr>
          <w:trHeight w:val="660" w:hRule="atLeast"/>
          <w:jc w:val="center"/>
        </w:trPr>
        <w:tc>
          <w:tcPr>
            <w:tcW w:w="709" w:type="dxa"/>
            <w:vMerge w:val="continue"/>
            <w:tcBorders>
              <w:left w:val="single" w:color="auto" w:sz="4" w:space="0"/>
              <w:right w:val="single" w:color="auto" w:sz="4" w:space="0"/>
            </w:tcBorders>
            <w:vAlign w:val="center"/>
          </w:tcPr>
          <w:p w14:paraId="719078D8">
            <w:pPr>
              <w:widowControl/>
              <w:jc w:val="left"/>
              <w:rPr>
                <w:rFonts w:eastAsia="仿宋_GB2312"/>
                <w:kern w:val="0"/>
                <w:sz w:val="20"/>
                <w:szCs w:val="20"/>
              </w:rPr>
            </w:pPr>
          </w:p>
        </w:tc>
        <w:tc>
          <w:tcPr>
            <w:tcW w:w="677" w:type="dxa"/>
            <w:vMerge w:val="restart"/>
            <w:tcBorders>
              <w:left w:val="nil"/>
              <w:right w:val="single" w:color="auto" w:sz="4" w:space="0"/>
            </w:tcBorders>
            <w:vAlign w:val="center"/>
          </w:tcPr>
          <w:p w14:paraId="62AC021F">
            <w:pPr>
              <w:widowControl/>
              <w:jc w:val="left"/>
              <w:rPr>
                <w:rFonts w:eastAsia="仿宋_GB2312"/>
                <w:kern w:val="0"/>
                <w:sz w:val="20"/>
                <w:szCs w:val="20"/>
              </w:rPr>
            </w:pPr>
            <w:r>
              <w:rPr>
                <w:rFonts w:hint="eastAsia"/>
                <w:kern w:val="0"/>
                <w:sz w:val="20"/>
                <w:szCs w:val="20"/>
              </w:rPr>
              <w:t>资产管理</w:t>
            </w:r>
          </w:p>
          <w:p w14:paraId="7660A372">
            <w:pPr>
              <w:widowControl/>
              <w:jc w:val="left"/>
              <w:rPr>
                <w:rFonts w:eastAsia="仿宋_GB2312"/>
                <w:kern w:val="0"/>
                <w:sz w:val="20"/>
                <w:szCs w:val="20"/>
              </w:rPr>
            </w:pPr>
          </w:p>
          <w:p w14:paraId="0306E516">
            <w:pPr>
              <w:widowControl/>
              <w:jc w:val="left"/>
              <w:rPr>
                <w:rFonts w:eastAsia="仿宋_GB2312"/>
                <w:kern w:val="0"/>
                <w:sz w:val="20"/>
                <w:szCs w:val="20"/>
              </w:rPr>
            </w:pPr>
            <w:r>
              <w:rPr>
                <w:kern w:val="0"/>
                <w:sz w:val="20"/>
                <w:szCs w:val="20"/>
              </w:rPr>
              <w:t>5</w:t>
            </w:r>
            <w:r>
              <w:rPr>
                <w:rFonts w:hint="eastAsia"/>
                <w:kern w:val="0"/>
                <w:sz w:val="20"/>
                <w:szCs w:val="20"/>
              </w:rPr>
              <w:t>分</w:t>
            </w:r>
          </w:p>
        </w:tc>
        <w:tc>
          <w:tcPr>
            <w:tcW w:w="1014" w:type="dxa"/>
            <w:tcBorders>
              <w:top w:val="nil"/>
              <w:left w:val="nil"/>
              <w:bottom w:val="single" w:color="auto" w:sz="4" w:space="0"/>
              <w:right w:val="single" w:color="auto" w:sz="4" w:space="0"/>
            </w:tcBorders>
            <w:vAlign w:val="center"/>
          </w:tcPr>
          <w:p w14:paraId="49070A13">
            <w:pPr>
              <w:widowControl/>
              <w:jc w:val="left"/>
              <w:rPr>
                <w:rFonts w:eastAsia="仿宋_GB2312"/>
                <w:kern w:val="0"/>
                <w:sz w:val="20"/>
                <w:szCs w:val="20"/>
              </w:rPr>
            </w:pPr>
            <w:r>
              <w:rPr>
                <w:rFonts w:hint="eastAsia"/>
                <w:kern w:val="0"/>
                <w:sz w:val="20"/>
                <w:szCs w:val="20"/>
              </w:rPr>
              <w:t>管理制度健全性</w:t>
            </w:r>
          </w:p>
        </w:tc>
        <w:tc>
          <w:tcPr>
            <w:tcW w:w="483" w:type="dxa"/>
            <w:tcBorders>
              <w:top w:val="nil"/>
              <w:left w:val="nil"/>
              <w:bottom w:val="single" w:color="auto" w:sz="4" w:space="0"/>
              <w:right w:val="single" w:color="auto" w:sz="4" w:space="0"/>
            </w:tcBorders>
            <w:vAlign w:val="center"/>
          </w:tcPr>
          <w:p w14:paraId="7F6D3066">
            <w:pPr>
              <w:widowControl/>
              <w:jc w:val="center"/>
              <w:rPr>
                <w:rFonts w:eastAsia="仿宋_GB2312"/>
                <w:kern w:val="0"/>
                <w:sz w:val="20"/>
                <w:szCs w:val="20"/>
              </w:rPr>
            </w:pPr>
            <w:r>
              <w:rPr>
                <w:kern w:val="0"/>
                <w:sz w:val="20"/>
                <w:szCs w:val="20"/>
              </w:rPr>
              <w:t>1</w:t>
            </w:r>
          </w:p>
        </w:tc>
        <w:tc>
          <w:tcPr>
            <w:tcW w:w="2948" w:type="dxa"/>
            <w:tcBorders>
              <w:top w:val="nil"/>
              <w:left w:val="nil"/>
              <w:bottom w:val="single" w:color="auto" w:sz="4" w:space="0"/>
              <w:right w:val="single" w:color="auto" w:sz="4" w:space="0"/>
            </w:tcBorders>
            <w:vAlign w:val="center"/>
          </w:tcPr>
          <w:p w14:paraId="6EB7FFD9">
            <w:pPr>
              <w:widowControl/>
              <w:jc w:val="left"/>
              <w:rPr>
                <w:rFonts w:eastAsia="仿宋_GB2312"/>
                <w:kern w:val="0"/>
                <w:sz w:val="20"/>
                <w:szCs w:val="20"/>
              </w:rPr>
            </w:pPr>
            <w:r>
              <w:rPr>
                <w:rFonts w:hint="eastAsia" w:ascii="仿宋_GB2312"/>
                <w:kern w:val="0"/>
                <w:sz w:val="20"/>
                <w:szCs w:val="20"/>
              </w:rPr>
              <w:t>①</w:t>
            </w:r>
            <w:r>
              <w:rPr>
                <w:rFonts w:hint="eastAsia"/>
                <w:kern w:val="0"/>
                <w:sz w:val="20"/>
                <w:szCs w:val="20"/>
              </w:rPr>
              <w:t>已制定或具有资产管理制度，计</w:t>
            </w:r>
            <w:r>
              <w:rPr>
                <w:kern w:val="0"/>
                <w:sz w:val="20"/>
                <w:szCs w:val="20"/>
              </w:rPr>
              <w:t>0.3</w:t>
            </w:r>
            <w:r>
              <w:rPr>
                <w:rFonts w:hint="eastAsia"/>
                <w:kern w:val="0"/>
                <w:sz w:val="20"/>
                <w:szCs w:val="20"/>
              </w:rPr>
              <w:t>分；②相关资产管理制度是否合法、合规、完整，计</w:t>
            </w:r>
            <w:r>
              <w:rPr>
                <w:kern w:val="0"/>
                <w:sz w:val="20"/>
                <w:szCs w:val="20"/>
              </w:rPr>
              <w:t>0.2</w:t>
            </w:r>
            <w:r>
              <w:rPr>
                <w:rFonts w:hint="eastAsia"/>
                <w:kern w:val="0"/>
                <w:sz w:val="20"/>
                <w:szCs w:val="20"/>
              </w:rPr>
              <w:t>分；</w:t>
            </w:r>
            <w:r>
              <w:rPr>
                <w:rFonts w:eastAsia="仿宋_GB2312"/>
                <w:kern w:val="0"/>
                <w:sz w:val="20"/>
                <w:szCs w:val="20"/>
              </w:rPr>
              <w:br w:type="textWrapping"/>
            </w:r>
            <w:r>
              <w:rPr>
                <w:rFonts w:hint="eastAsia"/>
                <w:kern w:val="0"/>
                <w:sz w:val="20"/>
                <w:szCs w:val="20"/>
              </w:rPr>
              <w:t>③相关资产管理制度是否得到有效执行，</w:t>
            </w:r>
            <w:r>
              <w:rPr>
                <w:kern w:val="0"/>
                <w:sz w:val="20"/>
                <w:szCs w:val="20"/>
              </w:rPr>
              <w:t>0.5</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4584B9F7">
            <w:pPr>
              <w:widowControl/>
              <w:jc w:val="left"/>
              <w:rPr>
                <w:rFonts w:hint="eastAsia" w:eastAsia="仿宋_GB2312"/>
                <w:kern w:val="0"/>
                <w:sz w:val="20"/>
                <w:szCs w:val="20"/>
                <w:lang w:eastAsia="zh-CN"/>
              </w:rPr>
            </w:pPr>
            <w:r>
              <w:rPr>
                <w:rFonts w:hint="eastAsia"/>
                <w:kern w:val="0"/>
                <w:sz w:val="20"/>
                <w:szCs w:val="20"/>
                <w:lang w:eastAsia="zh-CN"/>
              </w:rPr>
              <w:t>管理制度健全性。</w:t>
            </w:r>
          </w:p>
        </w:tc>
        <w:tc>
          <w:tcPr>
            <w:tcW w:w="637" w:type="dxa"/>
            <w:tcBorders>
              <w:top w:val="nil"/>
              <w:left w:val="nil"/>
              <w:bottom w:val="single" w:color="auto" w:sz="4" w:space="0"/>
              <w:right w:val="single" w:color="auto" w:sz="4" w:space="0"/>
            </w:tcBorders>
            <w:vAlign w:val="center"/>
          </w:tcPr>
          <w:p w14:paraId="21CF17F2">
            <w:pPr>
              <w:widowControl/>
              <w:jc w:val="center"/>
              <w:rPr>
                <w:kern w:val="0"/>
                <w:sz w:val="24"/>
              </w:rPr>
            </w:pPr>
            <w:r>
              <w:rPr>
                <w:rFonts w:hint="eastAsia"/>
                <w:kern w:val="0"/>
                <w:sz w:val="24"/>
              </w:rPr>
              <w:t>1</w:t>
            </w:r>
          </w:p>
        </w:tc>
      </w:tr>
      <w:tr w14:paraId="1FEA7A76">
        <w:tblPrEx>
          <w:tblCellMar>
            <w:top w:w="0" w:type="dxa"/>
            <w:left w:w="108" w:type="dxa"/>
            <w:bottom w:w="0" w:type="dxa"/>
            <w:right w:w="108" w:type="dxa"/>
          </w:tblCellMar>
        </w:tblPrEx>
        <w:trPr>
          <w:trHeight w:val="660" w:hRule="atLeast"/>
          <w:jc w:val="center"/>
        </w:trPr>
        <w:tc>
          <w:tcPr>
            <w:tcW w:w="709" w:type="dxa"/>
            <w:vMerge w:val="continue"/>
            <w:tcBorders>
              <w:left w:val="single" w:color="auto" w:sz="4" w:space="0"/>
              <w:right w:val="single" w:color="auto" w:sz="4" w:space="0"/>
            </w:tcBorders>
            <w:vAlign w:val="center"/>
          </w:tcPr>
          <w:p w14:paraId="370E08E3">
            <w:pPr>
              <w:widowControl/>
              <w:jc w:val="left"/>
              <w:rPr>
                <w:rFonts w:eastAsia="仿宋_GB2312"/>
                <w:kern w:val="0"/>
                <w:sz w:val="20"/>
                <w:szCs w:val="20"/>
              </w:rPr>
            </w:pPr>
          </w:p>
        </w:tc>
        <w:tc>
          <w:tcPr>
            <w:tcW w:w="677" w:type="dxa"/>
            <w:vMerge w:val="continue"/>
            <w:tcBorders>
              <w:left w:val="nil"/>
              <w:right w:val="single" w:color="auto" w:sz="4" w:space="0"/>
            </w:tcBorders>
            <w:vAlign w:val="center"/>
          </w:tcPr>
          <w:p w14:paraId="2A45B37B">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12B147C8">
            <w:pPr>
              <w:widowControl/>
              <w:jc w:val="left"/>
              <w:rPr>
                <w:rFonts w:eastAsia="仿宋_GB2312"/>
                <w:kern w:val="0"/>
                <w:sz w:val="20"/>
                <w:szCs w:val="20"/>
              </w:rPr>
            </w:pPr>
            <w:r>
              <w:rPr>
                <w:rFonts w:hint="eastAsia"/>
                <w:kern w:val="0"/>
                <w:sz w:val="20"/>
                <w:szCs w:val="20"/>
              </w:rPr>
              <w:t>资产管理</w:t>
            </w:r>
          </w:p>
          <w:p w14:paraId="2AB4191B">
            <w:pPr>
              <w:widowControl/>
              <w:jc w:val="left"/>
              <w:rPr>
                <w:rFonts w:eastAsia="仿宋_GB2312"/>
                <w:kern w:val="0"/>
                <w:sz w:val="20"/>
                <w:szCs w:val="20"/>
              </w:rPr>
            </w:pPr>
            <w:r>
              <w:rPr>
                <w:rFonts w:hint="eastAsia"/>
                <w:kern w:val="0"/>
                <w:sz w:val="20"/>
                <w:szCs w:val="20"/>
              </w:rPr>
              <w:t>安全性</w:t>
            </w:r>
          </w:p>
        </w:tc>
        <w:tc>
          <w:tcPr>
            <w:tcW w:w="483" w:type="dxa"/>
            <w:tcBorders>
              <w:top w:val="single" w:color="auto" w:sz="4" w:space="0"/>
              <w:left w:val="nil"/>
              <w:bottom w:val="single" w:color="auto" w:sz="4" w:space="0"/>
              <w:right w:val="single" w:color="auto" w:sz="4" w:space="0"/>
            </w:tcBorders>
            <w:vAlign w:val="center"/>
          </w:tcPr>
          <w:p w14:paraId="6554FBC1">
            <w:pPr>
              <w:widowControl/>
              <w:jc w:val="left"/>
              <w:rPr>
                <w:rFonts w:eastAsia="仿宋_GB2312"/>
                <w:kern w:val="0"/>
                <w:sz w:val="20"/>
                <w:szCs w:val="20"/>
              </w:rPr>
            </w:pPr>
            <w:r>
              <w:rPr>
                <w:kern w:val="0"/>
                <w:sz w:val="20"/>
                <w:szCs w:val="20"/>
              </w:rPr>
              <w:t>3</w:t>
            </w:r>
          </w:p>
        </w:tc>
        <w:tc>
          <w:tcPr>
            <w:tcW w:w="2948" w:type="dxa"/>
            <w:tcBorders>
              <w:top w:val="single" w:color="auto" w:sz="4" w:space="0"/>
              <w:left w:val="nil"/>
              <w:bottom w:val="single" w:color="auto" w:sz="4" w:space="0"/>
              <w:right w:val="single" w:color="auto" w:sz="4" w:space="0"/>
            </w:tcBorders>
            <w:vAlign w:val="center"/>
          </w:tcPr>
          <w:p w14:paraId="5E06C90F">
            <w:pPr>
              <w:widowControl/>
              <w:jc w:val="left"/>
              <w:rPr>
                <w:rFonts w:eastAsia="仿宋_GB2312"/>
                <w:kern w:val="0"/>
                <w:sz w:val="20"/>
                <w:szCs w:val="20"/>
              </w:rPr>
            </w:pPr>
            <w:r>
              <w:rPr>
                <w:rFonts w:hint="eastAsia" w:ascii="仿宋_GB2312"/>
                <w:kern w:val="0"/>
                <w:sz w:val="20"/>
                <w:szCs w:val="20"/>
              </w:rPr>
              <w:t>①</w:t>
            </w:r>
            <w:r>
              <w:rPr>
                <w:rFonts w:hint="eastAsia"/>
                <w:kern w:val="0"/>
                <w:sz w:val="20"/>
                <w:szCs w:val="20"/>
              </w:rPr>
              <w:t>资产保存完整，计</w:t>
            </w:r>
            <w:r>
              <w:rPr>
                <w:kern w:val="0"/>
                <w:sz w:val="20"/>
                <w:szCs w:val="20"/>
              </w:rPr>
              <w:t>1</w:t>
            </w:r>
            <w:r>
              <w:rPr>
                <w:rFonts w:hint="eastAsia"/>
                <w:kern w:val="0"/>
                <w:sz w:val="20"/>
                <w:szCs w:val="20"/>
              </w:rPr>
              <w:t>分；</w:t>
            </w:r>
            <w:r>
              <w:rPr>
                <w:rFonts w:eastAsia="仿宋_GB2312"/>
                <w:kern w:val="0"/>
                <w:sz w:val="20"/>
                <w:szCs w:val="20"/>
              </w:rPr>
              <w:br w:type="textWrapping"/>
            </w:r>
            <w:r>
              <w:rPr>
                <w:rFonts w:hint="eastAsia"/>
                <w:kern w:val="0"/>
                <w:sz w:val="20"/>
                <w:szCs w:val="20"/>
              </w:rPr>
              <w:t>②资产配置合理，符合省定标准，计</w:t>
            </w:r>
            <w:r>
              <w:rPr>
                <w:kern w:val="0"/>
                <w:sz w:val="20"/>
                <w:szCs w:val="20"/>
              </w:rPr>
              <w:t>0.5</w:t>
            </w:r>
            <w:r>
              <w:rPr>
                <w:rFonts w:hint="eastAsia"/>
                <w:kern w:val="0"/>
                <w:sz w:val="20"/>
                <w:szCs w:val="20"/>
              </w:rPr>
              <w:t>分；</w:t>
            </w:r>
            <w:r>
              <w:rPr>
                <w:rFonts w:eastAsia="仿宋_GB2312"/>
                <w:kern w:val="0"/>
                <w:sz w:val="20"/>
                <w:szCs w:val="20"/>
              </w:rPr>
              <w:br w:type="textWrapping"/>
            </w:r>
            <w:r>
              <w:rPr>
                <w:rFonts w:hint="eastAsia"/>
                <w:kern w:val="0"/>
                <w:sz w:val="20"/>
                <w:szCs w:val="20"/>
              </w:rPr>
              <w:t>③资产处置规范，计</w:t>
            </w:r>
            <w:r>
              <w:rPr>
                <w:kern w:val="0"/>
                <w:sz w:val="20"/>
                <w:szCs w:val="20"/>
              </w:rPr>
              <w:t>0.5</w:t>
            </w:r>
            <w:r>
              <w:rPr>
                <w:rFonts w:hint="eastAsia"/>
                <w:kern w:val="0"/>
                <w:sz w:val="20"/>
                <w:szCs w:val="20"/>
              </w:rPr>
              <w:t>分；</w:t>
            </w:r>
            <w:r>
              <w:rPr>
                <w:rFonts w:eastAsia="仿宋_GB2312"/>
                <w:kern w:val="0"/>
                <w:sz w:val="20"/>
                <w:szCs w:val="20"/>
              </w:rPr>
              <w:br w:type="textWrapping"/>
            </w:r>
            <w:r>
              <w:rPr>
                <w:rFonts w:hint="eastAsia"/>
                <w:kern w:val="0"/>
                <w:sz w:val="20"/>
                <w:szCs w:val="20"/>
              </w:rPr>
              <w:t>④资产账务管理合规，</w:t>
            </w:r>
            <w:r>
              <w:rPr>
                <w:rFonts w:hint="eastAsia"/>
                <w:kern w:val="0"/>
                <w:sz w:val="20"/>
                <w:szCs w:val="20"/>
                <w:lang w:eastAsia="zh-CN"/>
              </w:rPr>
              <w:t>账实相符</w:t>
            </w:r>
            <w:r>
              <w:rPr>
                <w:rFonts w:hint="eastAsia"/>
                <w:kern w:val="0"/>
                <w:sz w:val="20"/>
                <w:szCs w:val="20"/>
              </w:rPr>
              <w:t>，计</w:t>
            </w:r>
            <w:r>
              <w:rPr>
                <w:kern w:val="0"/>
                <w:sz w:val="20"/>
                <w:szCs w:val="20"/>
              </w:rPr>
              <w:t>0.5</w:t>
            </w:r>
            <w:r>
              <w:rPr>
                <w:rFonts w:hint="eastAsia"/>
                <w:kern w:val="0"/>
                <w:sz w:val="20"/>
                <w:szCs w:val="20"/>
              </w:rPr>
              <w:t>分；</w:t>
            </w:r>
            <w:r>
              <w:rPr>
                <w:rFonts w:eastAsia="仿宋_GB2312"/>
                <w:kern w:val="0"/>
                <w:sz w:val="20"/>
                <w:szCs w:val="20"/>
              </w:rPr>
              <w:br w:type="textWrapping"/>
            </w:r>
            <w:r>
              <w:rPr>
                <w:rFonts w:hint="eastAsia"/>
                <w:kern w:val="0"/>
                <w:sz w:val="20"/>
                <w:szCs w:val="20"/>
              </w:rPr>
              <w:t>⑤资产有偿使用及处置收入及时足额上缴，计</w:t>
            </w:r>
            <w:r>
              <w:rPr>
                <w:kern w:val="0"/>
                <w:sz w:val="20"/>
                <w:szCs w:val="20"/>
              </w:rPr>
              <w:t>0.5</w:t>
            </w:r>
            <w:r>
              <w:rPr>
                <w:rFonts w:hint="eastAsia"/>
                <w:kern w:val="0"/>
                <w:sz w:val="20"/>
                <w:szCs w:val="20"/>
              </w:rPr>
              <w:t>分。</w:t>
            </w:r>
          </w:p>
        </w:tc>
        <w:tc>
          <w:tcPr>
            <w:tcW w:w="3490" w:type="dxa"/>
            <w:tcBorders>
              <w:top w:val="single" w:color="auto" w:sz="4" w:space="0"/>
              <w:left w:val="nil"/>
              <w:bottom w:val="single" w:color="auto" w:sz="4" w:space="0"/>
              <w:right w:val="single" w:color="auto" w:sz="4" w:space="0"/>
            </w:tcBorders>
            <w:vAlign w:val="center"/>
          </w:tcPr>
          <w:p w14:paraId="146705F5">
            <w:pPr>
              <w:widowControl/>
              <w:jc w:val="left"/>
              <w:rPr>
                <w:rFonts w:hint="eastAsia" w:eastAsia="仿宋_GB2312"/>
                <w:kern w:val="0"/>
                <w:sz w:val="20"/>
                <w:szCs w:val="20"/>
                <w:lang w:eastAsia="zh-CN"/>
              </w:rPr>
            </w:pPr>
            <w:r>
              <w:rPr>
                <w:rFonts w:hint="eastAsia"/>
                <w:kern w:val="0"/>
                <w:sz w:val="20"/>
                <w:szCs w:val="20"/>
                <w:lang w:eastAsia="zh-CN"/>
              </w:rPr>
              <w:t>资产管理安全。</w:t>
            </w:r>
          </w:p>
        </w:tc>
        <w:tc>
          <w:tcPr>
            <w:tcW w:w="637" w:type="dxa"/>
            <w:tcBorders>
              <w:top w:val="single" w:color="auto" w:sz="4" w:space="0"/>
              <w:left w:val="nil"/>
              <w:bottom w:val="single" w:color="auto" w:sz="4" w:space="0"/>
              <w:right w:val="single" w:color="auto" w:sz="4" w:space="0"/>
            </w:tcBorders>
            <w:vAlign w:val="center"/>
          </w:tcPr>
          <w:p w14:paraId="1865468B">
            <w:pPr>
              <w:widowControl/>
              <w:jc w:val="center"/>
              <w:rPr>
                <w:kern w:val="0"/>
                <w:sz w:val="24"/>
              </w:rPr>
            </w:pPr>
            <w:r>
              <w:rPr>
                <w:rFonts w:hint="eastAsia"/>
                <w:kern w:val="0"/>
                <w:sz w:val="24"/>
              </w:rPr>
              <w:t>3</w:t>
            </w:r>
          </w:p>
        </w:tc>
      </w:tr>
      <w:tr w14:paraId="47E5F6B4">
        <w:tblPrEx>
          <w:tblCellMar>
            <w:top w:w="0" w:type="dxa"/>
            <w:left w:w="108" w:type="dxa"/>
            <w:bottom w:w="0" w:type="dxa"/>
            <w:right w:w="108" w:type="dxa"/>
          </w:tblCellMar>
        </w:tblPrEx>
        <w:trPr>
          <w:trHeight w:val="660" w:hRule="atLeast"/>
          <w:jc w:val="center"/>
        </w:trPr>
        <w:tc>
          <w:tcPr>
            <w:tcW w:w="709" w:type="dxa"/>
            <w:vMerge w:val="continue"/>
            <w:tcBorders>
              <w:left w:val="single" w:color="auto" w:sz="4" w:space="0"/>
              <w:bottom w:val="single" w:color="auto" w:sz="4" w:space="0"/>
              <w:right w:val="single" w:color="auto" w:sz="4" w:space="0"/>
            </w:tcBorders>
            <w:vAlign w:val="center"/>
          </w:tcPr>
          <w:p w14:paraId="52EC4963">
            <w:pPr>
              <w:widowControl/>
              <w:jc w:val="left"/>
              <w:rPr>
                <w:rFonts w:eastAsia="仿宋_GB2312"/>
                <w:kern w:val="0"/>
                <w:sz w:val="20"/>
                <w:szCs w:val="20"/>
              </w:rPr>
            </w:pPr>
          </w:p>
        </w:tc>
        <w:tc>
          <w:tcPr>
            <w:tcW w:w="677" w:type="dxa"/>
            <w:vMerge w:val="continue"/>
            <w:tcBorders>
              <w:left w:val="nil"/>
              <w:bottom w:val="single" w:color="auto" w:sz="4" w:space="0"/>
              <w:right w:val="single" w:color="auto" w:sz="4" w:space="0"/>
            </w:tcBorders>
            <w:vAlign w:val="center"/>
          </w:tcPr>
          <w:p w14:paraId="00690C42">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180BA207">
            <w:pPr>
              <w:widowControl/>
              <w:jc w:val="left"/>
              <w:rPr>
                <w:rFonts w:eastAsia="仿宋_GB2312"/>
                <w:kern w:val="0"/>
                <w:sz w:val="20"/>
                <w:szCs w:val="20"/>
              </w:rPr>
            </w:pPr>
            <w:r>
              <w:rPr>
                <w:rFonts w:hint="eastAsia"/>
                <w:kern w:val="0"/>
                <w:sz w:val="20"/>
                <w:szCs w:val="20"/>
              </w:rPr>
              <w:t>固定资产</w:t>
            </w:r>
          </w:p>
          <w:p w14:paraId="741AE2C7">
            <w:pPr>
              <w:widowControl/>
              <w:jc w:val="left"/>
              <w:rPr>
                <w:rFonts w:eastAsia="仿宋_GB2312"/>
                <w:kern w:val="0"/>
                <w:sz w:val="20"/>
                <w:szCs w:val="20"/>
              </w:rPr>
            </w:pPr>
            <w:r>
              <w:rPr>
                <w:rFonts w:hint="eastAsia"/>
                <w:kern w:val="0"/>
                <w:sz w:val="20"/>
                <w:szCs w:val="20"/>
              </w:rPr>
              <w:t>利用率</w:t>
            </w:r>
          </w:p>
        </w:tc>
        <w:tc>
          <w:tcPr>
            <w:tcW w:w="483" w:type="dxa"/>
            <w:tcBorders>
              <w:top w:val="single" w:color="auto" w:sz="4" w:space="0"/>
              <w:left w:val="nil"/>
              <w:bottom w:val="single" w:color="auto" w:sz="4" w:space="0"/>
              <w:right w:val="single" w:color="auto" w:sz="4" w:space="0"/>
            </w:tcBorders>
            <w:vAlign w:val="center"/>
          </w:tcPr>
          <w:p w14:paraId="2A718B79">
            <w:pPr>
              <w:widowControl/>
              <w:jc w:val="left"/>
              <w:rPr>
                <w:rFonts w:eastAsia="仿宋_GB2312"/>
                <w:kern w:val="0"/>
                <w:sz w:val="20"/>
                <w:szCs w:val="20"/>
              </w:rPr>
            </w:pPr>
            <w:r>
              <w:rPr>
                <w:kern w:val="0"/>
                <w:sz w:val="20"/>
                <w:szCs w:val="20"/>
              </w:rPr>
              <w:t>1</w:t>
            </w:r>
          </w:p>
        </w:tc>
        <w:tc>
          <w:tcPr>
            <w:tcW w:w="2948" w:type="dxa"/>
            <w:tcBorders>
              <w:top w:val="single" w:color="auto" w:sz="4" w:space="0"/>
              <w:left w:val="nil"/>
              <w:bottom w:val="single" w:color="auto" w:sz="4" w:space="0"/>
              <w:right w:val="single" w:color="auto" w:sz="4" w:space="0"/>
            </w:tcBorders>
            <w:vAlign w:val="center"/>
          </w:tcPr>
          <w:p w14:paraId="076DE9AE">
            <w:pPr>
              <w:widowControl/>
              <w:jc w:val="left"/>
              <w:rPr>
                <w:rFonts w:eastAsia="仿宋_GB2312"/>
                <w:kern w:val="0"/>
                <w:sz w:val="20"/>
                <w:szCs w:val="20"/>
              </w:rPr>
            </w:pPr>
            <w:r>
              <w:rPr>
                <w:rFonts w:hint="eastAsia"/>
                <w:kern w:val="0"/>
                <w:sz w:val="20"/>
                <w:szCs w:val="20"/>
              </w:rPr>
              <w:t>利用率为</w:t>
            </w:r>
            <w:r>
              <w:rPr>
                <w:kern w:val="0"/>
                <w:sz w:val="20"/>
                <w:szCs w:val="20"/>
              </w:rPr>
              <w:t>100%</w:t>
            </w:r>
            <w:r>
              <w:rPr>
                <w:rFonts w:hint="eastAsia"/>
                <w:kern w:val="0"/>
                <w:sz w:val="20"/>
                <w:szCs w:val="20"/>
              </w:rPr>
              <w:t>，计</w:t>
            </w:r>
            <w:r>
              <w:rPr>
                <w:kern w:val="0"/>
                <w:sz w:val="20"/>
                <w:szCs w:val="20"/>
              </w:rPr>
              <w:t>1</w:t>
            </w:r>
            <w:r>
              <w:rPr>
                <w:rFonts w:hint="eastAsia"/>
                <w:kern w:val="0"/>
                <w:sz w:val="20"/>
                <w:szCs w:val="20"/>
              </w:rPr>
              <w:t>分，每减少</w:t>
            </w:r>
            <w:r>
              <w:rPr>
                <w:kern w:val="0"/>
                <w:sz w:val="20"/>
                <w:szCs w:val="20"/>
              </w:rPr>
              <w:t>1%</w:t>
            </w:r>
            <w:r>
              <w:rPr>
                <w:rFonts w:hint="eastAsia"/>
                <w:kern w:val="0"/>
                <w:sz w:val="20"/>
                <w:szCs w:val="20"/>
              </w:rPr>
              <w:t>扣</w:t>
            </w:r>
            <w:r>
              <w:rPr>
                <w:kern w:val="0"/>
                <w:sz w:val="20"/>
                <w:szCs w:val="20"/>
              </w:rPr>
              <w:t>0.2</w:t>
            </w:r>
            <w:r>
              <w:rPr>
                <w:rFonts w:hint="eastAsia"/>
                <w:kern w:val="0"/>
                <w:sz w:val="20"/>
                <w:szCs w:val="20"/>
              </w:rPr>
              <w:t>分，扣完为止。</w:t>
            </w:r>
          </w:p>
        </w:tc>
        <w:tc>
          <w:tcPr>
            <w:tcW w:w="3490" w:type="dxa"/>
            <w:tcBorders>
              <w:top w:val="single" w:color="auto" w:sz="4" w:space="0"/>
              <w:left w:val="nil"/>
              <w:bottom w:val="single" w:color="auto" w:sz="4" w:space="0"/>
              <w:right w:val="single" w:color="auto" w:sz="4" w:space="0"/>
            </w:tcBorders>
            <w:vAlign w:val="center"/>
          </w:tcPr>
          <w:p w14:paraId="7E841227">
            <w:pPr>
              <w:widowControl/>
              <w:jc w:val="left"/>
              <w:rPr>
                <w:rFonts w:eastAsia="仿宋_GB2312"/>
                <w:kern w:val="0"/>
                <w:sz w:val="20"/>
                <w:szCs w:val="20"/>
              </w:rPr>
            </w:pPr>
            <w:r>
              <w:rPr>
                <w:rFonts w:hint="eastAsia"/>
                <w:kern w:val="0"/>
                <w:sz w:val="20"/>
                <w:szCs w:val="20"/>
              </w:rPr>
              <w:t>固定资产利用率</w:t>
            </w:r>
            <w:r>
              <w:rPr>
                <w:kern w:val="0"/>
                <w:sz w:val="20"/>
                <w:szCs w:val="20"/>
              </w:rPr>
              <w:t>=</w:t>
            </w:r>
            <w:r>
              <w:rPr>
                <w:rFonts w:hint="eastAsia"/>
                <w:kern w:val="0"/>
                <w:sz w:val="20"/>
                <w:szCs w:val="20"/>
              </w:rPr>
              <w:t>（实际在用固定资产总额</w:t>
            </w:r>
            <w:r>
              <w:rPr>
                <w:kern w:val="0"/>
                <w:sz w:val="20"/>
                <w:szCs w:val="20"/>
              </w:rPr>
              <w:t>/</w:t>
            </w:r>
            <w:r>
              <w:rPr>
                <w:rFonts w:hint="eastAsia"/>
                <w:kern w:val="0"/>
                <w:sz w:val="20"/>
                <w:szCs w:val="20"/>
              </w:rPr>
              <w:t>所有固定资产总额）</w:t>
            </w:r>
            <w:r>
              <w:rPr>
                <w:kern w:val="0"/>
                <w:sz w:val="20"/>
                <w:szCs w:val="20"/>
              </w:rPr>
              <w:t>×100%</w:t>
            </w:r>
            <w:r>
              <w:rPr>
                <w:rFonts w:hint="eastAsia"/>
                <w:kern w:val="0"/>
                <w:sz w:val="20"/>
                <w:szCs w:val="20"/>
              </w:rPr>
              <w:t>。</w:t>
            </w:r>
          </w:p>
        </w:tc>
        <w:tc>
          <w:tcPr>
            <w:tcW w:w="637" w:type="dxa"/>
            <w:tcBorders>
              <w:top w:val="single" w:color="auto" w:sz="4" w:space="0"/>
              <w:left w:val="nil"/>
              <w:bottom w:val="single" w:color="auto" w:sz="4" w:space="0"/>
              <w:right w:val="single" w:color="auto" w:sz="4" w:space="0"/>
            </w:tcBorders>
            <w:vAlign w:val="center"/>
          </w:tcPr>
          <w:p w14:paraId="066B2115">
            <w:pPr>
              <w:widowControl/>
              <w:jc w:val="center"/>
              <w:rPr>
                <w:kern w:val="0"/>
                <w:sz w:val="24"/>
              </w:rPr>
            </w:pPr>
            <w:r>
              <w:rPr>
                <w:rFonts w:hint="eastAsia"/>
                <w:kern w:val="0"/>
                <w:sz w:val="24"/>
              </w:rPr>
              <w:t>1</w:t>
            </w:r>
          </w:p>
        </w:tc>
      </w:tr>
      <w:tr w14:paraId="372CF1C2">
        <w:tblPrEx>
          <w:tblCellMar>
            <w:top w:w="0" w:type="dxa"/>
            <w:left w:w="108" w:type="dxa"/>
            <w:bottom w:w="0" w:type="dxa"/>
            <w:right w:w="108" w:type="dxa"/>
          </w:tblCellMar>
        </w:tblPrEx>
        <w:trPr>
          <w:trHeight w:val="520" w:hRule="atLeast"/>
          <w:jc w:val="center"/>
        </w:trPr>
        <w:tc>
          <w:tcPr>
            <w:tcW w:w="709" w:type="dxa"/>
            <w:vMerge w:val="restart"/>
            <w:tcBorders>
              <w:top w:val="single" w:color="auto" w:sz="4" w:space="0"/>
              <w:left w:val="single" w:color="auto" w:sz="4" w:space="0"/>
              <w:right w:val="single" w:color="auto" w:sz="4" w:space="0"/>
            </w:tcBorders>
            <w:vAlign w:val="center"/>
          </w:tcPr>
          <w:p w14:paraId="2A305238">
            <w:pPr>
              <w:widowControl/>
              <w:jc w:val="center"/>
              <w:rPr>
                <w:rFonts w:eastAsia="仿宋_GB2312"/>
                <w:kern w:val="0"/>
                <w:sz w:val="20"/>
                <w:szCs w:val="20"/>
              </w:rPr>
            </w:pPr>
            <w:r>
              <w:rPr>
                <w:rFonts w:hint="eastAsia"/>
                <w:kern w:val="0"/>
                <w:sz w:val="20"/>
                <w:szCs w:val="20"/>
              </w:rPr>
              <w:t>产</w:t>
            </w:r>
          </w:p>
          <w:p w14:paraId="40B8D93D">
            <w:pPr>
              <w:widowControl/>
              <w:jc w:val="center"/>
              <w:rPr>
                <w:rFonts w:eastAsia="仿宋_GB2312"/>
                <w:kern w:val="0"/>
                <w:sz w:val="20"/>
                <w:szCs w:val="20"/>
              </w:rPr>
            </w:pPr>
            <w:r>
              <w:rPr>
                <w:rFonts w:hint="eastAsia"/>
                <w:kern w:val="0"/>
                <w:sz w:val="20"/>
                <w:szCs w:val="20"/>
              </w:rPr>
              <w:t>出</w:t>
            </w:r>
          </w:p>
          <w:p w14:paraId="17743F99">
            <w:pPr>
              <w:widowControl/>
              <w:jc w:val="center"/>
              <w:rPr>
                <w:rFonts w:eastAsia="仿宋_GB2312"/>
                <w:kern w:val="0"/>
                <w:sz w:val="20"/>
                <w:szCs w:val="20"/>
              </w:rPr>
            </w:pPr>
          </w:p>
          <w:p w14:paraId="3A76599A">
            <w:pPr>
              <w:widowControl/>
              <w:jc w:val="center"/>
              <w:rPr>
                <w:rFonts w:eastAsia="仿宋_GB2312"/>
                <w:kern w:val="0"/>
                <w:sz w:val="20"/>
                <w:szCs w:val="20"/>
              </w:rPr>
            </w:pPr>
            <w:r>
              <w:rPr>
                <w:kern w:val="0"/>
                <w:sz w:val="20"/>
                <w:szCs w:val="20"/>
              </w:rPr>
              <w:t>30</w:t>
            </w:r>
            <w:r>
              <w:rPr>
                <w:rFonts w:hint="eastAsia"/>
                <w:kern w:val="0"/>
                <w:sz w:val="20"/>
                <w:szCs w:val="20"/>
              </w:rPr>
              <w:t>分</w:t>
            </w:r>
          </w:p>
        </w:tc>
        <w:tc>
          <w:tcPr>
            <w:tcW w:w="677" w:type="dxa"/>
            <w:vMerge w:val="restart"/>
            <w:tcBorders>
              <w:top w:val="single" w:color="auto" w:sz="4" w:space="0"/>
              <w:left w:val="nil"/>
              <w:right w:val="single" w:color="auto" w:sz="4" w:space="0"/>
            </w:tcBorders>
            <w:vAlign w:val="center"/>
          </w:tcPr>
          <w:p w14:paraId="51AA5493">
            <w:pPr>
              <w:widowControl/>
              <w:jc w:val="center"/>
              <w:rPr>
                <w:rFonts w:eastAsia="仿宋_GB2312"/>
                <w:kern w:val="0"/>
                <w:sz w:val="20"/>
                <w:szCs w:val="20"/>
              </w:rPr>
            </w:pPr>
            <w:r>
              <w:rPr>
                <w:rFonts w:hint="eastAsia"/>
                <w:kern w:val="0"/>
                <w:sz w:val="20"/>
                <w:szCs w:val="20"/>
              </w:rPr>
              <w:t>职责履行</w:t>
            </w:r>
          </w:p>
          <w:p w14:paraId="3A2CD11D">
            <w:pPr>
              <w:widowControl/>
              <w:jc w:val="center"/>
              <w:rPr>
                <w:rFonts w:eastAsia="仿宋_GB2312"/>
                <w:kern w:val="0"/>
                <w:sz w:val="20"/>
                <w:szCs w:val="20"/>
              </w:rPr>
            </w:pPr>
          </w:p>
          <w:p w14:paraId="7D8B38AA">
            <w:pPr>
              <w:widowControl/>
              <w:jc w:val="center"/>
              <w:rPr>
                <w:rFonts w:eastAsia="仿宋_GB2312"/>
                <w:kern w:val="0"/>
                <w:sz w:val="20"/>
                <w:szCs w:val="20"/>
              </w:rPr>
            </w:pPr>
            <w:r>
              <w:rPr>
                <w:kern w:val="0"/>
                <w:sz w:val="20"/>
                <w:szCs w:val="20"/>
              </w:rPr>
              <w:t>30</w:t>
            </w:r>
            <w:r>
              <w:rPr>
                <w:rFonts w:hint="eastAsia"/>
                <w:kern w:val="0"/>
                <w:sz w:val="20"/>
                <w:szCs w:val="20"/>
              </w:rPr>
              <w:t>分</w:t>
            </w:r>
          </w:p>
        </w:tc>
        <w:tc>
          <w:tcPr>
            <w:tcW w:w="1014" w:type="dxa"/>
            <w:tcBorders>
              <w:top w:val="nil"/>
              <w:left w:val="nil"/>
              <w:bottom w:val="single" w:color="auto" w:sz="4" w:space="0"/>
              <w:right w:val="single" w:color="auto" w:sz="4" w:space="0"/>
            </w:tcBorders>
            <w:vAlign w:val="center"/>
          </w:tcPr>
          <w:p w14:paraId="632975CF">
            <w:pPr>
              <w:widowControl/>
              <w:jc w:val="left"/>
              <w:rPr>
                <w:rFonts w:eastAsia="仿宋_GB2312"/>
                <w:kern w:val="0"/>
                <w:sz w:val="20"/>
                <w:szCs w:val="20"/>
              </w:rPr>
            </w:pPr>
            <w:r>
              <w:rPr>
                <w:rFonts w:hint="eastAsia"/>
                <w:kern w:val="0"/>
                <w:sz w:val="20"/>
                <w:szCs w:val="20"/>
              </w:rPr>
              <w:t>实际完成率</w:t>
            </w:r>
          </w:p>
        </w:tc>
        <w:tc>
          <w:tcPr>
            <w:tcW w:w="483" w:type="dxa"/>
            <w:tcBorders>
              <w:top w:val="nil"/>
              <w:left w:val="nil"/>
              <w:bottom w:val="single" w:color="auto" w:sz="4" w:space="0"/>
              <w:right w:val="single" w:color="auto" w:sz="4" w:space="0"/>
            </w:tcBorders>
            <w:vAlign w:val="center"/>
          </w:tcPr>
          <w:p w14:paraId="4421A231">
            <w:pPr>
              <w:widowControl/>
              <w:jc w:val="center"/>
              <w:rPr>
                <w:rFonts w:eastAsia="仿宋_GB2312"/>
                <w:kern w:val="0"/>
                <w:sz w:val="20"/>
                <w:szCs w:val="20"/>
              </w:rPr>
            </w:pPr>
            <w:r>
              <w:rPr>
                <w:kern w:val="0"/>
                <w:sz w:val="20"/>
                <w:szCs w:val="20"/>
              </w:rPr>
              <w:t>10</w:t>
            </w:r>
          </w:p>
        </w:tc>
        <w:tc>
          <w:tcPr>
            <w:tcW w:w="2948" w:type="dxa"/>
            <w:tcBorders>
              <w:top w:val="nil"/>
              <w:left w:val="nil"/>
              <w:bottom w:val="single" w:color="auto" w:sz="4" w:space="0"/>
              <w:right w:val="single" w:color="auto" w:sz="4" w:space="0"/>
            </w:tcBorders>
            <w:vAlign w:val="center"/>
          </w:tcPr>
          <w:p w14:paraId="1D9DE632">
            <w:pPr>
              <w:widowControl/>
              <w:jc w:val="left"/>
              <w:rPr>
                <w:rFonts w:eastAsia="仿宋_GB2312"/>
                <w:kern w:val="0"/>
                <w:sz w:val="20"/>
                <w:szCs w:val="20"/>
              </w:rPr>
            </w:pPr>
            <w:r>
              <w:rPr>
                <w:kern w:val="0"/>
                <w:sz w:val="20"/>
                <w:szCs w:val="20"/>
              </w:rPr>
              <w:t>100%</w:t>
            </w:r>
            <w:r>
              <w:rPr>
                <w:rFonts w:hint="eastAsia"/>
                <w:kern w:val="0"/>
                <w:sz w:val="20"/>
                <w:szCs w:val="20"/>
              </w:rPr>
              <w:t>以上（含）计</w:t>
            </w:r>
            <w:r>
              <w:rPr>
                <w:kern w:val="0"/>
                <w:sz w:val="20"/>
                <w:szCs w:val="20"/>
              </w:rPr>
              <w:t>10</w:t>
            </w:r>
            <w:r>
              <w:rPr>
                <w:rFonts w:hint="eastAsia"/>
                <w:kern w:val="0"/>
                <w:sz w:val="20"/>
                <w:szCs w:val="20"/>
              </w:rPr>
              <w:t>分；</w:t>
            </w:r>
            <w:r>
              <w:rPr>
                <w:kern w:val="0"/>
                <w:sz w:val="20"/>
                <w:szCs w:val="20"/>
              </w:rPr>
              <w:t>95%</w:t>
            </w:r>
            <w:r>
              <w:rPr>
                <w:rFonts w:hint="eastAsia"/>
                <w:kern w:val="0"/>
                <w:sz w:val="20"/>
                <w:szCs w:val="20"/>
              </w:rPr>
              <w:t>（含）</w:t>
            </w:r>
            <w:r>
              <w:rPr>
                <w:kern w:val="0"/>
                <w:sz w:val="20"/>
                <w:szCs w:val="20"/>
              </w:rPr>
              <w:t>-99%</w:t>
            </w:r>
            <w:r>
              <w:rPr>
                <w:rFonts w:hint="eastAsia"/>
                <w:kern w:val="0"/>
                <w:sz w:val="20"/>
                <w:szCs w:val="20"/>
              </w:rPr>
              <w:t>，计</w:t>
            </w:r>
            <w:r>
              <w:rPr>
                <w:kern w:val="0"/>
                <w:sz w:val="20"/>
                <w:szCs w:val="20"/>
              </w:rPr>
              <w:t>8</w:t>
            </w:r>
            <w:r>
              <w:rPr>
                <w:rFonts w:hint="eastAsia"/>
                <w:kern w:val="0"/>
                <w:sz w:val="20"/>
                <w:szCs w:val="20"/>
              </w:rPr>
              <w:t>分；</w:t>
            </w:r>
            <w:r>
              <w:rPr>
                <w:rFonts w:eastAsia="仿宋_GB2312"/>
                <w:kern w:val="0"/>
                <w:sz w:val="20"/>
                <w:szCs w:val="20"/>
              </w:rPr>
              <w:br w:type="textWrapping"/>
            </w:r>
            <w:r>
              <w:rPr>
                <w:kern w:val="0"/>
                <w:sz w:val="20"/>
                <w:szCs w:val="20"/>
              </w:rPr>
              <w:t>85%</w:t>
            </w:r>
            <w:r>
              <w:rPr>
                <w:rFonts w:hint="eastAsia"/>
                <w:kern w:val="0"/>
                <w:sz w:val="20"/>
                <w:szCs w:val="20"/>
              </w:rPr>
              <w:t>（含）</w:t>
            </w:r>
            <w:r>
              <w:rPr>
                <w:kern w:val="0"/>
                <w:sz w:val="20"/>
                <w:szCs w:val="20"/>
              </w:rPr>
              <w:t>-95%</w:t>
            </w:r>
            <w:r>
              <w:rPr>
                <w:rFonts w:hint="eastAsia"/>
                <w:kern w:val="0"/>
                <w:sz w:val="20"/>
                <w:szCs w:val="20"/>
              </w:rPr>
              <w:t>，计</w:t>
            </w:r>
            <w:r>
              <w:rPr>
                <w:kern w:val="0"/>
                <w:sz w:val="20"/>
                <w:szCs w:val="20"/>
              </w:rPr>
              <w:t>6</w:t>
            </w:r>
            <w:r>
              <w:rPr>
                <w:rFonts w:hint="eastAsia"/>
                <w:kern w:val="0"/>
                <w:sz w:val="20"/>
                <w:szCs w:val="20"/>
              </w:rPr>
              <w:t>分；</w:t>
            </w:r>
            <w:r>
              <w:rPr>
                <w:rFonts w:eastAsia="仿宋_GB2312"/>
                <w:kern w:val="0"/>
                <w:sz w:val="20"/>
                <w:szCs w:val="20"/>
              </w:rPr>
              <w:br w:type="textWrapping"/>
            </w:r>
            <w:r>
              <w:rPr>
                <w:kern w:val="0"/>
                <w:sz w:val="20"/>
                <w:szCs w:val="20"/>
              </w:rPr>
              <w:t>70%-85%</w:t>
            </w:r>
            <w:r>
              <w:rPr>
                <w:rFonts w:hint="eastAsia"/>
                <w:kern w:val="0"/>
                <w:sz w:val="20"/>
                <w:szCs w:val="20"/>
              </w:rPr>
              <w:t>，计</w:t>
            </w:r>
            <w:r>
              <w:rPr>
                <w:kern w:val="0"/>
                <w:sz w:val="20"/>
                <w:szCs w:val="20"/>
              </w:rPr>
              <w:t>5</w:t>
            </w:r>
            <w:r>
              <w:rPr>
                <w:rFonts w:hint="eastAsia"/>
                <w:kern w:val="0"/>
                <w:sz w:val="20"/>
                <w:szCs w:val="20"/>
              </w:rPr>
              <w:t>分；低于</w:t>
            </w:r>
            <w:r>
              <w:rPr>
                <w:kern w:val="0"/>
                <w:sz w:val="20"/>
                <w:szCs w:val="20"/>
              </w:rPr>
              <w:t>70%</w:t>
            </w:r>
            <w:r>
              <w:rPr>
                <w:rFonts w:hint="eastAsia"/>
                <w:kern w:val="0"/>
                <w:sz w:val="20"/>
                <w:szCs w:val="20"/>
              </w:rPr>
              <w:t>计</w:t>
            </w:r>
            <w:r>
              <w:rPr>
                <w:kern w:val="0"/>
                <w:sz w:val="20"/>
                <w:szCs w:val="20"/>
              </w:rPr>
              <w:t>0</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0C569F22">
            <w:pPr>
              <w:widowControl/>
              <w:jc w:val="left"/>
              <w:rPr>
                <w:rFonts w:eastAsia="仿宋_GB2312"/>
                <w:kern w:val="0"/>
                <w:sz w:val="20"/>
                <w:szCs w:val="20"/>
              </w:rPr>
            </w:pPr>
            <w:r>
              <w:rPr>
                <w:rFonts w:hint="eastAsia"/>
                <w:kern w:val="0"/>
                <w:sz w:val="20"/>
                <w:szCs w:val="20"/>
              </w:rPr>
              <w:t>实际完成率</w:t>
            </w:r>
            <w:r>
              <w:rPr>
                <w:kern w:val="0"/>
                <w:sz w:val="20"/>
                <w:szCs w:val="20"/>
              </w:rPr>
              <w:t>=</w:t>
            </w:r>
            <w:r>
              <w:rPr>
                <w:rFonts w:hint="eastAsia"/>
                <w:kern w:val="0"/>
                <w:sz w:val="20"/>
                <w:szCs w:val="20"/>
              </w:rPr>
              <w:t>（实际完成工作数</w:t>
            </w:r>
            <w:r>
              <w:rPr>
                <w:kern w:val="0"/>
                <w:sz w:val="20"/>
                <w:szCs w:val="20"/>
              </w:rPr>
              <w:t>/</w:t>
            </w:r>
            <w:r>
              <w:rPr>
                <w:rFonts w:hint="eastAsia"/>
                <w:kern w:val="0"/>
                <w:sz w:val="20"/>
                <w:szCs w:val="20"/>
              </w:rPr>
              <w:t>计划工作数）</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实际完成工作数：一定时期（年度或规划期）内部门实际完成工作任务的数量。</w:t>
            </w:r>
            <w:r>
              <w:rPr>
                <w:rFonts w:eastAsia="仿宋_GB2312"/>
                <w:kern w:val="0"/>
                <w:sz w:val="20"/>
                <w:szCs w:val="20"/>
              </w:rPr>
              <w:br w:type="textWrapping"/>
            </w:r>
            <w:r>
              <w:rPr>
                <w:rFonts w:hint="eastAsia"/>
                <w:kern w:val="0"/>
                <w:sz w:val="20"/>
                <w:szCs w:val="20"/>
              </w:rPr>
              <w:t>计划工作数：部门整体绩效目标确定的一定时期（年度或规划期）内预计完成工作任务的数量。</w:t>
            </w:r>
          </w:p>
        </w:tc>
        <w:tc>
          <w:tcPr>
            <w:tcW w:w="637" w:type="dxa"/>
            <w:tcBorders>
              <w:top w:val="nil"/>
              <w:left w:val="nil"/>
              <w:bottom w:val="single" w:color="auto" w:sz="4" w:space="0"/>
              <w:right w:val="single" w:color="auto" w:sz="4" w:space="0"/>
            </w:tcBorders>
            <w:vAlign w:val="center"/>
          </w:tcPr>
          <w:p w14:paraId="0E7BD49E">
            <w:pPr>
              <w:widowControl/>
              <w:jc w:val="center"/>
              <w:rPr>
                <w:kern w:val="0"/>
                <w:sz w:val="24"/>
              </w:rPr>
            </w:pPr>
            <w:r>
              <w:rPr>
                <w:rFonts w:hint="eastAsia"/>
                <w:kern w:val="0"/>
                <w:sz w:val="24"/>
              </w:rPr>
              <w:t>8</w:t>
            </w:r>
          </w:p>
        </w:tc>
      </w:tr>
      <w:tr w14:paraId="7ED9AFF5">
        <w:tblPrEx>
          <w:tblCellMar>
            <w:top w:w="0" w:type="dxa"/>
            <w:left w:w="108" w:type="dxa"/>
            <w:bottom w:w="0" w:type="dxa"/>
            <w:right w:w="108" w:type="dxa"/>
          </w:tblCellMar>
        </w:tblPrEx>
        <w:trPr>
          <w:trHeight w:val="520" w:hRule="atLeast"/>
          <w:jc w:val="center"/>
        </w:trPr>
        <w:tc>
          <w:tcPr>
            <w:tcW w:w="709" w:type="dxa"/>
            <w:vMerge w:val="continue"/>
            <w:tcBorders>
              <w:left w:val="single" w:color="auto" w:sz="4" w:space="0"/>
              <w:right w:val="single" w:color="auto" w:sz="4" w:space="0"/>
            </w:tcBorders>
            <w:vAlign w:val="center"/>
          </w:tcPr>
          <w:p w14:paraId="5C65E9E7">
            <w:pPr>
              <w:widowControl/>
              <w:jc w:val="center"/>
              <w:rPr>
                <w:rFonts w:eastAsia="仿宋_GB2312"/>
                <w:kern w:val="0"/>
                <w:sz w:val="20"/>
                <w:szCs w:val="20"/>
              </w:rPr>
            </w:pPr>
          </w:p>
        </w:tc>
        <w:tc>
          <w:tcPr>
            <w:tcW w:w="677" w:type="dxa"/>
            <w:vMerge w:val="continue"/>
            <w:tcBorders>
              <w:left w:val="nil"/>
              <w:right w:val="single" w:color="auto" w:sz="4" w:space="0"/>
            </w:tcBorders>
            <w:vAlign w:val="center"/>
          </w:tcPr>
          <w:p w14:paraId="53896D89">
            <w:pPr>
              <w:widowControl/>
              <w:jc w:val="center"/>
              <w:rPr>
                <w:rFonts w:eastAsia="仿宋_GB2312"/>
                <w:kern w:val="0"/>
                <w:sz w:val="20"/>
                <w:szCs w:val="20"/>
              </w:rPr>
            </w:pPr>
          </w:p>
        </w:tc>
        <w:tc>
          <w:tcPr>
            <w:tcW w:w="1014" w:type="dxa"/>
            <w:tcBorders>
              <w:top w:val="single" w:color="auto" w:sz="4" w:space="0"/>
              <w:left w:val="nil"/>
              <w:bottom w:val="single" w:color="auto" w:sz="4" w:space="0"/>
              <w:right w:val="single" w:color="auto" w:sz="4" w:space="0"/>
            </w:tcBorders>
            <w:vAlign w:val="center"/>
          </w:tcPr>
          <w:p w14:paraId="493720DA">
            <w:pPr>
              <w:widowControl/>
              <w:jc w:val="left"/>
              <w:rPr>
                <w:rFonts w:eastAsia="仿宋_GB2312"/>
                <w:kern w:val="0"/>
                <w:sz w:val="20"/>
                <w:szCs w:val="20"/>
              </w:rPr>
            </w:pPr>
            <w:r>
              <w:rPr>
                <w:rFonts w:hint="eastAsia"/>
                <w:kern w:val="0"/>
                <w:sz w:val="20"/>
                <w:szCs w:val="20"/>
              </w:rPr>
              <w:t>完成及时率</w:t>
            </w:r>
          </w:p>
        </w:tc>
        <w:tc>
          <w:tcPr>
            <w:tcW w:w="483" w:type="dxa"/>
            <w:tcBorders>
              <w:top w:val="single" w:color="auto" w:sz="4" w:space="0"/>
              <w:left w:val="nil"/>
              <w:bottom w:val="single" w:color="auto" w:sz="4" w:space="0"/>
              <w:right w:val="single" w:color="auto" w:sz="4" w:space="0"/>
            </w:tcBorders>
            <w:vAlign w:val="center"/>
          </w:tcPr>
          <w:p w14:paraId="418FC4A8">
            <w:pPr>
              <w:widowControl/>
              <w:jc w:val="center"/>
              <w:rPr>
                <w:rFonts w:eastAsia="仿宋_GB2312"/>
                <w:kern w:val="0"/>
                <w:sz w:val="20"/>
                <w:szCs w:val="20"/>
              </w:rPr>
            </w:pPr>
            <w:r>
              <w:rPr>
                <w:kern w:val="0"/>
                <w:sz w:val="20"/>
                <w:szCs w:val="20"/>
              </w:rPr>
              <w:t>6</w:t>
            </w:r>
          </w:p>
        </w:tc>
        <w:tc>
          <w:tcPr>
            <w:tcW w:w="2948" w:type="dxa"/>
            <w:tcBorders>
              <w:top w:val="single" w:color="auto" w:sz="4" w:space="0"/>
              <w:left w:val="nil"/>
              <w:bottom w:val="single" w:color="auto" w:sz="4" w:space="0"/>
              <w:right w:val="single" w:color="auto" w:sz="4" w:space="0"/>
            </w:tcBorders>
            <w:vAlign w:val="center"/>
          </w:tcPr>
          <w:p w14:paraId="132E0A7F">
            <w:pPr>
              <w:widowControl/>
              <w:jc w:val="left"/>
              <w:rPr>
                <w:rFonts w:eastAsia="仿宋_GB2312"/>
                <w:kern w:val="0"/>
                <w:sz w:val="20"/>
                <w:szCs w:val="20"/>
              </w:rPr>
            </w:pPr>
            <w:r>
              <w:rPr>
                <w:kern w:val="0"/>
                <w:sz w:val="20"/>
                <w:szCs w:val="20"/>
              </w:rPr>
              <w:t>100%</w:t>
            </w:r>
            <w:r>
              <w:rPr>
                <w:rFonts w:hint="eastAsia"/>
                <w:kern w:val="0"/>
                <w:sz w:val="20"/>
                <w:szCs w:val="20"/>
              </w:rPr>
              <w:t>以上（含）计</w:t>
            </w:r>
            <w:r>
              <w:rPr>
                <w:kern w:val="0"/>
                <w:sz w:val="20"/>
                <w:szCs w:val="20"/>
              </w:rPr>
              <w:t>6</w:t>
            </w:r>
            <w:r>
              <w:rPr>
                <w:rFonts w:hint="eastAsia"/>
                <w:kern w:val="0"/>
                <w:sz w:val="20"/>
                <w:szCs w:val="20"/>
              </w:rPr>
              <w:t>分；</w:t>
            </w:r>
            <w:r>
              <w:rPr>
                <w:kern w:val="0"/>
                <w:sz w:val="20"/>
                <w:szCs w:val="20"/>
              </w:rPr>
              <w:t xml:space="preserve"> 80%</w:t>
            </w:r>
            <w:r>
              <w:rPr>
                <w:rFonts w:hint="eastAsia"/>
                <w:kern w:val="0"/>
                <w:sz w:val="20"/>
                <w:szCs w:val="20"/>
              </w:rPr>
              <w:t>（含）</w:t>
            </w:r>
            <w:r>
              <w:rPr>
                <w:kern w:val="0"/>
                <w:sz w:val="20"/>
                <w:szCs w:val="20"/>
              </w:rPr>
              <w:t>-99%</w:t>
            </w:r>
            <w:r>
              <w:rPr>
                <w:rFonts w:hint="eastAsia"/>
                <w:kern w:val="0"/>
                <w:sz w:val="20"/>
                <w:szCs w:val="20"/>
              </w:rPr>
              <w:t>，计</w:t>
            </w:r>
            <w:r>
              <w:rPr>
                <w:kern w:val="0"/>
                <w:sz w:val="20"/>
                <w:szCs w:val="20"/>
              </w:rPr>
              <w:t>4</w:t>
            </w:r>
            <w:r>
              <w:rPr>
                <w:rFonts w:hint="eastAsia"/>
                <w:kern w:val="0"/>
                <w:sz w:val="20"/>
                <w:szCs w:val="20"/>
              </w:rPr>
              <w:t>分；</w:t>
            </w:r>
            <w:r>
              <w:rPr>
                <w:rFonts w:eastAsia="仿宋_GB2312"/>
                <w:kern w:val="0"/>
                <w:sz w:val="20"/>
                <w:szCs w:val="20"/>
              </w:rPr>
              <w:br w:type="textWrapping"/>
            </w:r>
            <w:r>
              <w:rPr>
                <w:kern w:val="0"/>
                <w:sz w:val="20"/>
                <w:szCs w:val="20"/>
              </w:rPr>
              <w:t>70%</w:t>
            </w:r>
            <w:r>
              <w:rPr>
                <w:rFonts w:hint="eastAsia"/>
                <w:kern w:val="0"/>
                <w:sz w:val="20"/>
                <w:szCs w:val="20"/>
              </w:rPr>
              <w:t>（含）</w:t>
            </w:r>
            <w:r>
              <w:rPr>
                <w:kern w:val="0"/>
                <w:sz w:val="20"/>
                <w:szCs w:val="20"/>
              </w:rPr>
              <w:t>-80%</w:t>
            </w:r>
            <w:r>
              <w:rPr>
                <w:rFonts w:hint="eastAsia"/>
                <w:kern w:val="0"/>
                <w:sz w:val="20"/>
                <w:szCs w:val="20"/>
              </w:rPr>
              <w:t>，计</w:t>
            </w:r>
            <w:r>
              <w:rPr>
                <w:kern w:val="0"/>
                <w:sz w:val="20"/>
                <w:szCs w:val="20"/>
              </w:rPr>
              <w:t>2</w:t>
            </w:r>
            <w:r>
              <w:rPr>
                <w:rFonts w:hint="eastAsia"/>
                <w:kern w:val="0"/>
                <w:sz w:val="20"/>
                <w:szCs w:val="20"/>
              </w:rPr>
              <w:t>分；</w:t>
            </w:r>
            <w:r>
              <w:rPr>
                <w:rFonts w:eastAsia="仿宋_GB2312"/>
                <w:kern w:val="0"/>
                <w:sz w:val="20"/>
                <w:szCs w:val="20"/>
              </w:rPr>
              <w:br w:type="textWrapping"/>
            </w:r>
            <w:r>
              <w:rPr>
                <w:rFonts w:hint="eastAsia"/>
                <w:kern w:val="0"/>
                <w:sz w:val="20"/>
                <w:szCs w:val="20"/>
              </w:rPr>
              <w:t>低于</w:t>
            </w:r>
            <w:r>
              <w:rPr>
                <w:kern w:val="0"/>
                <w:sz w:val="20"/>
                <w:szCs w:val="20"/>
              </w:rPr>
              <w:t>70%</w:t>
            </w:r>
            <w:r>
              <w:rPr>
                <w:rFonts w:hint="eastAsia"/>
                <w:kern w:val="0"/>
                <w:sz w:val="20"/>
                <w:szCs w:val="20"/>
              </w:rPr>
              <w:t>计</w:t>
            </w:r>
            <w:r>
              <w:rPr>
                <w:kern w:val="0"/>
                <w:sz w:val="20"/>
                <w:szCs w:val="20"/>
              </w:rPr>
              <w:t>0</w:t>
            </w:r>
            <w:r>
              <w:rPr>
                <w:rFonts w:hint="eastAsia"/>
                <w:kern w:val="0"/>
                <w:sz w:val="20"/>
                <w:szCs w:val="20"/>
              </w:rPr>
              <w:t>分。</w:t>
            </w:r>
          </w:p>
        </w:tc>
        <w:tc>
          <w:tcPr>
            <w:tcW w:w="3490" w:type="dxa"/>
            <w:tcBorders>
              <w:top w:val="single" w:color="auto" w:sz="4" w:space="0"/>
              <w:left w:val="nil"/>
              <w:bottom w:val="single" w:color="auto" w:sz="4" w:space="0"/>
              <w:right w:val="single" w:color="auto" w:sz="4" w:space="0"/>
            </w:tcBorders>
            <w:vAlign w:val="center"/>
          </w:tcPr>
          <w:p w14:paraId="0C09F2F5">
            <w:pPr>
              <w:widowControl/>
              <w:jc w:val="left"/>
              <w:rPr>
                <w:rFonts w:eastAsia="仿宋_GB2312"/>
                <w:kern w:val="0"/>
                <w:sz w:val="20"/>
                <w:szCs w:val="20"/>
              </w:rPr>
            </w:pPr>
            <w:r>
              <w:rPr>
                <w:rFonts w:hint="eastAsia"/>
                <w:kern w:val="0"/>
                <w:sz w:val="20"/>
                <w:szCs w:val="20"/>
              </w:rPr>
              <w:t>完成及时率</w:t>
            </w:r>
            <w:r>
              <w:rPr>
                <w:kern w:val="0"/>
                <w:sz w:val="20"/>
                <w:szCs w:val="20"/>
              </w:rPr>
              <w:t>=</w:t>
            </w:r>
            <w:r>
              <w:rPr>
                <w:rFonts w:hint="eastAsia"/>
                <w:kern w:val="0"/>
                <w:sz w:val="20"/>
                <w:szCs w:val="20"/>
              </w:rPr>
              <w:t>（及时完成实际工作数</w:t>
            </w:r>
            <w:r>
              <w:rPr>
                <w:kern w:val="0"/>
                <w:sz w:val="20"/>
                <w:szCs w:val="20"/>
              </w:rPr>
              <w:t>/</w:t>
            </w:r>
            <w:r>
              <w:rPr>
                <w:rFonts w:hint="eastAsia"/>
                <w:kern w:val="0"/>
                <w:sz w:val="20"/>
                <w:szCs w:val="20"/>
              </w:rPr>
              <w:t>计划工作数）</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及时完成实际工作数：部门按照整体绩效目标确定的时限实际完成的工作任务数量。</w:t>
            </w:r>
          </w:p>
        </w:tc>
        <w:tc>
          <w:tcPr>
            <w:tcW w:w="637" w:type="dxa"/>
            <w:tcBorders>
              <w:top w:val="single" w:color="auto" w:sz="4" w:space="0"/>
              <w:left w:val="nil"/>
              <w:bottom w:val="single" w:color="auto" w:sz="4" w:space="0"/>
              <w:right w:val="single" w:color="auto" w:sz="4" w:space="0"/>
            </w:tcBorders>
            <w:vAlign w:val="center"/>
          </w:tcPr>
          <w:p w14:paraId="54A54862">
            <w:pPr>
              <w:widowControl/>
              <w:jc w:val="center"/>
              <w:rPr>
                <w:kern w:val="0"/>
                <w:sz w:val="24"/>
              </w:rPr>
            </w:pPr>
            <w:r>
              <w:rPr>
                <w:rFonts w:hint="eastAsia"/>
                <w:kern w:val="0"/>
                <w:sz w:val="24"/>
              </w:rPr>
              <w:t>4</w:t>
            </w:r>
          </w:p>
        </w:tc>
      </w:tr>
      <w:tr w14:paraId="5D0DE096">
        <w:tblPrEx>
          <w:tblCellMar>
            <w:top w:w="0" w:type="dxa"/>
            <w:left w:w="108" w:type="dxa"/>
            <w:bottom w:w="0" w:type="dxa"/>
            <w:right w:w="108" w:type="dxa"/>
          </w:tblCellMar>
        </w:tblPrEx>
        <w:trPr>
          <w:trHeight w:val="520" w:hRule="atLeast"/>
          <w:jc w:val="center"/>
        </w:trPr>
        <w:tc>
          <w:tcPr>
            <w:tcW w:w="709" w:type="dxa"/>
            <w:vMerge w:val="continue"/>
            <w:tcBorders>
              <w:left w:val="single" w:color="auto" w:sz="4" w:space="0"/>
              <w:bottom w:val="single" w:color="auto" w:sz="4" w:space="0"/>
              <w:right w:val="single" w:color="auto" w:sz="4" w:space="0"/>
            </w:tcBorders>
            <w:vAlign w:val="center"/>
          </w:tcPr>
          <w:p w14:paraId="074CB0CA">
            <w:pPr>
              <w:widowControl/>
              <w:jc w:val="center"/>
              <w:rPr>
                <w:rFonts w:eastAsia="仿宋_GB2312"/>
                <w:kern w:val="0"/>
                <w:sz w:val="20"/>
                <w:szCs w:val="20"/>
              </w:rPr>
            </w:pPr>
          </w:p>
        </w:tc>
        <w:tc>
          <w:tcPr>
            <w:tcW w:w="677" w:type="dxa"/>
            <w:vMerge w:val="continue"/>
            <w:tcBorders>
              <w:left w:val="nil"/>
              <w:bottom w:val="single" w:color="auto" w:sz="4" w:space="0"/>
              <w:right w:val="single" w:color="auto" w:sz="4" w:space="0"/>
            </w:tcBorders>
            <w:vAlign w:val="center"/>
          </w:tcPr>
          <w:p w14:paraId="7C6C43E8">
            <w:pPr>
              <w:widowControl/>
              <w:jc w:val="center"/>
              <w:rPr>
                <w:rFonts w:eastAsia="仿宋_GB2312"/>
                <w:kern w:val="0"/>
                <w:sz w:val="20"/>
                <w:szCs w:val="20"/>
              </w:rPr>
            </w:pPr>
          </w:p>
        </w:tc>
        <w:tc>
          <w:tcPr>
            <w:tcW w:w="1014" w:type="dxa"/>
            <w:tcBorders>
              <w:top w:val="single" w:color="auto" w:sz="4" w:space="0"/>
              <w:left w:val="nil"/>
              <w:bottom w:val="single" w:color="auto" w:sz="4" w:space="0"/>
              <w:right w:val="single" w:color="auto" w:sz="4" w:space="0"/>
            </w:tcBorders>
            <w:vAlign w:val="center"/>
          </w:tcPr>
          <w:p w14:paraId="42CD5CAD">
            <w:pPr>
              <w:widowControl/>
              <w:jc w:val="left"/>
              <w:rPr>
                <w:rFonts w:eastAsia="仿宋_GB2312"/>
                <w:kern w:val="0"/>
                <w:sz w:val="20"/>
                <w:szCs w:val="20"/>
              </w:rPr>
            </w:pPr>
            <w:r>
              <w:rPr>
                <w:rFonts w:hint="eastAsia"/>
                <w:kern w:val="0"/>
                <w:sz w:val="20"/>
                <w:szCs w:val="20"/>
              </w:rPr>
              <w:t>品质达标率</w:t>
            </w:r>
          </w:p>
        </w:tc>
        <w:tc>
          <w:tcPr>
            <w:tcW w:w="483" w:type="dxa"/>
            <w:tcBorders>
              <w:top w:val="single" w:color="auto" w:sz="4" w:space="0"/>
              <w:left w:val="nil"/>
              <w:bottom w:val="single" w:color="auto" w:sz="4" w:space="0"/>
              <w:right w:val="single" w:color="auto" w:sz="4" w:space="0"/>
            </w:tcBorders>
            <w:vAlign w:val="center"/>
          </w:tcPr>
          <w:p w14:paraId="3CE3714F">
            <w:pPr>
              <w:widowControl/>
              <w:jc w:val="center"/>
              <w:rPr>
                <w:rFonts w:eastAsia="仿宋_GB2312"/>
                <w:kern w:val="0"/>
                <w:sz w:val="20"/>
                <w:szCs w:val="20"/>
              </w:rPr>
            </w:pPr>
            <w:r>
              <w:rPr>
                <w:kern w:val="0"/>
                <w:sz w:val="20"/>
                <w:szCs w:val="20"/>
              </w:rPr>
              <w:t>6</w:t>
            </w:r>
          </w:p>
        </w:tc>
        <w:tc>
          <w:tcPr>
            <w:tcW w:w="2948" w:type="dxa"/>
            <w:tcBorders>
              <w:top w:val="single" w:color="auto" w:sz="4" w:space="0"/>
              <w:left w:val="nil"/>
              <w:bottom w:val="single" w:color="auto" w:sz="4" w:space="0"/>
              <w:right w:val="single" w:color="auto" w:sz="4" w:space="0"/>
            </w:tcBorders>
            <w:vAlign w:val="center"/>
          </w:tcPr>
          <w:p w14:paraId="37972EA3">
            <w:pPr>
              <w:widowControl/>
              <w:jc w:val="left"/>
              <w:rPr>
                <w:rFonts w:eastAsia="仿宋_GB2312"/>
                <w:kern w:val="0"/>
                <w:sz w:val="20"/>
                <w:szCs w:val="20"/>
              </w:rPr>
            </w:pPr>
            <w:r>
              <w:rPr>
                <w:kern w:val="0"/>
                <w:sz w:val="20"/>
                <w:szCs w:val="20"/>
              </w:rPr>
              <w:t>100%</w:t>
            </w:r>
            <w:r>
              <w:rPr>
                <w:rFonts w:hint="eastAsia"/>
                <w:kern w:val="0"/>
                <w:sz w:val="20"/>
                <w:szCs w:val="20"/>
              </w:rPr>
              <w:t>以上（含）计</w:t>
            </w:r>
            <w:r>
              <w:rPr>
                <w:kern w:val="0"/>
                <w:sz w:val="20"/>
                <w:szCs w:val="20"/>
              </w:rPr>
              <w:t>6</w:t>
            </w:r>
            <w:r>
              <w:rPr>
                <w:rFonts w:hint="eastAsia"/>
                <w:kern w:val="0"/>
                <w:sz w:val="20"/>
                <w:szCs w:val="20"/>
              </w:rPr>
              <w:t>分；</w:t>
            </w:r>
            <w:r>
              <w:rPr>
                <w:kern w:val="0"/>
                <w:sz w:val="20"/>
                <w:szCs w:val="20"/>
              </w:rPr>
              <w:t xml:space="preserve"> 80%</w:t>
            </w:r>
            <w:r>
              <w:rPr>
                <w:rFonts w:hint="eastAsia"/>
                <w:kern w:val="0"/>
                <w:sz w:val="20"/>
                <w:szCs w:val="20"/>
              </w:rPr>
              <w:t>（含）</w:t>
            </w:r>
            <w:r>
              <w:rPr>
                <w:kern w:val="0"/>
                <w:sz w:val="20"/>
                <w:szCs w:val="20"/>
              </w:rPr>
              <w:t>-99%</w:t>
            </w:r>
            <w:r>
              <w:rPr>
                <w:rFonts w:hint="eastAsia"/>
                <w:kern w:val="0"/>
                <w:sz w:val="20"/>
                <w:szCs w:val="20"/>
              </w:rPr>
              <w:t>，计</w:t>
            </w:r>
            <w:r>
              <w:rPr>
                <w:kern w:val="0"/>
                <w:sz w:val="20"/>
                <w:szCs w:val="20"/>
              </w:rPr>
              <w:t>4</w:t>
            </w:r>
            <w:r>
              <w:rPr>
                <w:rFonts w:hint="eastAsia"/>
                <w:kern w:val="0"/>
                <w:sz w:val="20"/>
                <w:szCs w:val="20"/>
              </w:rPr>
              <w:t>分；</w:t>
            </w:r>
            <w:r>
              <w:rPr>
                <w:rFonts w:eastAsia="仿宋_GB2312"/>
                <w:kern w:val="0"/>
                <w:sz w:val="20"/>
                <w:szCs w:val="20"/>
              </w:rPr>
              <w:br w:type="textWrapping"/>
            </w:r>
            <w:r>
              <w:rPr>
                <w:kern w:val="0"/>
                <w:sz w:val="20"/>
                <w:szCs w:val="20"/>
              </w:rPr>
              <w:t>70%</w:t>
            </w:r>
            <w:r>
              <w:rPr>
                <w:rFonts w:hint="eastAsia"/>
                <w:kern w:val="0"/>
                <w:sz w:val="20"/>
                <w:szCs w:val="20"/>
              </w:rPr>
              <w:t>（含）</w:t>
            </w:r>
            <w:r>
              <w:rPr>
                <w:kern w:val="0"/>
                <w:sz w:val="20"/>
                <w:szCs w:val="20"/>
              </w:rPr>
              <w:t>-80%</w:t>
            </w:r>
            <w:r>
              <w:rPr>
                <w:rFonts w:hint="eastAsia"/>
                <w:kern w:val="0"/>
                <w:sz w:val="20"/>
                <w:szCs w:val="20"/>
              </w:rPr>
              <w:t>，计</w:t>
            </w:r>
            <w:r>
              <w:rPr>
                <w:kern w:val="0"/>
                <w:sz w:val="20"/>
                <w:szCs w:val="20"/>
              </w:rPr>
              <w:t>2</w:t>
            </w:r>
            <w:r>
              <w:rPr>
                <w:rFonts w:hint="eastAsia"/>
                <w:kern w:val="0"/>
                <w:sz w:val="20"/>
                <w:szCs w:val="20"/>
              </w:rPr>
              <w:t>分；</w:t>
            </w:r>
            <w:r>
              <w:rPr>
                <w:rFonts w:eastAsia="仿宋_GB2312"/>
                <w:kern w:val="0"/>
                <w:sz w:val="20"/>
                <w:szCs w:val="20"/>
              </w:rPr>
              <w:br w:type="textWrapping"/>
            </w:r>
            <w:r>
              <w:rPr>
                <w:rFonts w:hint="eastAsia"/>
                <w:kern w:val="0"/>
                <w:sz w:val="20"/>
                <w:szCs w:val="20"/>
              </w:rPr>
              <w:t>低于</w:t>
            </w:r>
            <w:r>
              <w:rPr>
                <w:kern w:val="0"/>
                <w:sz w:val="20"/>
                <w:szCs w:val="20"/>
              </w:rPr>
              <w:t>70%</w:t>
            </w:r>
            <w:r>
              <w:rPr>
                <w:rFonts w:hint="eastAsia"/>
                <w:kern w:val="0"/>
                <w:sz w:val="20"/>
                <w:szCs w:val="20"/>
              </w:rPr>
              <w:t>计</w:t>
            </w:r>
            <w:r>
              <w:rPr>
                <w:kern w:val="0"/>
                <w:sz w:val="20"/>
                <w:szCs w:val="20"/>
              </w:rPr>
              <w:t>0</w:t>
            </w:r>
            <w:r>
              <w:rPr>
                <w:rFonts w:hint="eastAsia"/>
                <w:kern w:val="0"/>
                <w:sz w:val="20"/>
                <w:szCs w:val="20"/>
              </w:rPr>
              <w:t>分。</w:t>
            </w:r>
          </w:p>
        </w:tc>
        <w:tc>
          <w:tcPr>
            <w:tcW w:w="3490" w:type="dxa"/>
            <w:tcBorders>
              <w:top w:val="single" w:color="auto" w:sz="4" w:space="0"/>
              <w:left w:val="nil"/>
              <w:bottom w:val="single" w:color="auto" w:sz="4" w:space="0"/>
              <w:right w:val="single" w:color="auto" w:sz="4" w:space="0"/>
            </w:tcBorders>
            <w:vAlign w:val="center"/>
          </w:tcPr>
          <w:p w14:paraId="491EF6DC">
            <w:pPr>
              <w:widowControl/>
              <w:jc w:val="left"/>
              <w:rPr>
                <w:rFonts w:eastAsia="仿宋_GB2312"/>
                <w:kern w:val="0"/>
                <w:sz w:val="20"/>
                <w:szCs w:val="20"/>
              </w:rPr>
            </w:pPr>
            <w:r>
              <w:rPr>
                <w:rFonts w:hint="eastAsia"/>
                <w:kern w:val="0"/>
                <w:sz w:val="20"/>
                <w:szCs w:val="20"/>
              </w:rPr>
              <w:t>质量达标率</w:t>
            </w:r>
            <w:r>
              <w:rPr>
                <w:kern w:val="0"/>
                <w:sz w:val="20"/>
                <w:szCs w:val="20"/>
              </w:rPr>
              <w:t>=</w:t>
            </w:r>
            <w:r>
              <w:rPr>
                <w:rFonts w:hint="eastAsia"/>
                <w:kern w:val="0"/>
                <w:sz w:val="20"/>
                <w:szCs w:val="20"/>
              </w:rPr>
              <w:t>（质量达标实际工作数</w:t>
            </w:r>
            <w:r>
              <w:rPr>
                <w:kern w:val="0"/>
                <w:sz w:val="20"/>
                <w:szCs w:val="20"/>
              </w:rPr>
              <w:t>/</w:t>
            </w:r>
            <w:r>
              <w:rPr>
                <w:rFonts w:hint="eastAsia"/>
                <w:kern w:val="0"/>
                <w:sz w:val="20"/>
                <w:szCs w:val="20"/>
              </w:rPr>
              <w:t>计划工作数）</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质量达标实际工作数：一定时期（年度或规划期）内部门实际完成工作数中达到部门绩效目标要求（绩效标准值）的工作任务数量。</w:t>
            </w:r>
          </w:p>
        </w:tc>
        <w:tc>
          <w:tcPr>
            <w:tcW w:w="637" w:type="dxa"/>
            <w:tcBorders>
              <w:top w:val="single" w:color="auto" w:sz="4" w:space="0"/>
              <w:left w:val="nil"/>
              <w:bottom w:val="single" w:color="auto" w:sz="4" w:space="0"/>
              <w:right w:val="single" w:color="auto" w:sz="4" w:space="0"/>
            </w:tcBorders>
            <w:vAlign w:val="center"/>
          </w:tcPr>
          <w:p w14:paraId="57CEC62B">
            <w:pPr>
              <w:widowControl/>
              <w:jc w:val="center"/>
              <w:rPr>
                <w:kern w:val="0"/>
                <w:sz w:val="24"/>
              </w:rPr>
            </w:pPr>
            <w:r>
              <w:rPr>
                <w:rFonts w:hint="eastAsia"/>
                <w:kern w:val="0"/>
                <w:sz w:val="24"/>
              </w:rPr>
              <w:t>6</w:t>
            </w:r>
          </w:p>
        </w:tc>
      </w:tr>
      <w:tr w14:paraId="4765EA39">
        <w:tblPrEx>
          <w:tblCellMar>
            <w:top w:w="0" w:type="dxa"/>
            <w:left w:w="108" w:type="dxa"/>
            <w:bottom w:w="0" w:type="dxa"/>
            <w:right w:w="108" w:type="dxa"/>
          </w:tblCellMar>
        </w:tblPrEx>
        <w:trPr>
          <w:trHeight w:val="520" w:hRule="atLeast"/>
          <w:jc w:val="center"/>
        </w:trPr>
        <w:tc>
          <w:tcPr>
            <w:tcW w:w="709" w:type="dxa"/>
            <w:vMerge w:val="continue"/>
            <w:tcBorders>
              <w:left w:val="single" w:color="auto" w:sz="4" w:space="0"/>
              <w:bottom w:val="single" w:color="auto" w:sz="4" w:space="0"/>
              <w:right w:val="single" w:color="auto" w:sz="4" w:space="0"/>
            </w:tcBorders>
            <w:vAlign w:val="center"/>
          </w:tcPr>
          <w:p w14:paraId="525A903A">
            <w:pPr>
              <w:widowControl/>
              <w:jc w:val="center"/>
              <w:rPr>
                <w:rFonts w:eastAsia="仿宋_GB2312"/>
                <w:kern w:val="0"/>
                <w:sz w:val="20"/>
                <w:szCs w:val="20"/>
              </w:rPr>
            </w:pPr>
          </w:p>
        </w:tc>
        <w:tc>
          <w:tcPr>
            <w:tcW w:w="677" w:type="dxa"/>
            <w:vMerge w:val="continue"/>
            <w:tcBorders>
              <w:left w:val="nil"/>
              <w:bottom w:val="single" w:color="auto" w:sz="4" w:space="0"/>
              <w:right w:val="single" w:color="auto" w:sz="4" w:space="0"/>
            </w:tcBorders>
            <w:vAlign w:val="center"/>
          </w:tcPr>
          <w:p w14:paraId="3CAEB6E6">
            <w:pPr>
              <w:widowControl/>
              <w:jc w:val="center"/>
              <w:rPr>
                <w:rFonts w:eastAsia="仿宋_GB2312"/>
                <w:kern w:val="0"/>
                <w:sz w:val="20"/>
                <w:szCs w:val="20"/>
              </w:rPr>
            </w:pPr>
          </w:p>
        </w:tc>
        <w:tc>
          <w:tcPr>
            <w:tcW w:w="1014" w:type="dxa"/>
            <w:tcBorders>
              <w:top w:val="single" w:color="auto" w:sz="4" w:space="0"/>
              <w:left w:val="nil"/>
              <w:bottom w:val="single" w:color="auto" w:sz="4" w:space="0"/>
              <w:right w:val="single" w:color="auto" w:sz="4" w:space="0"/>
            </w:tcBorders>
            <w:vAlign w:val="center"/>
          </w:tcPr>
          <w:p w14:paraId="16E2284F">
            <w:pPr>
              <w:widowControl/>
              <w:jc w:val="left"/>
              <w:rPr>
                <w:rFonts w:eastAsia="仿宋_GB2312"/>
                <w:kern w:val="0"/>
                <w:sz w:val="20"/>
                <w:szCs w:val="20"/>
              </w:rPr>
            </w:pPr>
            <w:r>
              <w:rPr>
                <w:rFonts w:hint="eastAsia"/>
                <w:kern w:val="0"/>
                <w:sz w:val="20"/>
                <w:szCs w:val="20"/>
              </w:rPr>
              <w:t>重点工作办结率</w:t>
            </w:r>
          </w:p>
        </w:tc>
        <w:tc>
          <w:tcPr>
            <w:tcW w:w="483" w:type="dxa"/>
            <w:tcBorders>
              <w:top w:val="single" w:color="auto" w:sz="4" w:space="0"/>
              <w:left w:val="nil"/>
              <w:bottom w:val="single" w:color="auto" w:sz="4" w:space="0"/>
              <w:right w:val="single" w:color="auto" w:sz="4" w:space="0"/>
            </w:tcBorders>
            <w:vAlign w:val="center"/>
          </w:tcPr>
          <w:p w14:paraId="3FDFF147">
            <w:pPr>
              <w:widowControl/>
              <w:jc w:val="center"/>
              <w:rPr>
                <w:rFonts w:eastAsia="仿宋_GB2312"/>
                <w:kern w:val="0"/>
                <w:sz w:val="20"/>
                <w:szCs w:val="20"/>
              </w:rPr>
            </w:pPr>
            <w:r>
              <w:rPr>
                <w:kern w:val="0"/>
                <w:sz w:val="20"/>
                <w:szCs w:val="20"/>
              </w:rPr>
              <w:t>8</w:t>
            </w:r>
          </w:p>
        </w:tc>
        <w:tc>
          <w:tcPr>
            <w:tcW w:w="2948" w:type="dxa"/>
            <w:tcBorders>
              <w:top w:val="single" w:color="auto" w:sz="4" w:space="0"/>
              <w:left w:val="nil"/>
              <w:bottom w:val="single" w:color="auto" w:sz="4" w:space="0"/>
              <w:right w:val="single" w:color="auto" w:sz="4" w:space="0"/>
            </w:tcBorders>
            <w:vAlign w:val="center"/>
          </w:tcPr>
          <w:p w14:paraId="596388B8">
            <w:pPr>
              <w:widowControl/>
              <w:jc w:val="left"/>
              <w:rPr>
                <w:rFonts w:eastAsia="仿宋_GB2312"/>
                <w:kern w:val="0"/>
                <w:sz w:val="20"/>
                <w:szCs w:val="20"/>
              </w:rPr>
            </w:pPr>
            <w:r>
              <w:rPr>
                <w:rFonts w:hint="eastAsia"/>
                <w:kern w:val="0"/>
                <w:sz w:val="20"/>
                <w:szCs w:val="20"/>
              </w:rPr>
              <w:t>根据市绩效办</w:t>
            </w:r>
            <w:r>
              <w:rPr>
                <w:kern w:val="0"/>
                <w:sz w:val="20"/>
                <w:szCs w:val="20"/>
                <w:lang w:val="en"/>
              </w:rPr>
              <w:t>2021</w:t>
            </w:r>
            <w:r>
              <w:rPr>
                <w:rFonts w:hint="eastAsia"/>
                <w:kern w:val="0"/>
                <w:sz w:val="20"/>
                <w:szCs w:val="20"/>
              </w:rPr>
              <w:t>年对各部门为民办实事和部门重点工程与重点工作考核分数折算。</w:t>
            </w:r>
            <w:r>
              <w:rPr>
                <w:rFonts w:eastAsia="仿宋_GB2312"/>
                <w:kern w:val="0"/>
                <w:sz w:val="20"/>
                <w:szCs w:val="20"/>
              </w:rPr>
              <w:br w:type="textWrapping"/>
            </w:r>
            <w:r>
              <w:rPr>
                <w:rFonts w:hint="eastAsia"/>
                <w:kern w:val="0"/>
                <w:sz w:val="20"/>
                <w:szCs w:val="20"/>
              </w:rPr>
              <w:t>该项得分</w:t>
            </w:r>
            <w:r>
              <w:rPr>
                <w:kern w:val="0"/>
                <w:sz w:val="20"/>
                <w:szCs w:val="20"/>
              </w:rPr>
              <w:t>=</w:t>
            </w:r>
            <w:r>
              <w:rPr>
                <w:rFonts w:hint="eastAsia"/>
                <w:kern w:val="0"/>
                <w:sz w:val="20"/>
                <w:szCs w:val="20"/>
              </w:rPr>
              <w:t>（绩效办对应部分考核得分</w:t>
            </w:r>
            <w:r>
              <w:rPr>
                <w:kern w:val="0"/>
                <w:sz w:val="20"/>
                <w:szCs w:val="20"/>
              </w:rPr>
              <w:t>/</w:t>
            </w:r>
            <w:r>
              <w:rPr>
                <w:rFonts w:hint="eastAsia"/>
                <w:kern w:val="0"/>
                <w:sz w:val="20"/>
                <w:szCs w:val="20"/>
              </w:rPr>
              <w:t>该部分总分）</w:t>
            </w:r>
            <w:r>
              <w:rPr>
                <w:rFonts w:hint="eastAsia" w:ascii="仿宋_GB2312"/>
                <w:kern w:val="0"/>
                <w:sz w:val="20"/>
                <w:szCs w:val="20"/>
              </w:rPr>
              <w:t>×</w:t>
            </w:r>
            <w:r>
              <w:rPr>
                <w:kern w:val="0"/>
                <w:sz w:val="20"/>
                <w:szCs w:val="20"/>
              </w:rPr>
              <w:t>8</w:t>
            </w:r>
            <w:r>
              <w:rPr>
                <w:rFonts w:hint="eastAsia"/>
                <w:kern w:val="0"/>
                <w:sz w:val="20"/>
                <w:szCs w:val="20"/>
              </w:rPr>
              <w:t>。</w:t>
            </w:r>
          </w:p>
        </w:tc>
        <w:tc>
          <w:tcPr>
            <w:tcW w:w="3490" w:type="dxa"/>
            <w:tcBorders>
              <w:top w:val="single" w:color="auto" w:sz="4" w:space="0"/>
              <w:left w:val="nil"/>
              <w:bottom w:val="single" w:color="auto" w:sz="4" w:space="0"/>
              <w:right w:val="single" w:color="auto" w:sz="4" w:space="0"/>
            </w:tcBorders>
            <w:vAlign w:val="center"/>
          </w:tcPr>
          <w:p w14:paraId="5A3F8D2C">
            <w:pPr>
              <w:widowControl/>
              <w:jc w:val="left"/>
              <w:rPr>
                <w:rFonts w:eastAsia="仿宋_GB2312"/>
                <w:kern w:val="0"/>
                <w:sz w:val="20"/>
                <w:szCs w:val="20"/>
              </w:rPr>
            </w:pPr>
            <w:r>
              <w:rPr>
                <w:rFonts w:hint="eastAsia"/>
                <w:kern w:val="0"/>
                <w:sz w:val="20"/>
                <w:szCs w:val="20"/>
              </w:rPr>
              <w:t>重点工作办结率</w:t>
            </w:r>
            <w:r>
              <w:rPr>
                <w:kern w:val="0"/>
                <w:sz w:val="20"/>
                <w:szCs w:val="20"/>
              </w:rPr>
              <w:t>=</w:t>
            </w:r>
            <w:r>
              <w:rPr>
                <w:rFonts w:hint="eastAsia"/>
                <w:kern w:val="0"/>
                <w:sz w:val="20"/>
                <w:szCs w:val="20"/>
              </w:rPr>
              <w:t>（重点工作实际完成数</w:t>
            </w:r>
            <w:r>
              <w:rPr>
                <w:kern w:val="0"/>
                <w:sz w:val="20"/>
                <w:szCs w:val="20"/>
              </w:rPr>
              <w:t>/</w:t>
            </w:r>
            <w:r>
              <w:rPr>
                <w:rFonts w:hint="eastAsia"/>
                <w:kern w:val="0"/>
                <w:sz w:val="20"/>
                <w:szCs w:val="20"/>
              </w:rPr>
              <w:t>交办或下达数）</w:t>
            </w:r>
            <w:r>
              <w:rPr>
                <w:kern w:val="0"/>
                <w:sz w:val="20"/>
                <w:szCs w:val="20"/>
              </w:rPr>
              <w:t>×100%</w:t>
            </w:r>
            <w:r>
              <w:rPr>
                <w:rFonts w:hint="eastAsia"/>
                <w:kern w:val="0"/>
                <w:sz w:val="20"/>
                <w:szCs w:val="20"/>
              </w:rPr>
              <w:t>。</w:t>
            </w:r>
            <w:r>
              <w:rPr>
                <w:rFonts w:eastAsia="仿宋_GB2312"/>
                <w:kern w:val="0"/>
                <w:sz w:val="20"/>
                <w:szCs w:val="20"/>
              </w:rPr>
              <w:br w:type="textWrapping"/>
            </w:r>
            <w:r>
              <w:rPr>
                <w:rFonts w:hint="eastAsia"/>
                <w:kern w:val="0"/>
                <w:sz w:val="20"/>
                <w:szCs w:val="20"/>
              </w:rPr>
              <w:t>重点工作是指党委、政府、人大、相关部门交办或下达的工作任务。</w:t>
            </w:r>
          </w:p>
        </w:tc>
        <w:tc>
          <w:tcPr>
            <w:tcW w:w="637" w:type="dxa"/>
            <w:tcBorders>
              <w:top w:val="single" w:color="auto" w:sz="4" w:space="0"/>
              <w:left w:val="nil"/>
              <w:bottom w:val="single" w:color="auto" w:sz="4" w:space="0"/>
              <w:right w:val="single" w:color="auto" w:sz="4" w:space="0"/>
            </w:tcBorders>
            <w:vAlign w:val="center"/>
          </w:tcPr>
          <w:p w14:paraId="6CC8418D">
            <w:pPr>
              <w:widowControl/>
              <w:jc w:val="center"/>
              <w:rPr>
                <w:kern w:val="0"/>
                <w:sz w:val="24"/>
              </w:rPr>
            </w:pPr>
            <w:r>
              <w:rPr>
                <w:rFonts w:hint="eastAsia"/>
                <w:kern w:val="0"/>
                <w:sz w:val="24"/>
              </w:rPr>
              <w:t>8</w:t>
            </w:r>
          </w:p>
        </w:tc>
      </w:tr>
      <w:tr w14:paraId="4C8BA3E9">
        <w:tblPrEx>
          <w:tblCellMar>
            <w:top w:w="0" w:type="dxa"/>
            <w:left w:w="108" w:type="dxa"/>
            <w:bottom w:w="0" w:type="dxa"/>
            <w:right w:w="108" w:type="dxa"/>
          </w:tblCellMar>
        </w:tblPrEx>
        <w:trPr>
          <w:trHeight w:val="70" w:hRule="atLeast"/>
          <w:jc w:val="center"/>
        </w:trPr>
        <w:tc>
          <w:tcPr>
            <w:tcW w:w="709" w:type="dxa"/>
            <w:vMerge w:val="restart"/>
            <w:tcBorders>
              <w:top w:val="nil"/>
              <w:left w:val="single" w:color="auto" w:sz="4" w:space="0"/>
              <w:right w:val="single" w:color="auto" w:sz="4" w:space="0"/>
            </w:tcBorders>
            <w:vAlign w:val="center"/>
          </w:tcPr>
          <w:p w14:paraId="4F727F44">
            <w:pPr>
              <w:widowControl/>
              <w:jc w:val="center"/>
              <w:rPr>
                <w:rFonts w:eastAsia="仿宋_GB2312"/>
                <w:kern w:val="0"/>
                <w:sz w:val="20"/>
                <w:szCs w:val="20"/>
              </w:rPr>
            </w:pPr>
            <w:r>
              <w:rPr>
                <w:rFonts w:hint="eastAsia"/>
                <w:kern w:val="0"/>
                <w:sz w:val="20"/>
                <w:szCs w:val="20"/>
              </w:rPr>
              <w:t>效</w:t>
            </w:r>
          </w:p>
          <w:p w14:paraId="43728802">
            <w:pPr>
              <w:widowControl/>
              <w:jc w:val="center"/>
              <w:rPr>
                <w:rFonts w:eastAsia="仿宋_GB2312"/>
                <w:kern w:val="0"/>
                <w:sz w:val="20"/>
                <w:szCs w:val="20"/>
              </w:rPr>
            </w:pPr>
            <w:r>
              <w:rPr>
                <w:rFonts w:hint="eastAsia"/>
                <w:kern w:val="0"/>
                <w:sz w:val="20"/>
                <w:szCs w:val="20"/>
              </w:rPr>
              <w:t>果</w:t>
            </w:r>
          </w:p>
          <w:p w14:paraId="3A678281">
            <w:pPr>
              <w:widowControl/>
              <w:jc w:val="center"/>
              <w:rPr>
                <w:rFonts w:eastAsia="仿宋_GB2312"/>
                <w:kern w:val="0"/>
                <w:sz w:val="20"/>
                <w:szCs w:val="20"/>
              </w:rPr>
            </w:pPr>
          </w:p>
          <w:p w14:paraId="32CC39A0">
            <w:pPr>
              <w:widowControl/>
              <w:jc w:val="center"/>
              <w:rPr>
                <w:rFonts w:eastAsia="仿宋_GB2312"/>
                <w:kern w:val="0"/>
                <w:sz w:val="20"/>
                <w:szCs w:val="20"/>
              </w:rPr>
            </w:pPr>
            <w:r>
              <w:rPr>
                <w:kern w:val="0"/>
                <w:sz w:val="20"/>
                <w:szCs w:val="20"/>
              </w:rPr>
              <w:t>30</w:t>
            </w:r>
            <w:r>
              <w:rPr>
                <w:rFonts w:hint="eastAsia"/>
                <w:kern w:val="0"/>
                <w:sz w:val="20"/>
                <w:szCs w:val="20"/>
              </w:rPr>
              <w:t>分</w:t>
            </w:r>
          </w:p>
        </w:tc>
        <w:tc>
          <w:tcPr>
            <w:tcW w:w="677" w:type="dxa"/>
            <w:vMerge w:val="restart"/>
            <w:tcBorders>
              <w:top w:val="nil"/>
              <w:left w:val="nil"/>
              <w:right w:val="single" w:color="auto" w:sz="4" w:space="0"/>
            </w:tcBorders>
            <w:vAlign w:val="center"/>
          </w:tcPr>
          <w:p w14:paraId="57A63984">
            <w:pPr>
              <w:widowControl/>
              <w:jc w:val="center"/>
              <w:rPr>
                <w:rFonts w:eastAsia="仿宋_GB2312"/>
                <w:kern w:val="0"/>
                <w:sz w:val="20"/>
                <w:szCs w:val="20"/>
              </w:rPr>
            </w:pPr>
            <w:r>
              <w:rPr>
                <w:rFonts w:hint="eastAsia"/>
                <w:kern w:val="0"/>
                <w:sz w:val="20"/>
                <w:szCs w:val="20"/>
              </w:rPr>
              <w:t>履职效益</w:t>
            </w:r>
          </w:p>
          <w:p w14:paraId="5DAD9D18">
            <w:pPr>
              <w:widowControl/>
              <w:jc w:val="center"/>
              <w:rPr>
                <w:rFonts w:eastAsia="仿宋_GB2312"/>
                <w:kern w:val="0"/>
                <w:sz w:val="20"/>
                <w:szCs w:val="20"/>
              </w:rPr>
            </w:pPr>
          </w:p>
          <w:p w14:paraId="3AB50BB7">
            <w:pPr>
              <w:jc w:val="center"/>
              <w:rPr>
                <w:rFonts w:eastAsia="仿宋_GB2312"/>
                <w:kern w:val="0"/>
                <w:sz w:val="20"/>
                <w:szCs w:val="20"/>
              </w:rPr>
            </w:pPr>
            <w:r>
              <w:rPr>
                <w:kern w:val="0"/>
                <w:sz w:val="20"/>
                <w:szCs w:val="20"/>
              </w:rPr>
              <w:t>30</w:t>
            </w:r>
            <w:r>
              <w:rPr>
                <w:rFonts w:hint="eastAsia"/>
                <w:kern w:val="0"/>
                <w:sz w:val="20"/>
                <w:szCs w:val="20"/>
              </w:rPr>
              <w:t>分</w:t>
            </w:r>
          </w:p>
        </w:tc>
        <w:tc>
          <w:tcPr>
            <w:tcW w:w="1014" w:type="dxa"/>
            <w:tcBorders>
              <w:top w:val="nil"/>
              <w:left w:val="nil"/>
              <w:bottom w:val="nil"/>
              <w:right w:val="single" w:color="auto" w:sz="4" w:space="0"/>
            </w:tcBorders>
            <w:vAlign w:val="center"/>
          </w:tcPr>
          <w:p w14:paraId="099EFEF8">
            <w:pPr>
              <w:widowControl/>
              <w:jc w:val="left"/>
              <w:rPr>
                <w:rFonts w:eastAsia="仿宋_GB2312"/>
                <w:kern w:val="0"/>
                <w:sz w:val="20"/>
                <w:szCs w:val="20"/>
              </w:rPr>
            </w:pPr>
          </w:p>
        </w:tc>
        <w:tc>
          <w:tcPr>
            <w:tcW w:w="483" w:type="dxa"/>
            <w:tcBorders>
              <w:top w:val="nil"/>
              <w:left w:val="nil"/>
              <w:right w:val="single" w:color="auto" w:sz="4" w:space="0"/>
            </w:tcBorders>
            <w:vAlign w:val="center"/>
          </w:tcPr>
          <w:p w14:paraId="2FA97EE4">
            <w:pPr>
              <w:widowControl/>
              <w:jc w:val="center"/>
              <w:rPr>
                <w:rFonts w:eastAsia="仿宋_GB2312"/>
                <w:kern w:val="0"/>
                <w:sz w:val="20"/>
                <w:szCs w:val="20"/>
              </w:rPr>
            </w:pPr>
          </w:p>
        </w:tc>
        <w:tc>
          <w:tcPr>
            <w:tcW w:w="6438" w:type="dxa"/>
            <w:gridSpan w:val="2"/>
            <w:tcBorders>
              <w:top w:val="nil"/>
              <w:left w:val="nil"/>
              <w:right w:val="single" w:color="auto" w:sz="4" w:space="0"/>
            </w:tcBorders>
            <w:vAlign w:val="center"/>
          </w:tcPr>
          <w:p w14:paraId="487F2976">
            <w:pPr>
              <w:widowControl/>
              <w:jc w:val="left"/>
              <w:rPr>
                <w:rFonts w:eastAsia="仿宋_GB2312"/>
                <w:kern w:val="0"/>
                <w:sz w:val="20"/>
                <w:szCs w:val="20"/>
              </w:rPr>
            </w:pPr>
          </w:p>
        </w:tc>
        <w:tc>
          <w:tcPr>
            <w:tcW w:w="637" w:type="dxa"/>
            <w:tcBorders>
              <w:top w:val="nil"/>
              <w:left w:val="nil"/>
              <w:right w:val="single" w:color="auto" w:sz="4" w:space="0"/>
            </w:tcBorders>
            <w:vAlign w:val="center"/>
          </w:tcPr>
          <w:p w14:paraId="40B37B20">
            <w:pPr>
              <w:widowControl/>
              <w:jc w:val="center"/>
              <w:rPr>
                <w:kern w:val="0"/>
                <w:sz w:val="24"/>
              </w:rPr>
            </w:pPr>
            <w:r>
              <w:rPr>
                <w:rFonts w:hint="eastAsia"/>
                <w:kern w:val="0"/>
                <w:sz w:val="24"/>
              </w:rPr>
              <w:t>5</w:t>
            </w:r>
          </w:p>
        </w:tc>
      </w:tr>
      <w:tr w14:paraId="3509F0E4">
        <w:tblPrEx>
          <w:tblCellMar>
            <w:top w:w="0" w:type="dxa"/>
            <w:left w:w="108" w:type="dxa"/>
            <w:bottom w:w="0" w:type="dxa"/>
            <w:right w:w="108" w:type="dxa"/>
          </w:tblCellMar>
        </w:tblPrEx>
        <w:trPr>
          <w:jc w:val="center"/>
        </w:trPr>
        <w:tc>
          <w:tcPr>
            <w:tcW w:w="709" w:type="dxa"/>
            <w:vMerge w:val="continue"/>
            <w:tcBorders>
              <w:left w:val="single" w:color="auto" w:sz="4" w:space="0"/>
              <w:right w:val="single" w:color="auto" w:sz="4" w:space="0"/>
            </w:tcBorders>
            <w:vAlign w:val="center"/>
          </w:tcPr>
          <w:p w14:paraId="78EAC723">
            <w:pPr>
              <w:widowControl/>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3D73C919">
            <w:pPr>
              <w:widowControl/>
              <w:jc w:val="center"/>
              <w:rPr>
                <w:rFonts w:eastAsia="仿宋_GB2312"/>
                <w:kern w:val="0"/>
                <w:sz w:val="20"/>
                <w:szCs w:val="20"/>
              </w:rPr>
            </w:pPr>
          </w:p>
        </w:tc>
        <w:tc>
          <w:tcPr>
            <w:tcW w:w="1014" w:type="dxa"/>
            <w:tcBorders>
              <w:left w:val="nil"/>
              <w:bottom w:val="single" w:color="auto" w:sz="4" w:space="0"/>
              <w:right w:val="single" w:color="auto" w:sz="4" w:space="0"/>
            </w:tcBorders>
            <w:vAlign w:val="center"/>
          </w:tcPr>
          <w:p w14:paraId="2AC33B80">
            <w:pPr>
              <w:widowControl/>
              <w:jc w:val="center"/>
              <w:rPr>
                <w:rFonts w:eastAsia="仿宋_GB2312"/>
                <w:kern w:val="0"/>
                <w:sz w:val="20"/>
                <w:szCs w:val="20"/>
              </w:rPr>
            </w:pPr>
            <w:r>
              <w:rPr>
                <w:rFonts w:hint="eastAsia"/>
                <w:kern w:val="0"/>
                <w:sz w:val="20"/>
                <w:szCs w:val="20"/>
              </w:rPr>
              <w:t>经济效益</w:t>
            </w:r>
          </w:p>
        </w:tc>
        <w:tc>
          <w:tcPr>
            <w:tcW w:w="483" w:type="dxa"/>
            <w:vMerge w:val="restart"/>
            <w:tcBorders>
              <w:top w:val="nil"/>
              <w:left w:val="single" w:color="auto" w:sz="4" w:space="0"/>
              <w:right w:val="single" w:color="auto" w:sz="4" w:space="0"/>
            </w:tcBorders>
            <w:vAlign w:val="center"/>
          </w:tcPr>
          <w:p w14:paraId="19C92913">
            <w:pPr>
              <w:widowControl/>
              <w:jc w:val="center"/>
              <w:rPr>
                <w:rFonts w:eastAsia="仿宋_GB2312"/>
                <w:kern w:val="0"/>
                <w:sz w:val="20"/>
                <w:szCs w:val="20"/>
              </w:rPr>
            </w:pPr>
            <w:r>
              <w:rPr>
                <w:kern w:val="0"/>
                <w:sz w:val="20"/>
                <w:szCs w:val="20"/>
              </w:rPr>
              <w:t>15</w:t>
            </w:r>
          </w:p>
        </w:tc>
        <w:tc>
          <w:tcPr>
            <w:tcW w:w="6438" w:type="dxa"/>
            <w:gridSpan w:val="2"/>
            <w:vMerge w:val="restart"/>
            <w:tcBorders>
              <w:left w:val="single" w:color="auto" w:sz="4" w:space="0"/>
              <w:right w:val="single" w:color="000000" w:sz="4" w:space="0"/>
            </w:tcBorders>
            <w:vAlign w:val="center"/>
          </w:tcPr>
          <w:p w14:paraId="5E1EB466">
            <w:pPr>
              <w:widowControl/>
              <w:jc w:val="left"/>
              <w:rPr>
                <w:rFonts w:eastAsia="仿宋_GB2312"/>
                <w:kern w:val="0"/>
                <w:sz w:val="20"/>
                <w:szCs w:val="20"/>
              </w:rPr>
            </w:pPr>
            <w:r>
              <w:rPr>
                <w:rFonts w:hint="eastAsia"/>
                <w:kern w:val="0"/>
                <w:sz w:val="20"/>
                <w:szCs w:val="20"/>
              </w:rPr>
              <w:t>此三项指标为设置部门整体支出绩效评价指标时必须考虑的共性要素，可根据部门实际情况有选择的进行设置，并将其细化为相应的个性化指标。</w:t>
            </w:r>
          </w:p>
        </w:tc>
        <w:tc>
          <w:tcPr>
            <w:tcW w:w="637" w:type="dxa"/>
            <w:tcBorders>
              <w:top w:val="nil"/>
              <w:left w:val="nil"/>
              <w:bottom w:val="nil"/>
              <w:right w:val="single" w:color="auto" w:sz="4" w:space="0"/>
            </w:tcBorders>
            <w:vAlign w:val="center"/>
          </w:tcPr>
          <w:p w14:paraId="0649515E">
            <w:pPr>
              <w:widowControl/>
              <w:jc w:val="left"/>
              <w:rPr>
                <w:kern w:val="0"/>
                <w:sz w:val="24"/>
              </w:rPr>
            </w:pPr>
          </w:p>
          <w:p w14:paraId="1E314419">
            <w:pPr>
              <w:widowControl/>
              <w:jc w:val="center"/>
              <w:rPr>
                <w:kern w:val="0"/>
                <w:sz w:val="24"/>
              </w:rPr>
            </w:pPr>
            <w:r>
              <w:rPr>
                <w:rFonts w:hint="eastAsia"/>
                <w:kern w:val="0"/>
                <w:sz w:val="24"/>
              </w:rPr>
              <w:t>5</w:t>
            </w:r>
          </w:p>
        </w:tc>
      </w:tr>
      <w:tr w14:paraId="0FF07D71">
        <w:tblPrEx>
          <w:tblCellMar>
            <w:top w:w="0" w:type="dxa"/>
            <w:left w:w="108" w:type="dxa"/>
            <w:bottom w:w="0" w:type="dxa"/>
            <w:right w:w="108" w:type="dxa"/>
          </w:tblCellMar>
        </w:tblPrEx>
        <w:trPr>
          <w:trHeight w:val="315" w:hRule="atLeast"/>
          <w:jc w:val="center"/>
        </w:trPr>
        <w:tc>
          <w:tcPr>
            <w:tcW w:w="709" w:type="dxa"/>
            <w:vMerge w:val="continue"/>
            <w:tcBorders>
              <w:left w:val="single" w:color="auto" w:sz="4" w:space="0"/>
              <w:right w:val="single" w:color="auto" w:sz="4" w:space="0"/>
            </w:tcBorders>
            <w:vAlign w:val="center"/>
          </w:tcPr>
          <w:p w14:paraId="1808946A">
            <w:pPr>
              <w:widowControl/>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4B2ADFF4">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35408F6E">
            <w:pPr>
              <w:widowControl/>
              <w:jc w:val="center"/>
              <w:rPr>
                <w:rFonts w:eastAsia="仿宋_GB2312"/>
                <w:kern w:val="0"/>
                <w:sz w:val="20"/>
                <w:szCs w:val="20"/>
              </w:rPr>
            </w:pPr>
            <w:r>
              <w:rPr>
                <w:rFonts w:hint="eastAsia"/>
                <w:kern w:val="0"/>
                <w:sz w:val="20"/>
                <w:szCs w:val="20"/>
              </w:rPr>
              <w:t>社会效益</w:t>
            </w:r>
          </w:p>
        </w:tc>
        <w:tc>
          <w:tcPr>
            <w:tcW w:w="483" w:type="dxa"/>
            <w:vMerge w:val="continue"/>
            <w:tcBorders>
              <w:left w:val="single" w:color="auto" w:sz="4" w:space="0"/>
              <w:right w:val="single" w:color="auto" w:sz="4" w:space="0"/>
            </w:tcBorders>
            <w:vAlign w:val="center"/>
          </w:tcPr>
          <w:p w14:paraId="63B103DC">
            <w:pPr>
              <w:widowControl/>
              <w:jc w:val="left"/>
              <w:rPr>
                <w:rFonts w:eastAsia="仿宋_GB2312"/>
                <w:kern w:val="0"/>
                <w:sz w:val="20"/>
                <w:szCs w:val="20"/>
              </w:rPr>
            </w:pPr>
          </w:p>
        </w:tc>
        <w:tc>
          <w:tcPr>
            <w:tcW w:w="6438" w:type="dxa"/>
            <w:gridSpan w:val="2"/>
            <w:vMerge w:val="continue"/>
            <w:tcBorders>
              <w:left w:val="single" w:color="auto" w:sz="4" w:space="0"/>
              <w:right w:val="single" w:color="000000" w:sz="4" w:space="0"/>
            </w:tcBorders>
            <w:vAlign w:val="center"/>
          </w:tcPr>
          <w:p w14:paraId="4479334D">
            <w:pPr>
              <w:widowControl/>
              <w:jc w:val="left"/>
              <w:rPr>
                <w:rFonts w:eastAsia="仿宋_GB2312"/>
                <w:kern w:val="0"/>
                <w:sz w:val="20"/>
                <w:szCs w:val="20"/>
              </w:rPr>
            </w:pPr>
          </w:p>
        </w:tc>
        <w:tc>
          <w:tcPr>
            <w:tcW w:w="637" w:type="dxa"/>
            <w:vMerge w:val="restart"/>
            <w:tcBorders>
              <w:top w:val="nil"/>
              <w:left w:val="nil"/>
              <w:right w:val="single" w:color="auto" w:sz="4" w:space="0"/>
            </w:tcBorders>
            <w:vAlign w:val="center"/>
          </w:tcPr>
          <w:p w14:paraId="3C756336">
            <w:pPr>
              <w:widowControl/>
              <w:jc w:val="center"/>
              <w:rPr>
                <w:kern w:val="0"/>
                <w:sz w:val="24"/>
              </w:rPr>
            </w:pPr>
            <w:r>
              <w:rPr>
                <w:rFonts w:hint="eastAsia"/>
                <w:kern w:val="0"/>
                <w:sz w:val="24"/>
              </w:rPr>
              <w:t>5</w:t>
            </w:r>
          </w:p>
        </w:tc>
      </w:tr>
      <w:tr w14:paraId="0929159C">
        <w:tblPrEx>
          <w:tblCellMar>
            <w:top w:w="0" w:type="dxa"/>
            <w:left w:w="108" w:type="dxa"/>
            <w:bottom w:w="0" w:type="dxa"/>
            <w:right w:w="108" w:type="dxa"/>
          </w:tblCellMar>
        </w:tblPrEx>
        <w:trPr>
          <w:trHeight w:val="315" w:hRule="atLeast"/>
          <w:jc w:val="center"/>
        </w:trPr>
        <w:tc>
          <w:tcPr>
            <w:tcW w:w="709" w:type="dxa"/>
            <w:vMerge w:val="continue"/>
            <w:tcBorders>
              <w:left w:val="single" w:color="auto" w:sz="4" w:space="0"/>
              <w:right w:val="single" w:color="auto" w:sz="4" w:space="0"/>
            </w:tcBorders>
            <w:vAlign w:val="center"/>
          </w:tcPr>
          <w:p w14:paraId="66A93C66">
            <w:pPr>
              <w:widowControl/>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374B8F7B">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6EABE8FD">
            <w:pPr>
              <w:widowControl/>
              <w:jc w:val="center"/>
              <w:rPr>
                <w:rFonts w:eastAsia="仿宋_GB2312"/>
                <w:kern w:val="0"/>
                <w:sz w:val="20"/>
                <w:szCs w:val="20"/>
              </w:rPr>
            </w:pPr>
            <w:r>
              <w:rPr>
                <w:rFonts w:hint="eastAsia"/>
                <w:kern w:val="0"/>
                <w:sz w:val="20"/>
                <w:szCs w:val="20"/>
              </w:rPr>
              <w:t>生态效益</w:t>
            </w:r>
          </w:p>
        </w:tc>
        <w:tc>
          <w:tcPr>
            <w:tcW w:w="483" w:type="dxa"/>
            <w:vMerge w:val="continue"/>
            <w:tcBorders>
              <w:left w:val="single" w:color="auto" w:sz="4" w:space="0"/>
              <w:bottom w:val="nil"/>
              <w:right w:val="single" w:color="auto" w:sz="4" w:space="0"/>
            </w:tcBorders>
            <w:vAlign w:val="center"/>
          </w:tcPr>
          <w:p w14:paraId="76F18E48">
            <w:pPr>
              <w:widowControl/>
              <w:jc w:val="left"/>
              <w:rPr>
                <w:rFonts w:eastAsia="仿宋_GB2312"/>
                <w:kern w:val="0"/>
                <w:sz w:val="20"/>
                <w:szCs w:val="20"/>
              </w:rPr>
            </w:pPr>
          </w:p>
        </w:tc>
        <w:tc>
          <w:tcPr>
            <w:tcW w:w="6438" w:type="dxa"/>
            <w:gridSpan w:val="2"/>
            <w:vMerge w:val="continue"/>
            <w:tcBorders>
              <w:left w:val="single" w:color="auto" w:sz="4" w:space="0"/>
              <w:bottom w:val="nil"/>
              <w:right w:val="single" w:color="000000" w:sz="4" w:space="0"/>
            </w:tcBorders>
            <w:vAlign w:val="center"/>
          </w:tcPr>
          <w:p w14:paraId="2E85E5AE">
            <w:pPr>
              <w:widowControl/>
              <w:jc w:val="left"/>
              <w:rPr>
                <w:rFonts w:eastAsia="仿宋_GB2312"/>
                <w:kern w:val="0"/>
                <w:sz w:val="20"/>
                <w:szCs w:val="20"/>
              </w:rPr>
            </w:pPr>
          </w:p>
        </w:tc>
        <w:tc>
          <w:tcPr>
            <w:tcW w:w="637" w:type="dxa"/>
            <w:vMerge w:val="continue"/>
            <w:tcBorders>
              <w:left w:val="nil"/>
              <w:bottom w:val="nil"/>
              <w:right w:val="single" w:color="auto" w:sz="4" w:space="0"/>
            </w:tcBorders>
            <w:vAlign w:val="center"/>
          </w:tcPr>
          <w:p w14:paraId="383F6731">
            <w:pPr>
              <w:widowControl/>
              <w:jc w:val="left"/>
              <w:rPr>
                <w:kern w:val="0"/>
                <w:sz w:val="24"/>
              </w:rPr>
            </w:pPr>
          </w:p>
        </w:tc>
      </w:tr>
      <w:tr w14:paraId="2F908791">
        <w:tblPrEx>
          <w:tblCellMar>
            <w:top w:w="0" w:type="dxa"/>
            <w:left w:w="108" w:type="dxa"/>
            <w:bottom w:w="0" w:type="dxa"/>
            <w:right w:w="108" w:type="dxa"/>
          </w:tblCellMar>
        </w:tblPrEx>
        <w:trPr>
          <w:trHeight w:val="1629" w:hRule="atLeast"/>
          <w:jc w:val="center"/>
        </w:trPr>
        <w:tc>
          <w:tcPr>
            <w:tcW w:w="709" w:type="dxa"/>
            <w:vMerge w:val="continue"/>
            <w:tcBorders>
              <w:left w:val="single" w:color="auto" w:sz="4" w:space="0"/>
              <w:right w:val="single" w:color="auto" w:sz="4" w:space="0"/>
            </w:tcBorders>
            <w:vAlign w:val="center"/>
          </w:tcPr>
          <w:p w14:paraId="2102D7C6">
            <w:pPr>
              <w:widowControl/>
              <w:jc w:val="left"/>
              <w:rPr>
                <w:rFonts w:eastAsia="仿宋_GB2312"/>
                <w:kern w:val="0"/>
                <w:sz w:val="20"/>
                <w:szCs w:val="20"/>
              </w:rPr>
            </w:pPr>
          </w:p>
        </w:tc>
        <w:tc>
          <w:tcPr>
            <w:tcW w:w="677" w:type="dxa"/>
            <w:vMerge w:val="continue"/>
            <w:tcBorders>
              <w:left w:val="single" w:color="auto" w:sz="4" w:space="0"/>
              <w:right w:val="single" w:color="auto" w:sz="4" w:space="0"/>
            </w:tcBorders>
            <w:vAlign w:val="center"/>
          </w:tcPr>
          <w:p w14:paraId="563CCFEB">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39A5762A">
            <w:pPr>
              <w:widowControl/>
              <w:jc w:val="left"/>
              <w:rPr>
                <w:rFonts w:eastAsia="仿宋_GB2312"/>
                <w:kern w:val="0"/>
                <w:sz w:val="20"/>
                <w:szCs w:val="20"/>
              </w:rPr>
            </w:pPr>
            <w:r>
              <w:rPr>
                <w:rFonts w:hint="eastAsia"/>
                <w:kern w:val="0"/>
                <w:sz w:val="20"/>
                <w:szCs w:val="20"/>
              </w:rPr>
              <w:t>行政效能</w:t>
            </w:r>
          </w:p>
        </w:tc>
        <w:tc>
          <w:tcPr>
            <w:tcW w:w="483" w:type="dxa"/>
            <w:tcBorders>
              <w:top w:val="single" w:color="auto" w:sz="4" w:space="0"/>
              <w:left w:val="nil"/>
              <w:bottom w:val="single" w:color="auto" w:sz="4" w:space="0"/>
              <w:right w:val="single" w:color="auto" w:sz="4" w:space="0"/>
            </w:tcBorders>
            <w:vAlign w:val="center"/>
          </w:tcPr>
          <w:p w14:paraId="7AB39653">
            <w:pPr>
              <w:widowControl/>
              <w:jc w:val="center"/>
              <w:rPr>
                <w:rFonts w:eastAsia="仿宋_GB2312"/>
                <w:kern w:val="0"/>
                <w:sz w:val="20"/>
                <w:szCs w:val="20"/>
              </w:rPr>
            </w:pPr>
            <w:r>
              <w:rPr>
                <w:kern w:val="0"/>
                <w:sz w:val="20"/>
                <w:szCs w:val="20"/>
              </w:rPr>
              <w:t>6</w:t>
            </w:r>
          </w:p>
        </w:tc>
        <w:tc>
          <w:tcPr>
            <w:tcW w:w="2948" w:type="dxa"/>
            <w:tcBorders>
              <w:top w:val="single" w:color="auto" w:sz="4" w:space="0"/>
              <w:left w:val="nil"/>
              <w:bottom w:val="single" w:color="auto" w:sz="4" w:space="0"/>
              <w:right w:val="single" w:color="auto" w:sz="4" w:space="0"/>
            </w:tcBorders>
            <w:vAlign w:val="center"/>
          </w:tcPr>
          <w:p w14:paraId="4637EAB2">
            <w:pPr>
              <w:widowControl/>
              <w:jc w:val="left"/>
              <w:rPr>
                <w:rFonts w:eastAsia="仿宋_GB2312"/>
                <w:kern w:val="0"/>
                <w:sz w:val="20"/>
                <w:szCs w:val="20"/>
              </w:rPr>
            </w:pPr>
            <w:r>
              <w:rPr>
                <w:rFonts w:hint="eastAsia"/>
                <w:kern w:val="0"/>
                <w:sz w:val="20"/>
                <w:szCs w:val="20"/>
              </w:rPr>
              <w:t>促进部门改进工作作风，加强资金及资产管理，推动提质增效，降低运行成本，效果较好的计</w:t>
            </w:r>
            <w:r>
              <w:rPr>
                <w:kern w:val="0"/>
                <w:sz w:val="20"/>
                <w:szCs w:val="20"/>
              </w:rPr>
              <w:t>6</w:t>
            </w:r>
            <w:r>
              <w:rPr>
                <w:rFonts w:hint="eastAsia"/>
                <w:kern w:val="0"/>
                <w:sz w:val="20"/>
                <w:szCs w:val="20"/>
              </w:rPr>
              <w:t>分；一般</w:t>
            </w:r>
            <w:r>
              <w:rPr>
                <w:kern w:val="0"/>
                <w:sz w:val="20"/>
                <w:szCs w:val="20"/>
              </w:rPr>
              <w:t>3</w:t>
            </w:r>
            <w:r>
              <w:rPr>
                <w:rFonts w:hint="eastAsia"/>
                <w:kern w:val="0"/>
                <w:sz w:val="20"/>
                <w:szCs w:val="20"/>
              </w:rPr>
              <w:t>分；无效果或者效果不明显计</w:t>
            </w:r>
            <w:r>
              <w:rPr>
                <w:kern w:val="0"/>
                <w:sz w:val="20"/>
                <w:szCs w:val="20"/>
              </w:rPr>
              <w:t>0</w:t>
            </w:r>
            <w:r>
              <w:rPr>
                <w:rFonts w:hint="eastAsia"/>
                <w:kern w:val="0"/>
                <w:sz w:val="20"/>
                <w:szCs w:val="20"/>
              </w:rPr>
              <w:t>分。</w:t>
            </w:r>
          </w:p>
        </w:tc>
        <w:tc>
          <w:tcPr>
            <w:tcW w:w="3490" w:type="dxa"/>
            <w:tcBorders>
              <w:top w:val="single" w:color="auto" w:sz="4" w:space="0"/>
              <w:left w:val="nil"/>
              <w:bottom w:val="single" w:color="auto" w:sz="4" w:space="0"/>
              <w:right w:val="single" w:color="auto" w:sz="4" w:space="0"/>
            </w:tcBorders>
            <w:vAlign w:val="center"/>
          </w:tcPr>
          <w:p w14:paraId="31D97F9A">
            <w:pPr>
              <w:widowControl/>
              <w:jc w:val="left"/>
              <w:rPr>
                <w:rFonts w:hint="eastAsia" w:eastAsia="仿宋_GB2312"/>
                <w:kern w:val="0"/>
                <w:sz w:val="20"/>
                <w:szCs w:val="20"/>
                <w:lang w:eastAsia="zh-CN"/>
              </w:rPr>
            </w:pPr>
            <w:r>
              <w:rPr>
                <w:rFonts w:hint="eastAsia"/>
                <w:kern w:val="0"/>
                <w:sz w:val="20"/>
                <w:szCs w:val="20"/>
                <w:lang w:eastAsia="zh-CN"/>
              </w:rPr>
              <w:t>促进部门改进工作作风，加强资金及资产管理，推动提质增效，降低运行成本，效果较好。</w:t>
            </w:r>
          </w:p>
        </w:tc>
        <w:tc>
          <w:tcPr>
            <w:tcW w:w="637" w:type="dxa"/>
            <w:tcBorders>
              <w:top w:val="single" w:color="auto" w:sz="4" w:space="0"/>
              <w:left w:val="nil"/>
              <w:bottom w:val="single" w:color="auto" w:sz="4" w:space="0"/>
              <w:right w:val="single" w:color="auto" w:sz="4" w:space="0"/>
            </w:tcBorders>
            <w:vAlign w:val="center"/>
          </w:tcPr>
          <w:p w14:paraId="22F720B4">
            <w:pPr>
              <w:widowControl/>
              <w:jc w:val="center"/>
              <w:rPr>
                <w:kern w:val="0"/>
                <w:sz w:val="24"/>
              </w:rPr>
            </w:pPr>
            <w:r>
              <w:rPr>
                <w:rFonts w:hint="eastAsia"/>
                <w:kern w:val="0"/>
                <w:sz w:val="24"/>
              </w:rPr>
              <w:t>6</w:t>
            </w:r>
          </w:p>
        </w:tc>
      </w:tr>
      <w:tr w14:paraId="6A4EE20C">
        <w:tblPrEx>
          <w:tblCellMar>
            <w:top w:w="0" w:type="dxa"/>
            <w:left w:w="108" w:type="dxa"/>
            <w:bottom w:w="0" w:type="dxa"/>
            <w:right w:w="108" w:type="dxa"/>
          </w:tblCellMar>
        </w:tblPrEx>
        <w:trPr>
          <w:trHeight w:val="1255" w:hRule="atLeast"/>
          <w:jc w:val="center"/>
        </w:trPr>
        <w:tc>
          <w:tcPr>
            <w:tcW w:w="709" w:type="dxa"/>
            <w:vMerge w:val="continue"/>
            <w:tcBorders>
              <w:left w:val="single" w:color="auto" w:sz="4" w:space="0"/>
              <w:bottom w:val="single" w:color="000000" w:sz="4" w:space="0"/>
              <w:right w:val="single" w:color="auto" w:sz="4" w:space="0"/>
            </w:tcBorders>
            <w:vAlign w:val="center"/>
          </w:tcPr>
          <w:p w14:paraId="71339D2F">
            <w:pPr>
              <w:widowControl/>
              <w:jc w:val="left"/>
              <w:rPr>
                <w:rFonts w:eastAsia="仿宋_GB2312"/>
                <w:kern w:val="0"/>
                <w:sz w:val="20"/>
                <w:szCs w:val="20"/>
              </w:rPr>
            </w:pPr>
          </w:p>
        </w:tc>
        <w:tc>
          <w:tcPr>
            <w:tcW w:w="677" w:type="dxa"/>
            <w:vMerge w:val="continue"/>
            <w:tcBorders>
              <w:left w:val="single" w:color="auto" w:sz="4" w:space="0"/>
              <w:bottom w:val="single" w:color="000000" w:sz="4" w:space="0"/>
              <w:right w:val="single" w:color="auto" w:sz="4" w:space="0"/>
            </w:tcBorders>
            <w:vAlign w:val="center"/>
          </w:tcPr>
          <w:p w14:paraId="54A56DA2">
            <w:pPr>
              <w:widowControl/>
              <w:jc w:val="left"/>
              <w:rPr>
                <w:rFonts w:eastAsia="仿宋_GB2312"/>
                <w:kern w:val="0"/>
                <w:sz w:val="20"/>
                <w:szCs w:val="20"/>
              </w:rPr>
            </w:pPr>
          </w:p>
        </w:tc>
        <w:tc>
          <w:tcPr>
            <w:tcW w:w="1014" w:type="dxa"/>
            <w:tcBorders>
              <w:top w:val="nil"/>
              <w:left w:val="nil"/>
              <w:bottom w:val="single" w:color="auto" w:sz="4" w:space="0"/>
              <w:right w:val="single" w:color="auto" w:sz="4" w:space="0"/>
            </w:tcBorders>
            <w:vAlign w:val="center"/>
          </w:tcPr>
          <w:p w14:paraId="71F13C08">
            <w:pPr>
              <w:widowControl/>
              <w:jc w:val="left"/>
              <w:rPr>
                <w:rFonts w:eastAsia="仿宋_GB2312"/>
                <w:kern w:val="0"/>
                <w:sz w:val="20"/>
                <w:szCs w:val="20"/>
              </w:rPr>
            </w:pPr>
            <w:r>
              <w:rPr>
                <w:rFonts w:hint="eastAsia"/>
                <w:kern w:val="0"/>
                <w:sz w:val="20"/>
                <w:szCs w:val="20"/>
              </w:rPr>
              <w:t>社会公众或服务对象满意度</w:t>
            </w:r>
          </w:p>
        </w:tc>
        <w:tc>
          <w:tcPr>
            <w:tcW w:w="483" w:type="dxa"/>
            <w:tcBorders>
              <w:top w:val="nil"/>
              <w:left w:val="nil"/>
              <w:bottom w:val="single" w:color="auto" w:sz="4" w:space="0"/>
              <w:right w:val="single" w:color="auto" w:sz="4" w:space="0"/>
            </w:tcBorders>
            <w:vAlign w:val="center"/>
          </w:tcPr>
          <w:p w14:paraId="09D2627A">
            <w:pPr>
              <w:widowControl/>
              <w:jc w:val="center"/>
              <w:rPr>
                <w:rFonts w:eastAsia="仿宋_GB2312"/>
                <w:kern w:val="0"/>
                <w:sz w:val="20"/>
                <w:szCs w:val="20"/>
              </w:rPr>
            </w:pPr>
            <w:r>
              <w:rPr>
                <w:kern w:val="0"/>
                <w:sz w:val="20"/>
                <w:szCs w:val="20"/>
              </w:rPr>
              <w:t>9</w:t>
            </w:r>
          </w:p>
        </w:tc>
        <w:tc>
          <w:tcPr>
            <w:tcW w:w="2948" w:type="dxa"/>
            <w:tcBorders>
              <w:top w:val="nil"/>
              <w:left w:val="nil"/>
              <w:bottom w:val="single" w:color="auto" w:sz="4" w:space="0"/>
              <w:right w:val="single" w:color="auto" w:sz="4" w:space="0"/>
            </w:tcBorders>
            <w:vAlign w:val="center"/>
          </w:tcPr>
          <w:p w14:paraId="33395B70">
            <w:pPr>
              <w:widowControl/>
              <w:jc w:val="left"/>
              <w:rPr>
                <w:rFonts w:eastAsia="仿宋_GB2312"/>
                <w:kern w:val="0"/>
                <w:sz w:val="20"/>
                <w:szCs w:val="20"/>
              </w:rPr>
            </w:pPr>
            <w:r>
              <w:rPr>
                <w:kern w:val="0"/>
                <w:sz w:val="20"/>
                <w:szCs w:val="20"/>
              </w:rPr>
              <w:t>90%</w:t>
            </w:r>
            <w:r>
              <w:rPr>
                <w:rFonts w:hint="eastAsia"/>
                <w:kern w:val="0"/>
                <w:sz w:val="20"/>
                <w:szCs w:val="20"/>
              </w:rPr>
              <w:t>（含）以上计</w:t>
            </w:r>
            <w:r>
              <w:rPr>
                <w:kern w:val="0"/>
                <w:sz w:val="20"/>
                <w:szCs w:val="20"/>
              </w:rPr>
              <w:t>6</w:t>
            </w:r>
            <w:r>
              <w:rPr>
                <w:rFonts w:hint="eastAsia"/>
                <w:kern w:val="0"/>
                <w:sz w:val="20"/>
                <w:szCs w:val="20"/>
              </w:rPr>
              <w:t>分；</w:t>
            </w:r>
            <w:r>
              <w:rPr>
                <w:rFonts w:eastAsia="仿宋_GB2312"/>
                <w:kern w:val="0"/>
                <w:sz w:val="20"/>
                <w:szCs w:val="20"/>
              </w:rPr>
              <w:br w:type="textWrapping"/>
            </w:r>
            <w:r>
              <w:rPr>
                <w:kern w:val="0"/>
                <w:sz w:val="20"/>
                <w:szCs w:val="20"/>
              </w:rPr>
              <w:t>80%</w:t>
            </w:r>
            <w:r>
              <w:rPr>
                <w:rFonts w:hint="eastAsia"/>
                <w:kern w:val="0"/>
                <w:sz w:val="20"/>
                <w:szCs w:val="20"/>
              </w:rPr>
              <w:t>（含）</w:t>
            </w:r>
            <w:r>
              <w:rPr>
                <w:kern w:val="0"/>
                <w:sz w:val="20"/>
                <w:szCs w:val="20"/>
              </w:rPr>
              <w:t>-90%</w:t>
            </w:r>
            <w:r>
              <w:rPr>
                <w:rFonts w:hint="eastAsia"/>
                <w:kern w:val="0"/>
                <w:sz w:val="20"/>
                <w:szCs w:val="20"/>
              </w:rPr>
              <w:t>，计</w:t>
            </w:r>
            <w:r>
              <w:rPr>
                <w:kern w:val="0"/>
                <w:sz w:val="20"/>
                <w:szCs w:val="20"/>
              </w:rPr>
              <w:t>4</w:t>
            </w:r>
            <w:r>
              <w:rPr>
                <w:rFonts w:hint="eastAsia"/>
                <w:kern w:val="0"/>
                <w:sz w:val="20"/>
                <w:szCs w:val="20"/>
              </w:rPr>
              <w:t>分；</w:t>
            </w:r>
            <w:r>
              <w:rPr>
                <w:rFonts w:eastAsia="仿宋_GB2312"/>
                <w:kern w:val="0"/>
                <w:sz w:val="20"/>
                <w:szCs w:val="20"/>
              </w:rPr>
              <w:br w:type="textWrapping"/>
            </w:r>
            <w:r>
              <w:rPr>
                <w:kern w:val="0"/>
                <w:sz w:val="20"/>
                <w:szCs w:val="20"/>
              </w:rPr>
              <w:t>70%</w:t>
            </w:r>
            <w:r>
              <w:rPr>
                <w:rFonts w:hint="eastAsia"/>
                <w:kern w:val="0"/>
                <w:sz w:val="20"/>
                <w:szCs w:val="20"/>
              </w:rPr>
              <w:t>（含）</w:t>
            </w:r>
            <w:r>
              <w:rPr>
                <w:kern w:val="0"/>
                <w:sz w:val="20"/>
                <w:szCs w:val="20"/>
              </w:rPr>
              <w:t>-80%</w:t>
            </w:r>
            <w:r>
              <w:rPr>
                <w:rFonts w:hint="eastAsia"/>
                <w:kern w:val="0"/>
                <w:sz w:val="20"/>
                <w:szCs w:val="20"/>
              </w:rPr>
              <w:t>，计</w:t>
            </w:r>
            <w:r>
              <w:rPr>
                <w:kern w:val="0"/>
                <w:sz w:val="20"/>
                <w:szCs w:val="20"/>
              </w:rPr>
              <w:t>2</w:t>
            </w:r>
            <w:r>
              <w:rPr>
                <w:rFonts w:hint="eastAsia"/>
                <w:kern w:val="0"/>
                <w:sz w:val="20"/>
                <w:szCs w:val="20"/>
              </w:rPr>
              <w:t>分；</w:t>
            </w:r>
            <w:r>
              <w:rPr>
                <w:rFonts w:eastAsia="仿宋_GB2312"/>
                <w:kern w:val="0"/>
                <w:sz w:val="20"/>
                <w:szCs w:val="20"/>
              </w:rPr>
              <w:br w:type="textWrapping"/>
            </w:r>
            <w:r>
              <w:rPr>
                <w:rFonts w:hint="eastAsia"/>
                <w:kern w:val="0"/>
                <w:sz w:val="20"/>
                <w:szCs w:val="20"/>
              </w:rPr>
              <w:t>低于</w:t>
            </w:r>
            <w:r>
              <w:rPr>
                <w:kern w:val="0"/>
                <w:sz w:val="20"/>
                <w:szCs w:val="20"/>
              </w:rPr>
              <w:t>70%</w:t>
            </w:r>
            <w:r>
              <w:rPr>
                <w:rFonts w:hint="eastAsia"/>
                <w:kern w:val="0"/>
                <w:sz w:val="20"/>
                <w:szCs w:val="20"/>
              </w:rPr>
              <w:t>计</w:t>
            </w:r>
            <w:r>
              <w:rPr>
                <w:kern w:val="0"/>
                <w:sz w:val="20"/>
                <w:szCs w:val="20"/>
              </w:rPr>
              <w:t>0</w:t>
            </w:r>
            <w:r>
              <w:rPr>
                <w:rFonts w:hint="eastAsia"/>
                <w:kern w:val="0"/>
                <w:sz w:val="20"/>
                <w:szCs w:val="20"/>
              </w:rPr>
              <w:t>分。</w:t>
            </w:r>
          </w:p>
        </w:tc>
        <w:tc>
          <w:tcPr>
            <w:tcW w:w="3490" w:type="dxa"/>
            <w:tcBorders>
              <w:top w:val="nil"/>
              <w:left w:val="nil"/>
              <w:bottom w:val="single" w:color="auto" w:sz="4" w:space="0"/>
              <w:right w:val="single" w:color="auto" w:sz="4" w:space="0"/>
            </w:tcBorders>
            <w:vAlign w:val="center"/>
          </w:tcPr>
          <w:p w14:paraId="248E6891">
            <w:pPr>
              <w:widowControl/>
              <w:jc w:val="left"/>
              <w:rPr>
                <w:rFonts w:eastAsia="仿宋_GB2312"/>
                <w:kern w:val="0"/>
                <w:sz w:val="20"/>
                <w:szCs w:val="20"/>
              </w:rPr>
            </w:pPr>
            <w:r>
              <w:rPr>
                <w:rFonts w:hint="eastAsia"/>
                <w:kern w:val="0"/>
                <w:sz w:val="20"/>
                <w:szCs w:val="20"/>
              </w:rPr>
              <w:t>社会公众或服务对象是指部门（单位）履行职责而影响到的部门、群体或个人，一般采取社会调查的方式。</w:t>
            </w:r>
          </w:p>
        </w:tc>
        <w:tc>
          <w:tcPr>
            <w:tcW w:w="637" w:type="dxa"/>
            <w:tcBorders>
              <w:top w:val="nil"/>
              <w:left w:val="nil"/>
              <w:bottom w:val="single" w:color="auto" w:sz="4" w:space="0"/>
              <w:right w:val="single" w:color="auto" w:sz="4" w:space="0"/>
            </w:tcBorders>
            <w:vAlign w:val="center"/>
          </w:tcPr>
          <w:p w14:paraId="7B8E75EB">
            <w:pPr>
              <w:widowControl/>
              <w:jc w:val="center"/>
              <w:rPr>
                <w:kern w:val="0"/>
                <w:sz w:val="24"/>
              </w:rPr>
            </w:pPr>
            <w:r>
              <w:rPr>
                <w:rFonts w:hint="eastAsia"/>
                <w:kern w:val="0"/>
                <w:sz w:val="24"/>
              </w:rPr>
              <w:t>9</w:t>
            </w:r>
          </w:p>
        </w:tc>
      </w:tr>
    </w:tbl>
    <w:p w14:paraId="32092810">
      <w:pPr>
        <w:spacing w:line="560" w:lineRule="exact"/>
        <w:jc w:val="both"/>
        <w:rPr>
          <w:kern w:val="0"/>
          <w:sz w:val="36"/>
          <w:szCs w:val="36"/>
        </w:rPr>
      </w:pPr>
    </w:p>
    <w:p w14:paraId="027AFAAA">
      <w:pPr>
        <w:spacing w:line="560" w:lineRule="exact"/>
        <w:jc w:val="center"/>
        <w:rPr>
          <w:rFonts w:hint="eastAsia"/>
          <w:kern w:val="0"/>
          <w:sz w:val="36"/>
          <w:szCs w:val="36"/>
        </w:rPr>
        <w:sectPr>
          <w:pgSz w:w="11906" w:h="16838"/>
          <w:pgMar w:top="1135" w:right="1416" w:bottom="1440" w:left="1418" w:header="851" w:footer="992" w:gutter="0"/>
          <w:cols w:space="425" w:num="1"/>
          <w:docGrid w:type="lines" w:linePitch="312" w:charSpace="0"/>
        </w:sectPr>
      </w:pPr>
    </w:p>
    <w:p w14:paraId="6BC91931">
      <w:pPr>
        <w:spacing w:line="560" w:lineRule="exact"/>
        <w:jc w:val="center"/>
        <w:rPr>
          <w:rFonts w:eastAsia="方正小标宋_GBK"/>
          <w:kern w:val="0"/>
          <w:sz w:val="36"/>
          <w:szCs w:val="36"/>
        </w:rPr>
      </w:pPr>
      <w:r>
        <w:rPr>
          <w:rFonts w:hint="eastAsia"/>
          <w:kern w:val="0"/>
          <w:sz w:val="36"/>
          <w:szCs w:val="36"/>
        </w:rPr>
        <w:t>部门整体支出绩效评价基础表</w:t>
      </w:r>
    </w:p>
    <w:p w14:paraId="3561A30A">
      <w:pPr>
        <w:widowControl/>
        <w:tabs>
          <w:tab w:val="left" w:pos="3611"/>
          <w:tab w:val="left" w:pos="4791"/>
          <w:tab w:val="left" w:pos="5951"/>
          <w:tab w:val="left" w:pos="7071"/>
          <w:tab w:val="left" w:pos="8191"/>
          <w:tab w:val="left" w:pos="9311"/>
        </w:tabs>
        <w:ind w:left="91"/>
        <w:jc w:val="left"/>
        <w:rPr>
          <w:rFonts w:eastAsia="仿宋_GB2312"/>
          <w:kern w:val="0"/>
          <w:sz w:val="24"/>
        </w:rPr>
      </w:pPr>
      <w:r>
        <w:rPr>
          <w:rFonts w:hint="eastAsia"/>
          <w:kern w:val="0"/>
          <w:sz w:val="24"/>
        </w:rPr>
        <w:t>填报单位：衡阳市应急管理局</w:t>
      </w:r>
      <w:r>
        <w:rPr>
          <w:rFonts w:eastAsia="PMingLiU"/>
          <w:kern w:val="0"/>
          <w:sz w:val="24"/>
        </w:rPr>
        <w:tab/>
      </w:r>
      <w:r>
        <w:rPr>
          <w:rFonts w:eastAsia="PMingLiU"/>
          <w:kern w:val="0"/>
          <w:sz w:val="24"/>
        </w:rPr>
        <w:tab/>
      </w:r>
      <w:r>
        <w:rPr>
          <w:rFonts w:eastAsia="PMingLiU"/>
          <w:kern w:val="0"/>
          <w:sz w:val="24"/>
        </w:rPr>
        <w:tab/>
      </w:r>
      <w:r>
        <w:rPr>
          <w:rFonts w:eastAsia="PMingLiU"/>
          <w:kern w:val="0"/>
          <w:sz w:val="24"/>
        </w:rPr>
        <w:tab/>
      </w:r>
      <w:r>
        <w:rPr>
          <w:rFonts w:eastAsia="PMingLiU"/>
          <w:kern w:val="0"/>
          <w:sz w:val="24"/>
        </w:rPr>
        <w:tab/>
      </w:r>
      <w:r>
        <w:rPr>
          <w:rFonts w:eastAsia="PMingLiU"/>
          <w:kern w:val="0"/>
          <w:sz w:val="24"/>
        </w:rPr>
        <w:tab/>
      </w:r>
    </w:p>
    <w:tbl>
      <w:tblPr>
        <w:tblStyle w:val="8"/>
        <w:tblW w:w="9464" w:type="dxa"/>
        <w:jc w:val="center"/>
        <w:tblLayout w:type="fixed"/>
        <w:tblCellMar>
          <w:top w:w="0" w:type="dxa"/>
          <w:left w:w="108" w:type="dxa"/>
          <w:bottom w:w="0" w:type="dxa"/>
          <w:right w:w="108" w:type="dxa"/>
        </w:tblCellMar>
      </w:tblPr>
      <w:tblGrid>
        <w:gridCol w:w="3620"/>
        <w:gridCol w:w="1772"/>
        <w:gridCol w:w="2240"/>
        <w:gridCol w:w="1832"/>
      </w:tblGrid>
      <w:tr w14:paraId="46616995">
        <w:tblPrEx>
          <w:tblCellMar>
            <w:top w:w="0" w:type="dxa"/>
            <w:left w:w="108" w:type="dxa"/>
            <w:bottom w:w="0" w:type="dxa"/>
            <w:right w:w="108" w:type="dxa"/>
          </w:tblCellMar>
        </w:tblPrEx>
        <w:trPr>
          <w:trHeight w:val="257" w:hRule="atLeast"/>
          <w:jc w:val="center"/>
        </w:trPr>
        <w:tc>
          <w:tcPr>
            <w:tcW w:w="3620" w:type="dxa"/>
            <w:vMerge w:val="restart"/>
            <w:tcBorders>
              <w:top w:val="single" w:color="auto" w:sz="4" w:space="0"/>
              <w:left w:val="single" w:color="auto" w:sz="4" w:space="0"/>
              <w:bottom w:val="single" w:color="auto" w:sz="4" w:space="0"/>
              <w:right w:val="single" w:color="auto" w:sz="4" w:space="0"/>
            </w:tcBorders>
            <w:vAlign w:val="center"/>
          </w:tcPr>
          <w:p w14:paraId="7493EEA3">
            <w:pPr>
              <w:widowControl/>
              <w:jc w:val="center"/>
              <w:rPr>
                <w:rFonts w:eastAsia="仿宋_GB2312"/>
                <w:kern w:val="0"/>
                <w:szCs w:val="21"/>
              </w:rPr>
            </w:pPr>
            <w:r>
              <w:rPr>
                <w:rFonts w:hint="eastAsia"/>
                <w:kern w:val="0"/>
                <w:szCs w:val="21"/>
              </w:rPr>
              <w:t>财政供养人员情况</w:t>
            </w:r>
          </w:p>
        </w:tc>
        <w:tc>
          <w:tcPr>
            <w:tcW w:w="1772" w:type="dxa"/>
            <w:tcBorders>
              <w:top w:val="single" w:color="auto" w:sz="4" w:space="0"/>
              <w:left w:val="nil"/>
              <w:bottom w:val="single" w:color="auto" w:sz="4" w:space="0"/>
              <w:right w:val="single" w:color="auto" w:sz="4" w:space="0"/>
            </w:tcBorders>
            <w:vAlign w:val="center"/>
          </w:tcPr>
          <w:p w14:paraId="3850B96B">
            <w:pPr>
              <w:widowControl/>
              <w:jc w:val="center"/>
              <w:rPr>
                <w:rFonts w:eastAsia="仿宋_GB2312"/>
                <w:b/>
                <w:bCs/>
                <w:kern w:val="0"/>
                <w:szCs w:val="21"/>
              </w:rPr>
            </w:pPr>
            <w:r>
              <w:rPr>
                <w:rFonts w:hint="eastAsia"/>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33D7F5DB">
            <w:pPr>
              <w:widowControl/>
              <w:jc w:val="center"/>
              <w:rPr>
                <w:rFonts w:eastAsia="仿宋_GB2312"/>
                <w:b/>
                <w:bCs/>
                <w:kern w:val="0"/>
                <w:szCs w:val="21"/>
              </w:rPr>
            </w:pPr>
            <w:r>
              <w:rPr>
                <w:b/>
                <w:bCs/>
                <w:kern w:val="0"/>
                <w:szCs w:val="21"/>
                <w:lang w:val="en"/>
              </w:rPr>
              <w:t>2021</w:t>
            </w:r>
            <w:r>
              <w:rPr>
                <w:rFonts w:hint="eastAsia"/>
                <w:b/>
                <w:bCs/>
                <w:kern w:val="0"/>
                <w:szCs w:val="21"/>
              </w:rPr>
              <w:t>年实际在职人数</w:t>
            </w:r>
          </w:p>
        </w:tc>
        <w:tc>
          <w:tcPr>
            <w:tcW w:w="1832" w:type="dxa"/>
            <w:tcBorders>
              <w:top w:val="single" w:color="auto" w:sz="4" w:space="0"/>
              <w:left w:val="nil"/>
              <w:bottom w:val="single" w:color="auto" w:sz="4" w:space="0"/>
              <w:right w:val="single" w:color="auto" w:sz="4" w:space="0"/>
            </w:tcBorders>
            <w:vAlign w:val="center"/>
          </w:tcPr>
          <w:p w14:paraId="102B84EC">
            <w:pPr>
              <w:widowControl/>
              <w:jc w:val="center"/>
              <w:rPr>
                <w:rFonts w:eastAsia="仿宋_GB2312"/>
                <w:b/>
                <w:bCs/>
                <w:kern w:val="0"/>
                <w:szCs w:val="21"/>
              </w:rPr>
            </w:pPr>
            <w:r>
              <w:rPr>
                <w:rFonts w:hint="eastAsia"/>
                <w:b/>
                <w:bCs/>
                <w:kern w:val="0"/>
                <w:szCs w:val="21"/>
              </w:rPr>
              <w:t>控制率</w:t>
            </w:r>
          </w:p>
        </w:tc>
      </w:tr>
      <w:tr w14:paraId="782F71CD">
        <w:tblPrEx>
          <w:tblCellMar>
            <w:top w:w="0" w:type="dxa"/>
            <w:left w:w="108" w:type="dxa"/>
            <w:bottom w:w="0" w:type="dxa"/>
            <w:right w:w="108" w:type="dxa"/>
          </w:tblCellMar>
        </w:tblPrEx>
        <w:trPr>
          <w:trHeight w:val="206" w:hRule="atLeast"/>
          <w:jc w:val="center"/>
        </w:trPr>
        <w:tc>
          <w:tcPr>
            <w:tcW w:w="3620" w:type="dxa"/>
            <w:vMerge w:val="continue"/>
            <w:tcBorders>
              <w:top w:val="single" w:color="auto" w:sz="4" w:space="0"/>
              <w:left w:val="single" w:color="auto" w:sz="4" w:space="0"/>
              <w:bottom w:val="single" w:color="auto" w:sz="4" w:space="0"/>
              <w:right w:val="single" w:color="auto" w:sz="4" w:space="0"/>
            </w:tcBorders>
            <w:vAlign w:val="center"/>
          </w:tcPr>
          <w:p w14:paraId="6603D522">
            <w:pPr>
              <w:widowControl/>
              <w:jc w:val="left"/>
              <w:rPr>
                <w:rFonts w:eastAsia="仿宋_GB2312"/>
                <w:kern w:val="0"/>
                <w:szCs w:val="21"/>
              </w:rPr>
            </w:pPr>
          </w:p>
        </w:tc>
        <w:tc>
          <w:tcPr>
            <w:tcW w:w="1772" w:type="dxa"/>
            <w:tcBorders>
              <w:top w:val="single" w:color="auto" w:sz="4" w:space="0"/>
              <w:left w:val="nil"/>
              <w:bottom w:val="single" w:color="auto" w:sz="4" w:space="0"/>
              <w:right w:val="single" w:color="auto" w:sz="4" w:space="0"/>
            </w:tcBorders>
            <w:vAlign w:val="center"/>
          </w:tcPr>
          <w:p w14:paraId="266497AA">
            <w:pPr>
              <w:widowControl/>
              <w:jc w:val="center"/>
              <w:rPr>
                <w:color w:val="auto"/>
                <w:kern w:val="0"/>
                <w:szCs w:val="21"/>
              </w:rPr>
            </w:pPr>
            <w:r>
              <w:rPr>
                <w:rFonts w:hint="eastAsia"/>
                <w:color w:val="auto"/>
                <w:kern w:val="0"/>
                <w:szCs w:val="21"/>
              </w:rPr>
              <w:t>96</w:t>
            </w:r>
          </w:p>
        </w:tc>
        <w:tc>
          <w:tcPr>
            <w:tcW w:w="2240" w:type="dxa"/>
            <w:tcBorders>
              <w:top w:val="single" w:color="auto" w:sz="4" w:space="0"/>
              <w:left w:val="nil"/>
              <w:bottom w:val="single" w:color="auto" w:sz="4" w:space="0"/>
              <w:right w:val="single" w:color="auto" w:sz="4" w:space="0"/>
            </w:tcBorders>
            <w:vAlign w:val="center"/>
          </w:tcPr>
          <w:p w14:paraId="12BEAD1A">
            <w:pPr>
              <w:widowControl/>
              <w:jc w:val="center"/>
              <w:rPr>
                <w:rFonts w:hint="default"/>
                <w:color w:val="auto"/>
                <w:kern w:val="0"/>
                <w:szCs w:val="21"/>
                <w:lang w:val="en"/>
              </w:rPr>
            </w:pPr>
            <w:r>
              <w:rPr>
                <w:rFonts w:hint="eastAsia"/>
                <w:color w:val="auto"/>
                <w:kern w:val="0"/>
                <w:szCs w:val="21"/>
              </w:rPr>
              <w:t>9</w:t>
            </w:r>
            <w:r>
              <w:rPr>
                <w:rFonts w:hint="default"/>
                <w:color w:val="auto"/>
                <w:kern w:val="0"/>
                <w:szCs w:val="21"/>
                <w:lang w:val="en"/>
              </w:rPr>
              <w:t>3</w:t>
            </w:r>
          </w:p>
        </w:tc>
        <w:tc>
          <w:tcPr>
            <w:tcW w:w="1832" w:type="dxa"/>
            <w:tcBorders>
              <w:top w:val="single" w:color="auto" w:sz="4" w:space="0"/>
              <w:left w:val="nil"/>
              <w:bottom w:val="single" w:color="auto" w:sz="4" w:space="0"/>
              <w:right w:val="single" w:color="auto" w:sz="4" w:space="0"/>
            </w:tcBorders>
            <w:vAlign w:val="center"/>
          </w:tcPr>
          <w:p w14:paraId="46708EE6">
            <w:pPr>
              <w:widowControl/>
              <w:jc w:val="center"/>
              <w:rPr>
                <w:rFonts w:eastAsia="仿宋_GB2312"/>
                <w:color w:val="auto"/>
                <w:kern w:val="0"/>
                <w:szCs w:val="21"/>
              </w:rPr>
            </w:pPr>
            <w:r>
              <w:rPr>
                <w:rFonts w:hint="default"/>
                <w:color w:val="auto"/>
                <w:kern w:val="0"/>
                <w:szCs w:val="21"/>
                <w:lang w:val="en"/>
              </w:rPr>
              <w:t>96.88</w:t>
            </w:r>
            <w:r>
              <w:rPr>
                <w:rFonts w:hint="eastAsia"/>
                <w:color w:val="auto"/>
                <w:kern w:val="0"/>
                <w:szCs w:val="21"/>
              </w:rPr>
              <w:t>%</w:t>
            </w:r>
          </w:p>
        </w:tc>
      </w:tr>
      <w:tr w14:paraId="74838960">
        <w:tblPrEx>
          <w:tblCellMar>
            <w:top w:w="0" w:type="dxa"/>
            <w:left w:w="108" w:type="dxa"/>
            <w:bottom w:w="0" w:type="dxa"/>
            <w:right w:w="108" w:type="dxa"/>
          </w:tblCellMar>
        </w:tblPrEx>
        <w:trPr>
          <w:trHeight w:val="465" w:hRule="atLeast"/>
          <w:jc w:val="center"/>
        </w:trPr>
        <w:tc>
          <w:tcPr>
            <w:tcW w:w="3620" w:type="dxa"/>
            <w:tcBorders>
              <w:top w:val="nil"/>
              <w:left w:val="single" w:color="auto" w:sz="4" w:space="0"/>
              <w:bottom w:val="single" w:color="auto" w:sz="4" w:space="0"/>
              <w:right w:val="single" w:color="auto" w:sz="4" w:space="0"/>
            </w:tcBorders>
            <w:vAlign w:val="center"/>
          </w:tcPr>
          <w:p w14:paraId="2D83BF53">
            <w:pPr>
              <w:widowControl/>
              <w:jc w:val="center"/>
              <w:rPr>
                <w:rFonts w:eastAsia="仿宋_GB2312"/>
                <w:kern w:val="0"/>
                <w:szCs w:val="21"/>
              </w:rPr>
            </w:pPr>
            <w:r>
              <w:rPr>
                <w:rFonts w:hint="eastAsia"/>
                <w:kern w:val="0"/>
                <w:szCs w:val="21"/>
              </w:rPr>
              <w:t>经费控制情况</w:t>
            </w:r>
          </w:p>
        </w:tc>
        <w:tc>
          <w:tcPr>
            <w:tcW w:w="1772" w:type="dxa"/>
            <w:tcBorders>
              <w:top w:val="single" w:color="auto" w:sz="4" w:space="0"/>
              <w:left w:val="nil"/>
              <w:bottom w:val="single" w:color="auto" w:sz="4" w:space="0"/>
              <w:right w:val="single" w:color="000000" w:sz="4" w:space="0"/>
            </w:tcBorders>
            <w:vAlign w:val="center"/>
          </w:tcPr>
          <w:p w14:paraId="4879E1C4">
            <w:pPr>
              <w:widowControl/>
              <w:jc w:val="center"/>
              <w:rPr>
                <w:rFonts w:eastAsia="仿宋_GB2312"/>
                <w:b/>
                <w:bCs/>
                <w:kern w:val="0"/>
                <w:szCs w:val="21"/>
              </w:rPr>
            </w:pPr>
            <w:r>
              <w:rPr>
                <w:b/>
                <w:bCs/>
                <w:kern w:val="0"/>
                <w:szCs w:val="21"/>
              </w:rPr>
              <w:t>20</w:t>
            </w:r>
            <w:r>
              <w:rPr>
                <w:rFonts w:hint="default"/>
                <w:b/>
                <w:bCs/>
                <w:kern w:val="0"/>
                <w:szCs w:val="21"/>
                <w:lang w:val="en"/>
              </w:rPr>
              <w:t>20</w:t>
            </w:r>
            <w:r>
              <w:rPr>
                <w:rFonts w:hint="eastAsia"/>
                <w:b/>
                <w:bCs/>
                <w:kern w:val="0"/>
                <w:szCs w:val="21"/>
              </w:rPr>
              <w:t>年决算数</w:t>
            </w:r>
          </w:p>
        </w:tc>
        <w:tc>
          <w:tcPr>
            <w:tcW w:w="2240" w:type="dxa"/>
            <w:tcBorders>
              <w:top w:val="single" w:color="auto" w:sz="4" w:space="0"/>
              <w:left w:val="nil"/>
              <w:bottom w:val="single" w:color="auto" w:sz="4" w:space="0"/>
              <w:right w:val="single" w:color="000000" w:sz="4" w:space="0"/>
            </w:tcBorders>
            <w:vAlign w:val="center"/>
          </w:tcPr>
          <w:p w14:paraId="60338C7F">
            <w:pPr>
              <w:widowControl/>
              <w:jc w:val="center"/>
              <w:rPr>
                <w:rFonts w:eastAsia="仿宋_GB2312"/>
                <w:b/>
                <w:bCs/>
                <w:kern w:val="0"/>
                <w:szCs w:val="21"/>
              </w:rPr>
            </w:pPr>
            <w:r>
              <w:rPr>
                <w:b/>
                <w:bCs/>
                <w:kern w:val="0"/>
                <w:szCs w:val="21"/>
                <w:lang w:val="en"/>
              </w:rPr>
              <w:t>2021</w:t>
            </w:r>
            <w:r>
              <w:rPr>
                <w:rFonts w:hint="eastAsia"/>
                <w:b/>
                <w:bCs/>
                <w:kern w:val="0"/>
                <w:szCs w:val="21"/>
              </w:rPr>
              <w:t>年预算数</w:t>
            </w:r>
          </w:p>
        </w:tc>
        <w:tc>
          <w:tcPr>
            <w:tcW w:w="1832" w:type="dxa"/>
            <w:tcBorders>
              <w:top w:val="single" w:color="auto" w:sz="4" w:space="0"/>
              <w:left w:val="nil"/>
              <w:bottom w:val="single" w:color="auto" w:sz="4" w:space="0"/>
              <w:right w:val="single" w:color="000000" w:sz="4" w:space="0"/>
            </w:tcBorders>
            <w:vAlign w:val="center"/>
          </w:tcPr>
          <w:p w14:paraId="64057763">
            <w:pPr>
              <w:widowControl/>
              <w:jc w:val="center"/>
              <w:rPr>
                <w:rFonts w:eastAsia="仿宋_GB2312"/>
                <w:b/>
                <w:bCs/>
                <w:kern w:val="0"/>
                <w:szCs w:val="21"/>
              </w:rPr>
            </w:pPr>
            <w:r>
              <w:rPr>
                <w:b/>
                <w:bCs/>
                <w:kern w:val="0"/>
                <w:szCs w:val="21"/>
                <w:lang w:val="en"/>
              </w:rPr>
              <w:t>2021</w:t>
            </w:r>
            <w:r>
              <w:rPr>
                <w:rFonts w:hint="eastAsia"/>
                <w:b/>
                <w:bCs/>
                <w:kern w:val="0"/>
                <w:szCs w:val="21"/>
              </w:rPr>
              <w:t>年决算数</w:t>
            </w:r>
          </w:p>
        </w:tc>
      </w:tr>
      <w:tr w14:paraId="73247D76">
        <w:tblPrEx>
          <w:tblCellMar>
            <w:top w:w="0" w:type="dxa"/>
            <w:left w:w="108" w:type="dxa"/>
            <w:bottom w:w="0" w:type="dxa"/>
            <w:right w:w="108" w:type="dxa"/>
          </w:tblCellMar>
        </w:tblPrEx>
        <w:trPr>
          <w:trHeight w:val="400" w:hRule="atLeast"/>
          <w:jc w:val="center"/>
        </w:trPr>
        <w:tc>
          <w:tcPr>
            <w:tcW w:w="3620" w:type="dxa"/>
            <w:tcBorders>
              <w:top w:val="nil"/>
              <w:left w:val="single" w:color="auto" w:sz="4" w:space="0"/>
              <w:bottom w:val="single" w:color="auto" w:sz="4" w:space="0"/>
              <w:right w:val="single" w:color="auto" w:sz="4" w:space="0"/>
            </w:tcBorders>
            <w:vAlign w:val="center"/>
          </w:tcPr>
          <w:p w14:paraId="7C39500B">
            <w:pPr>
              <w:widowControl/>
              <w:jc w:val="left"/>
              <w:rPr>
                <w:rFonts w:eastAsia="仿宋_GB2312"/>
                <w:kern w:val="0"/>
                <w:szCs w:val="21"/>
              </w:rPr>
            </w:pPr>
            <w:r>
              <w:rPr>
                <w:rFonts w:hint="eastAsia"/>
                <w:kern w:val="0"/>
                <w:szCs w:val="21"/>
              </w:rPr>
              <w:t>一、部门基本支出</w:t>
            </w:r>
          </w:p>
        </w:tc>
        <w:tc>
          <w:tcPr>
            <w:tcW w:w="1772" w:type="dxa"/>
            <w:tcBorders>
              <w:top w:val="single" w:color="auto" w:sz="4" w:space="0"/>
              <w:left w:val="nil"/>
              <w:bottom w:val="single" w:color="auto" w:sz="4" w:space="0"/>
              <w:right w:val="single" w:color="000000" w:sz="4" w:space="0"/>
            </w:tcBorders>
            <w:vAlign w:val="center"/>
          </w:tcPr>
          <w:p w14:paraId="5F5FFD09">
            <w:pPr>
              <w:widowControl/>
              <w:jc w:val="center"/>
              <w:rPr>
                <w:rFonts w:hint="default" w:eastAsia="仿宋_GB2312"/>
                <w:kern w:val="0"/>
                <w:szCs w:val="21"/>
                <w:lang w:val="en-US" w:eastAsia="zh-CN"/>
              </w:rPr>
            </w:pPr>
            <w:r>
              <w:rPr>
                <w:rFonts w:hint="eastAsia" w:eastAsia="仿宋_GB2312"/>
                <w:kern w:val="0"/>
                <w:szCs w:val="21"/>
                <w:lang w:val="en-US" w:eastAsia="zh-CN"/>
              </w:rPr>
              <w:t>2456.82</w:t>
            </w:r>
          </w:p>
        </w:tc>
        <w:tc>
          <w:tcPr>
            <w:tcW w:w="2240" w:type="dxa"/>
            <w:tcBorders>
              <w:top w:val="single" w:color="auto" w:sz="4" w:space="0"/>
              <w:left w:val="nil"/>
              <w:bottom w:val="single" w:color="auto" w:sz="4" w:space="0"/>
              <w:right w:val="single" w:color="000000" w:sz="4" w:space="0"/>
            </w:tcBorders>
            <w:vAlign w:val="center"/>
          </w:tcPr>
          <w:p w14:paraId="7355F743">
            <w:pPr>
              <w:widowControl/>
              <w:jc w:val="center"/>
              <w:rPr>
                <w:rFonts w:hint="default" w:eastAsia="仿宋_GB2312"/>
                <w:kern w:val="0"/>
                <w:szCs w:val="21"/>
                <w:lang w:val="en-US" w:eastAsia="zh-CN"/>
              </w:rPr>
            </w:pPr>
            <w:r>
              <w:rPr>
                <w:rFonts w:hint="eastAsia" w:eastAsia="仿宋_GB2312"/>
                <w:kern w:val="0"/>
                <w:szCs w:val="21"/>
                <w:lang w:val="en-US" w:eastAsia="zh-CN"/>
              </w:rPr>
              <w:t>1987.68</w:t>
            </w:r>
          </w:p>
        </w:tc>
        <w:tc>
          <w:tcPr>
            <w:tcW w:w="1832" w:type="dxa"/>
            <w:tcBorders>
              <w:top w:val="single" w:color="auto" w:sz="4" w:space="0"/>
              <w:left w:val="nil"/>
              <w:bottom w:val="single" w:color="auto" w:sz="4" w:space="0"/>
              <w:right w:val="single" w:color="000000" w:sz="4" w:space="0"/>
            </w:tcBorders>
            <w:vAlign w:val="center"/>
          </w:tcPr>
          <w:p w14:paraId="21347588">
            <w:pPr>
              <w:widowControl/>
              <w:jc w:val="center"/>
              <w:rPr>
                <w:rFonts w:hint="default" w:eastAsia="仿宋_GB2312"/>
                <w:kern w:val="0"/>
                <w:szCs w:val="21"/>
                <w:lang w:val="en-US" w:eastAsia="zh-CN"/>
              </w:rPr>
            </w:pPr>
            <w:r>
              <w:rPr>
                <w:rFonts w:hint="eastAsia" w:eastAsia="仿宋_GB2312"/>
                <w:kern w:val="0"/>
                <w:szCs w:val="21"/>
                <w:lang w:val="en-US" w:eastAsia="zh-CN"/>
              </w:rPr>
              <w:t>2461.51</w:t>
            </w:r>
          </w:p>
        </w:tc>
      </w:tr>
      <w:tr w14:paraId="2A563F99">
        <w:tblPrEx>
          <w:tblCellMar>
            <w:top w:w="0" w:type="dxa"/>
            <w:left w:w="108" w:type="dxa"/>
            <w:bottom w:w="0" w:type="dxa"/>
            <w:right w:w="108" w:type="dxa"/>
          </w:tblCellMar>
        </w:tblPrEx>
        <w:trPr>
          <w:trHeight w:val="400" w:hRule="atLeast"/>
          <w:jc w:val="center"/>
        </w:trPr>
        <w:tc>
          <w:tcPr>
            <w:tcW w:w="3620" w:type="dxa"/>
            <w:tcBorders>
              <w:top w:val="nil"/>
              <w:left w:val="single" w:color="auto" w:sz="4" w:space="0"/>
              <w:bottom w:val="single" w:color="auto" w:sz="4" w:space="0"/>
              <w:right w:val="single" w:color="auto" w:sz="4" w:space="0"/>
            </w:tcBorders>
            <w:vAlign w:val="center"/>
          </w:tcPr>
          <w:p w14:paraId="02CDB0CB">
            <w:pPr>
              <w:widowControl/>
              <w:jc w:val="left"/>
              <w:rPr>
                <w:rFonts w:eastAsia="仿宋_GB2312"/>
                <w:kern w:val="0"/>
                <w:szCs w:val="21"/>
              </w:rPr>
            </w:pPr>
            <w:r>
              <w:rPr>
                <w:rFonts w:hint="eastAsia"/>
                <w:kern w:val="0"/>
                <w:szCs w:val="21"/>
              </w:rPr>
              <w:t>其中：公用经费</w:t>
            </w:r>
          </w:p>
        </w:tc>
        <w:tc>
          <w:tcPr>
            <w:tcW w:w="1772" w:type="dxa"/>
            <w:tcBorders>
              <w:top w:val="single" w:color="auto" w:sz="4" w:space="0"/>
              <w:left w:val="nil"/>
              <w:bottom w:val="single" w:color="auto" w:sz="4" w:space="0"/>
              <w:right w:val="single" w:color="000000" w:sz="4" w:space="0"/>
            </w:tcBorders>
            <w:vAlign w:val="center"/>
          </w:tcPr>
          <w:p w14:paraId="1C4FCF7F">
            <w:pPr>
              <w:widowControl/>
              <w:jc w:val="center"/>
              <w:rPr>
                <w:rFonts w:hint="default" w:eastAsia="仿宋_GB2312"/>
                <w:kern w:val="0"/>
                <w:szCs w:val="21"/>
                <w:lang w:val="en-US" w:eastAsia="zh-CN"/>
              </w:rPr>
            </w:pPr>
            <w:r>
              <w:rPr>
                <w:rFonts w:hint="eastAsia" w:eastAsia="仿宋_GB2312"/>
                <w:kern w:val="0"/>
                <w:szCs w:val="21"/>
                <w:lang w:val="en-US" w:eastAsia="zh-CN"/>
              </w:rPr>
              <w:t>374.35</w:t>
            </w:r>
          </w:p>
        </w:tc>
        <w:tc>
          <w:tcPr>
            <w:tcW w:w="2240" w:type="dxa"/>
            <w:tcBorders>
              <w:top w:val="single" w:color="auto" w:sz="4" w:space="0"/>
              <w:left w:val="nil"/>
              <w:bottom w:val="single" w:color="auto" w:sz="4" w:space="0"/>
              <w:right w:val="single" w:color="000000" w:sz="4" w:space="0"/>
            </w:tcBorders>
            <w:vAlign w:val="center"/>
          </w:tcPr>
          <w:p w14:paraId="7941F4DB">
            <w:pPr>
              <w:widowControl/>
              <w:jc w:val="center"/>
              <w:rPr>
                <w:rFonts w:hint="default" w:eastAsia="仿宋_GB2312"/>
                <w:kern w:val="0"/>
                <w:szCs w:val="21"/>
                <w:lang w:val="en-US" w:eastAsia="zh-CN"/>
              </w:rPr>
            </w:pPr>
            <w:r>
              <w:rPr>
                <w:rFonts w:hint="eastAsia" w:eastAsia="仿宋_GB2312"/>
                <w:kern w:val="0"/>
                <w:szCs w:val="21"/>
                <w:lang w:val="en-US" w:eastAsia="zh-CN"/>
              </w:rPr>
              <w:t>579.56</w:t>
            </w:r>
          </w:p>
        </w:tc>
        <w:tc>
          <w:tcPr>
            <w:tcW w:w="1832" w:type="dxa"/>
            <w:tcBorders>
              <w:top w:val="single" w:color="auto" w:sz="4" w:space="0"/>
              <w:left w:val="nil"/>
              <w:bottom w:val="single" w:color="auto" w:sz="4" w:space="0"/>
              <w:right w:val="single" w:color="000000" w:sz="4" w:space="0"/>
            </w:tcBorders>
            <w:vAlign w:val="center"/>
          </w:tcPr>
          <w:p w14:paraId="3C89D457">
            <w:pPr>
              <w:widowControl/>
              <w:jc w:val="center"/>
              <w:rPr>
                <w:rFonts w:hint="default" w:eastAsia="仿宋_GB2312"/>
                <w:kern w:val="0"/>
                <w:szCs w:val="21"/>
                <w:lang w:val="en-US" w:eastAsia="zh-CN"/>
              </w:rPr>
            </w:pPr>
            <w:r>
              <w:rPr>
                <w:rFonts w:hint="eastAsia" w:eastAsia="仿宋_GB2312"/>
                <w:kern w:val="0"/>
                <w:szCs w:val="21"/>
                <w:lang w:val="en-US" w:eastAsia="zh-CN"/>
              </w:rPr>
              <w:t>635.01</w:t>
            </w:r>
          </w:p>
        </w:tc>
      </w:tr>
      <w:tr w14:paraId="5D214DB6">
        <w:tblPrEx>
          <w:tblCellMar>
            <w:top w:w="0" w:type="dxa"/>
            <w:left w:w="108" w:type="dxa"/>
            <w:bottom w:w="0" w:type="dxa"/>
            <w:right w:w="108" w:type="dxa"/>
          </w:tblCellMar>
        </w:tblPrEx>
        <w:trPr>
          <w:trHeight w:val="400" w:hRule="atLeast"/>
          <w:jc w:val="center"/>
        </w:trPr>
        <w:tc>
          <w:tcPr>
            <w:tcW w:w="3620" w:type="dxa"/>
            <w:tcBorders>
              <w:top w:val="nil"/>
              <w:left w:val="single" w:color="auto" w:sz="4" w:space="0"/>
              <w:bottom w:val="single" w:color="auto" w:sz="4" w:space="0"/>
              <w:right w:val="single" w:color="auto" w:sz="4" w:space="0"/>
            </w:tcBorders>
            <w:vAlign w:val="center"/>
          </w:tcPr>
          <w:p w14:paraId="328C5292">
            <w:pPr>
              <w:widowControl/>
              <w:jc w:val="left"/>
              <w:rPr>
                <w:rFonts w:eastAsia="仿宋_GB2312"/>
                <w:kern w:val="0"/>
                <w:szCs w:val="21"/>
              </w:rPr>
            </w:pPr>
            <w:r>
              <w:rPr>
                <w:rFonts w:hint="eastAsia"/>
                <w:kern w:val="0"/>
                <w:szCs w:val="21"/>
              </w:rPr>
              <w:t>其中：办公经费</w:t>
            </w:r>
          </w:p>
        </w:tc>
        <w:tc>
          <w:tcPr>
            <w:tcW w:w="1772" w:type="dxa"/>
            <w:tcBorders>
              <w:top w:val="single" w:color="auto" w:sz="4" w:space="0"/>
              <w:left w:val="nil"/>
              <w:bottom w:val="single" w:color="auto" w:sz="4" w:space="0"/>
              <w:right w:val="single" w:color="000000" w:sz="4" w:space="0"/>
            </w:tcBorders>
            <w:vAlign w:val="center"/>
          </w:tcPr>
          <w:p w14:paraId="17E0283B">
            <w:pPr>
              <w:widowControl/>
              <w:jc w:val="center"/>
              <w:rPr>
                <w:rFonts w:hint="default" w:eastAsia="仿宋_GB2312"/>
                <w:kern w:val="0"/>
                <w:szCs w:val="21"/>
                <w:lang w:val="en-US" w:eastAsia="zh-CN"/>
              </w:rPr>
            </w:pPr>
            <w:r>
              <w:rPr>
                <w:rFonts w:hint="eastAsia" w:eastAsia="仿宋_GB2312"/>
                <w:kern w:val="0"/>
                <w:szCs w:val="21"/>
                <w:lang w:val="en-US" w:eastAsia="zh-CN"/>
              </w:rPr>
              <w:t>10.02</w:t>
            </w:r>
          </w:p>
        </w:tc>
        <w:tc>
          <w:tcPr>
            <w:tcW w:w="2240" w:type="dxa"/>
            <w:tcBorders>
              <w:top w:val="single" w:color="auto" w:sz="4" w:space="0"/>
              <w:left w:val="nil"/>
              <w:bottom w:val="single" w:color="auto" w:sz="4" w:space="0"/>
              <w:right w:val="single" w:color="000000" w:sz="4" w:space="0"/>
            </w:tcBorders>
            <w:vAlign w:val="center"/>
          </w:tcPr>
          <w:p w14:paraId="0BBD0970">
            <w:pPr>
              <w:widowControl/>
              <w:jc w:val="center"/>
              <w:rPr>
                <w:rFonts w:hint="default" w:eastAsia="仿宋_GB2312"/>
                <w:kern w:val="0"/>
                <w:szCs w:val="21"/>
                <w:lang w:val="en-US" w:eastAsia="zh-CN"/>
              </w:rPr>
            </w:pPr>
            <w:r>
              <w:rPr>
                <w:rFonts w:hint="eastAsia" w:eastAsia="仿宋_GB2312"/>
                <w:kern w:val="0"/>
                <w:szCs w:val="21"/>
                <w:lang w:val="en-US" w:eastAsia="zh-CN"/>
              </w:rPr>
              <w:t>26</w:t>
            </w:r>
          </w:p>
        </w:tc>
        <w:tc>
          <w:tcPr>
            <w:tcW w:w="1832" w:type="dxa"/>
            <w:tcBorders>
              <w:top w:val="single" w:color="auto" w:sz="4" w:space="0"/>
              <w:left w:val="nil"/>
              <w:bottom w:val="single" w:color="auto" w:sz="4" w:space="0"/>
              <w:right w:val="single" w:color="000000" w:sz="4" w:space="0"/>
            </w:tcBorders>
            <w:vAlign w:val="center"/>
          </w:tcPr>
          <w:p w14:paraId="55E5C555">
            <w:pPr>
              <w:widowControl/>
              <w:jc w:val="center"/>
              <w:rPr>
                <w:rFonts w:hint="default" w:eastAsia="仿宋_GB2312"/>
                <w:kern w:val="0"/>
                <w:szCs w:val="21"/>
                <w:lang w:val="en-US" w:eastAsia="zh-CN"/>
              </w:rPr>
            </w:pPr>
            <w:r>
              <w:rPr>
                <w:rFonts w:hint="eastAsia" w:eastAsia="仿宋_GB2312"/>
                <w:kern w:val="0"/>
                <w:szCs w:val="21"/>
                <w:lang w:val="en-US" w:eastAsia="zh-CN"/>
              </w:rPr>
              <w:t>13.32</w:t>
            </w:r>
          </w:p>
        </w:tc>
      </w:tr>
      <w:tr w14:paraId="6283F3BD">
        <w:tblPrEx>
          <w:tblCellMar>
            <w:top w:w="0" w:type="dxa"/>
            <w:left w:w="108" w:type="dxa"/>
            <w:bottom w:w="0" w:type="dxa"/>
            <w:right w:w="108" w:type="dxa"/>
          </w:tblCellMar>
        </w:tblPrEx>
        <w:trPr>
          <w:trHeight w:val="400" w:hRule="atLeast"/>
          <w:jc w:val="center"/>
        </w:trPr>
        <w:tc>
          <w:tcPr>
            <w:tcW w:w="3620" w:type="dxa"/>
            <w:tcBorders>
              <w:top w:val="nil"/>
              <w:left w:val="single" w:color="auto" w:sz="4" w:space="0"/>
              <w:bottom w:val="single" w:color="auto" w:sz="4" w:space="0"/>
              <w:right w:val="single" w:color="auto" w:sz="4" w:space="0"/>
            </w:tcBorders>
            <w:vAlign w:val="center"/>
          </w:tcPr>
          <w:p w14:paraId="21DCA7BE">
            <w:pPr>
              <w:widowControl/>
              <w:jc w:val="left"/>
              <w:rPr>
                <w:rFonts w:eastAsia="仿宋_GB2312"/>
                <w:kern w:val="0"/>
                <w:szCs w:val="21"/>
              </w:rPr>
            </w:pPr>
            <w:r>
              <w:rPr>
                <w:rFonts w:hint="eastAsia"/>
                <w:kern w:val="0"/>
                <w:szCs w:val="21"/>
              </w:rPr>
              <w:t>水费、电费、差旅费</w:t>
            </w:r>
          </w:p>
        </w:tc>
        <w:tc>
          <w:tcPr>
            <w:tcW w:w="1772" w:type="dxa"/>
            <w:tcBorders>
              <w:top w:val="single" w:color="auto" w:sz="4" w:space="0"/>
              <w:left w:val="nil"/>
              <w:bottom w:val="single" w:color="auto" w:sz="4" w:space="0"/>
              <w:right w:val="single" w:color="000000" w:sz="4" w:space="0"/>
            </w:tcBorders>
            <w:vAlign w:val="center"/>
          </w:tcPr>
          <w:p w14:paraId="6BCD44F9">
            <w:pPr>
              <w:widowControl/>
              <w:jc w:val="center"/>
              <w:rPr>
                <w:rFonts w:hint="default" w:eastAsia="仿宋_GB2312"/>
                <w:kern w:val="0"/>
                <w:szCs w:val="21"/>
                <w:lang w:val="en-US" w:eastAsia="zh-CN"/>
              </w:rPr>
            </w:pPr>
            <w:r>
              <w:rPr>
                <w:rFonts w:hint="eastAsia" w:eastAsia="仿宋_GB2312"/>
                <w:kern w:val="0"/>
                <w:szCs w:val="21"/>
                <w:lang w:val="en-US" w:eastAsia="zh-CN"/>
              </w:rPr>
              <w:t>85.09</w:t>
            </w:r>
          </w:p>
        </w:tc>
        <w:tc>
          <w:tcPr>
            <w:tcW w:w="2240" w:type="dxa"/>
            <w:tcBorders>
              <w:top w:val="single" w:color="auto" w:sz="4" w:space="0"/>
              <w:left w:val="nil"/>
              <w:bottom w:val="single" w:color="auto" w:sz="4" w:space="0"/>
              <w:right w:val="single" w:color="000000" w:sz="4" w:space="0"/>
            </w:tcBorders>
            <w:vAlign w:val="center"/>
          </w:tcPr>
          <w:p w14:paraId="7F6E31ED">
            <w:pPr>
              <w:widowControl/>
              <w:jc w:val="center"/>
              <w:rPr>
                <w:rFonts w:hint="default" w:eastAsia="仿宋_GB2312"/>
                <w:kern w:val="0"/>
                <w:szCs w:val="21"/>
                <w:lang w:val="en-US" w:eastAsia="zh-CN"/>
              </w:rPr>
            </w:pPr>
            <w:r>
              <w:rPr>
                <w:rFonts w:hint="eastAsia" w:eastAsia="仿宋_GB2312"/>
                <w:kern w:val="0"/>
                <w:szCs w:val="21"/>
                <w:lang w:val="en-US" w:eastAsia="zh-CN"/>
              </w:rPr>
              <w:t>7.92</w:t>
            </w:r>
          </w:p>
        </w:tc>
        <w:tc>
          <w:tcPr>
            <w:tcW w:w="1832" w:type="dxa"/>
            <w:tcBorders>
              <w:top w:val="single" w:color="auto" w:sz="4" w:space="0"/>
              <w:left w:val="nil"/>
              <w:bottom w:val="single" w:color="auto" w:sz="4" w:space="0"/>
              <w:right w:val="single" w:color="000000" w:sz="4" w:space="0"/>
            </w:tcBorders>
            <w:vAlign w:val="center"/>
          </w:tcPr>
          <w:p w14:paraId="6B89EEA7">
            <w:pPr>
              <w:widowControl/>
              <w:jc w:val="center"/>
              <w:rPr>
                <w:rFonts w:hint="default" w:eastAsia="仿宋_GB2312"/>
                <w:kern w:val="0"/>
                <w:szCs w:val="21"/>
                <w:lang w:val="en-US" w:eastAsia="zh-CN"/>
              </w:rPr>
            </w:pPr>
            <w:r>
              <w:rPr>
                <w:rFonts w:hint="eastAsia" w:eastAsia="仿宋_GB2312"/>
                <w:kern w:val="0"/>
                <w:szCs w:val="21"/>
                <w:lang w:val="en-US" w:eastAsia="zh-CN"/>
              </w:rPr>
              <w:t>96.98</w:t>
            </w:r>
          </w:p>
        </w:tc>
      </w:tr>
      <w:tr w14:paraId="32B15881">
        <w:tblPrEx>
          <w:tblCellMar>
            <w:top w:w="0" w:type="dxa"/>
            <w:left w:w="108" w:type="dxa"/>
            <w:bottom w:w="0" w:type="dxa"/>
            <w:right w:w="108" w:type="dxa"/>
          </w:tblCellMar>
        </w:tblPrEx>
        <w:trPr>
          <w:trHeight w:val="400" w:hRule="atLeast"/>
          <w:jc w:val="center"/>
        </w:trPr>
        <w:tc>
          <w:tcPr>
            <w:tcW w:w="3620" w:type="dxa"/>
            <w:tcBorders>
              <w:top w:val="nil"/>
              <w:left w:val="single" w:color="auto" w:sz="4" w:space="0"/>
              <w:bottom w:val="single" w:color="auto" w:sz="4" w:space="0"/>
              <w:right w:val="single" w:color="auto" w:sz="4" w:space="0"/>
            </w:tcBorders>
            <w:vAlign w:val="center"/>
          </w:tcPr>
          <w:p w14:paraId="26A816A0">
            <w:pPr>
              <w:widowControl/>
              <w:jc w:val="left"/>
              <w:rPr>
                <w:rFonts w:eastAsia="仿宋_GB2312"/>
                <w:kern w:val="0"/>
                <w:szCs w:val="21"/>
              </w:rPr>
            </w:pPr>
            <w:r>
              <w:rPr>
                <w:rFonts w:hint="eastAsia"/>
                <w:kern w:val="0"/>
                <w:szCs w:val="21"/>
              </w:rPr>
              <w:t>会议费、培训费</w:t>
            </w:r>
          </w:p>
        </w:tc>
        <w:tc>
          <w:tcPr>
            <w:tcW w:w="1772" w:type="dxa"/>
            <w:tcBorders>
              <w:top w:val="single" w:color="auto" w:sz="4" w:space="0"/>
              <w:left w:val="nil"/>
              <w:bottom w:val="single" w:color="auto" w:sz="4" w:space="0"/>
              <w:right w:val="single" w:color="000000" w:sz="4" w:space="0"/>
            </w:tcBorders>
            <w:vAlign w:val="center"/>
          </w:tcPr>
          <w:p w14:paraId="21A89788">
            <w:pPr>
              <w:widowControl/>
              <w:jc w:val="center"/>
              <w:rPr>
                <w:rFonts w:hint="default" w:eastAsia="仿宋_GB2312"/>
                <w:kern w:val="0"/>
                <w:szCs w:val="21"/>
                <w:lang w:val="en-US" w:eastAsia="zh-CN"/>
              </w:rPr>
            </w:pPr>
            <w:r>
              <w:rPr>
                <w:rFonts w:hint="eastAsia" w:eastAsia="仿宋_GB2312"/>
                <w:kern w:val="0"/>
                <w:szCs w:val="21"/>
                <w:lang w:val="en-US" w:eastAsia="zh-CN"/>
              </w:rPr>
              <w:t>8.07</w:t>
            </w:r>
          </w:p>
        </w:tc>
        <w:tc>
          <w:tcPr>
            <w:tcW w:w="2240" w:type="dxa"/>
            <w:tcBorders>
              <w:top w:val="single" w:color="auto" w:sz="4" w:space="0"/>
              <w:left w:val="nil"/>
              <w:bottom w:val="single" w:color="auto" w:sz="4" w:space="0"/>
              <w:right w:val="single" w:color="000000" w:sz="4" w:space="0"/>
            </w:tcBorders>
            <w:vAlign w:val="center"/>
          </w:tcPr>
          <w:p w14:paraId="4BD8E8C8">
            <w:pPr>
              <w:widowControl/>
              <w:jc w:val="center"/>
              <w:rPr>
                <w:rFonts w:hint="default" w:eastAsia="仿宋_GB2312"/>
                <w:kern w:val="0"/>
                <w:szCs w:val="21"/>
                <w:lang w:val="en-US" w:eastAsia="zh-CN"/>
              </w:rPr>
            </w:pPr>
            <w:r>
              <w:rPr>
                <w:rFonts w:hint="eastAsia" w:eastAsia="仿宋_GB2312"/>
                <w:kern w:val="0"/>
                <w:szCs w:val="21"/>
                <w:lang w:val="en-US" w:eastAsia="zh-CN"/>
              </w:rPr>
              <w:t>8.98</w:t>
            </w:r>
          </w:p>
        </w:tc>
        <w:tc>
          <w:tcPr>
            <w:tcW w:w="1832" w:type="dxa"/>
            <w:tcBorders>
              <w:top w:val="single" w:color="auto" w:sz="4" w:space="0"/>
              <w:left w:val="nil"/>
              <w:bottom w:val="single" w:color="auto" w:sz="4" w:space="0"/>
              <w:right w:val="single" w:color="000000" w:sz="4" w:space="0"/>
            </w:tcBorders>
            <w:vAlign w:val="center"/>
          </w:tcPr>
          <w:p w14:paraId="0B654CB7">
            <w:pPr>
              <w:widowControl/>
              <w:jc w:val="center"/>
              <w:rPr>
                <w:rFonts w:hint="default" w:eastAsia="仿宋_GB2312"/>
                <w:kern w:val="0"/>
                <w:szCs w:val="21"/>
                <w:lang w:val="en-US" w:eastAsia="zh-CN"/>
              </w:rPr>
            </w:pPr>
            <w:r>
              <w:rPr>
                <w:rFonts w:hint="eastAsia" w:eastAsia="仿宋_GB2312"/>
                <w:kern w:val="0"/>
                <w:szCs w:val="21"/>
                <w:lang w:val="en-US" w:eastAsia="zh-CN"/>
              </w:rPr>
              <w:t>8.98</w:t>
            </w:r>
          </w:p>
        </w:tc>
      </w:tr>
      <w:tr w14:paraId="68B074B3">
        <w:tblPrEx>
          <w:tblCellMar>
            <w:top w:w="0" w:type="dxa"/>
            <w:left w:w="108" w:type="dxa"/>
            <w:bottom w:w="0" w:type="dxa"/>
            <w:right w:w="108" w:type="dxa"/>
          </w:tblCellMar>
        </w:tblPrEx>
        <w:trPr>
          <w:trHeight w:val="462" w:hRule="atLeast"/>
          <w:jc w:val="center"/>
        </w:trPr>
        <w:tc>
          <w:tcPr>
            <w:tcW w:w="3620" w:type="dxa"/>
            <w:tcBorders>
              <w:top w:val="nil"/>
              <w:left w:val="single" w:color="auto" w:sz="4" w:space="0"/>
              <w:bottom w:val="single" w:color="auto" w:sz="4" w:space="0"/>
              <w:right w:val="single" w:color="auto" w:sz="4" w:space="0"/>
            </w:tcBorders>
            <w:vAlign w:val="center"/>
          </w:tcPr>
          <w:p w14:paraId="656FBFC3">
            <w:pPr>
              <w:widowControl/>
              <w:ind w:firstLine="945" w:firstLineChars="450"/>
              <w:jc w:val="left"/>
              <w:rPr>
                <w:rFonts w:eastAsia="仿宋_GB2312"/>
                <w:kern w:val="0"/>
                <w:szCs w:val="21"/>
              </w:rPr>
            </w:pPr>
            <w:r>
              <w:rPr>
                <w:rFonts w:hint="eastAsia"/>
                <w:kern w:val="0"/>
                <w:szCs w:val="21"/>
              </w:rPr>
              <w:t>三公经费</w:t>
            </w:r>
          </w:p>
        </w:tc>
        <w:tc>
          <w:tcPr>
            <w:tcW w:w="1772" w:type="dxa"/>
            <w:tcBorders>
              <w:top w:val="single" w:color="auto" w:sz="4" w:space="0"/>
              <w:left w:val="nil"/>
              <w:bottom w:val="single" w:color="auto" w:sz="4" w:space="0"/>
              <w:right w:val="single" w:color="000000" w:sz="4" w:space="0"/>
            </w:tcBorders>
            <w:vAlign w:val="center"/>
          </w:tcPr>
          <w:p w14:paraId="67421840">
            <w:pPr>
              <w:widowControl/>
              <w:jc w:val="center"/>
              <w:rPr>
                <w:rFonts w:hint="default" w:eastAsia="仿宋_GB2312"/>
                <w:kern w:val="0"/>
                <w:szCs w:val="21"/>
                <w:lang w:val="en-US" w:eastAsia="zh-CN"/>
              </w:rPr>
            </w:pPr>
            <w:r>
              <w:rPr>
                <w:rFonts w:hint="eastAsia" w:eastAsia="仿宋_GB2312"/>
                <w:kern w:val="0"/>
                <w:szCs w:val="21"/>
                <w:lang w:val="en-US" w:eastAsia="zh-CN"/>
              </w:rPr>
              <w:t>45.56</w:t>
            </w:r>
          </w:p>
        </w:tc>
        <w:tc>
          <w:tcPr>
            <w:tcW w:w="2240" w:type="dxa"/>
            <w:tcBorders>
              <w:top w:val="single" w:color="auto" w:sz="4" w:space="0"/>
              <w:left w:val="nil"/>
              <w:bottom w:val="single" w:color="auto" w:sz="4" w:space="0"/>
              <w:right w:val="single" w:color="000000" w:sz="4" w:space="0"/>
            </w:tcBorders>
            <w:vAlign w:val="center"/>
          </w:tcPr>
          <w:p w14:paraId="009673E3">
            <w:pPr>
              <w:widowControl/>
              <w:jc w:val="center"/>
              <w:rPr>
                <w:rFonts w:hint="default" w:eastAsia="仿宋_GB2312"/>
                <w:color w:val="FF0000"/>
                <w:kern w:val="0"/>
                <w:szCs w:val="21"/>
                <w:lang w:val="en-US" w:eastAsia="zh-CN"/>
              </w:rPr>
            </w:pPr>
            <w:r>
              <w:rPr>
                <w:rFonts w:hint="eastAsia" w:eastAsia="仿宋_GB2312"/>
                <w:color w:val="auto"/>
                <w:kern w:val="0"/>
                <w:szCs w:val="21"/>
                <w:lang w:val="en-US" w:eastAsia="zh-CN"/>
              </w:rPr>
              <w:t>100.84（年初预算80，追加预算20.84）</w:t>
            </w:r>
          </w:p>
        </w:tc>
        <w:tc>
          <w:tcPr>
            <w:tcW w:w="1832" w:type="dxa"/>
            <w:tcBorders>
              <w:top w:val="single" w:color="auto" w:sz="4" w:space="0"/>
              <w:left w:val="nil"/>
              <w:bottom w:val="single" w:color="auto" w:sz="4" w:space="0"/>
              <w:right w:val="single" w:color="000000" w:sz="4" w:space="0"/>
            </w:tcBorders>
            <w:vAlign w:val="center"/>
          </w:tcPr>
          <w:p w14:paraId="1252A336">
            <w:pPr>
              <w:widowControl/>
              <w:jc w:val="center"/>
              <w:rPr>
                <w:rFonts w:hint="default" w:eastAsia="仿宋_GB2312"/>
                <w:color w:val="FF0000"/>
                <w:kern w:val="0"/>
                <w:szCs w:val="21"/>
                <w:lang w:val="en-US" w:eastAsia="zh-CN"/>
              </w:rPr>
            </w:pPr>
            <w:r>
              <w:rPr>
                <w:rFonts w:hint="eastAsia" w:eastAsia="仿宋_GB2312"/>
                <w:color w:val="auto"/>
                <w:kern w:val="0"/>
                <w:szCs w:val="21"/>
                <w:lang w:val="en-US" w:eastAsia="zh-CN"/>
              </w:rPr>
              <w:t>100.84</w:t>
            </w:r>
          </w:p>
        </w:tc>
      </w:tr>
      <w:tr w14:paraId="2F2338FF">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626090B2">
            <w:pPr>
              <w:widowControl/>
              <w:jc w:val="left"/>
              <w:rPr>
                <w:rFonts w:eastAsia="仿宋_GB2312"/>
                <w:kern w:val="0"/>
                <w:szCs w:val="21"/>
              </w:rPr>
            </w:pPr>
            <w:r>
              <w:rPr>
                <w:kern w:val="0"/>
                <w:szCs w:val="21"/>
              </w:rPr>
              <w:t xml:space="preserve">   1</w:t>
            </w:r>
            <w:r>
              <w:rPr>
                <w:rFonts w:hint="eastAsia"/>
                <w:kern w:val="0"/>
                <w:szCs w:val="21"/>
              </w:rPr>
              <w:t>、公务用车购置和维护经费</w:t>
            </w:r>
          </w:p>
        </w:tc>
        <w:tc>
          <w:tcPr>
            <w:tcW w:w="1772" w:type="dxa"/>
            <w:tcBorders>
              <w:top w:val="single" w:color="auto" w:sz="4" w:space="0"/>
              <w:left w:val="nil"/>
              <w:bottom w:val="single" w:color="auto" w:sz="4" w:space="0"/>
              <w:right w:val="single" w:color="000000" w:sz="4" w:space="0"/>
            </w:tcBorders>
            <w:vAlign w:val="center"/>
          </w:tcPr>
          <w:p w14:paraId="201B663E">
            <w:pPr>
              <w:widowControl/>
              <w:jc w:val="center"/>
              <w:rPr>
                <w:rFonts w:hint="default" w:eastAsia="仿宋_GB2312"/>
                <w:kern w:val="0"/>
                <w:szCs w:val="21"/>
                <w:lang w:val="en-US" w:eastAsia="zh-CN"/>
              </w:rPr>
            </w:pPr>
            <w:r>
              <w:rPr>
                <w:rFonts w:hint="eastAsia" w:eastAsia="仿宋_GB2312"/>
                <w:kern w:val="0"/>
                <w:szCs w:val="21"/>
                <w:lang w:val="en-US" w:eastAsia="zh-CN"/>
              </w:rPr>
              <w:t>35.54</w:t>
            </w:r>
          </w:p>
        </w:tc>
        <w:tc>
          <w:tcPr>
            <w:tcW w:w="2240" w:type="dxa"/>
            <w:tcBorders>
              <w:top w:val="single" w:color="auto" w:sz="4" w:space="0"/>
              <w:left w:val="nil"/>
              <w:bottom w:val="single" w:color="auto" w:sz="4" w:space="0"/>
              <w:right w:val="single" w:color="000000" w:sz="4" w:space="0"/>
            </w:tcBorders>
            <w:vAlign w:val="center"/>
          </w:tcPr>
          <w:p w14:paraId="64D51A27">
            <w:pPr>
              <w:widowControl/>
              <w:jc w:val="center"/>
              <w:rPr>
                <w:rFonts w:hint="default" w:eastAsia="仿宋_GB2312"/>
                <w:kern w:val="0"/>
                <w:szCs w:val="21"/>
                <w:lang w:val="en-US" w:eastAsia="zh-CN"/>
              </w:rPr>
            </w:pPr>
            <w:r>
              <w:rPr>
                <w:rFonts w:hint="eastAsia" w:eastAsia="仿宋_GB2312"/>
                <w:kern w:val="0"/>
                <w:szCs w:val="21"/>
                <w:lang w:val="en-US" w:eastAsia="zh-CN"/>
              </w:rPr>
              <w:t>82.84</w:t>
            </w:r>
          </w:p>
        </w:tc>
        <w:tc>
          <w:tcPr>
            <w:tcW w:w="1832" w:type="dxa"/>
            <w:tcBorders>
              <w:top w:val="single" w:color="auto" w:sz="4" w:space="0"/>
              <w:left w:val="nil"/>
              <w:bottom w:val="single" w:color="auto" w:sz="4" w:space="0"/>
              <w:right w:val="single" w:color="000000" w:sz="4" w:space="0"/>
            </w:tcBorders>
            <w:vAlign w:val="center"/>
          </w:tcPr>
          <w:p w14:paraId="21A79505">
            <w:pPr>
              <w:widowControl/>
              <w:jc w:val="center"/>
              <w:rPr>
                <w:rFonts w:hint="default" w:eastAsia="仿宋_GB2312"/>
                <w:kern w:val="0"/>
                <w:szCs w:val="21"/>
                <w:lang w:val="en-US" w:eastAsia="zh-CN"/>
              </w:rPr>
            </w:pPr>
            <w:r>
              <w:rPr>
                <w:rFonts w:hint="eastAsia" w:eastAsia="仿宋_GB2312"/>
                <w:kern w:val="0"/>
                <w:szCs w:val="21"/>
                <w:lang w:val="en-US" w:eastAsia="zh-CN"/>
              </w:rPr>
              <w:t>96.47</w:t>
            </w:r>
          </w:p>
        </w:tc>
      </w:tr>
      <w:tr w14:paraId="71D12643">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3F731136">
            <w:pPr>
              <w:widowControl/>
              <w:jc w:val="left"/>
              <w:rPr>
                <w:rFonts w:eastAsia="仿宋_GB2312"/>
                <w:kern w:val="0"/>
                <w:szCs w:val="21"/>
              </w:rPr>
            </w:pPr>
            <w:r>
              <w:rPr>
                <w:rFonts w:hint="eastAsia"/>
                <w:kern w:val="0"/>
                <w:szCs w:val="21"/>
              </w:rPr>
              <w:t>其中：</w:t>
            </w:r>
            <w:r>
              <w:rPr>
                <w:rFonts w:hint="eastAsia"/>
                <w:kern w:val="0"/>
                <w:szCs w:val="21"/>
                <w:lang w:eastAsia="zh-CN"/>
              </w:rPr>
              <w:t>公务用车</w:t>
            </w:r>
            <w:r>
              <w:rPr>
                <w:rFonts w:hint="eastAsia"/>
                <w:kern w:val="0"/>
                <w:szCs w:val="21"/>
              </w:rPr>
              <w:t>购置</w:t>
            </w:r>
          </w:p>
        </w:tc>
        <w:tc>
          <w:tcPr>
            <w:tcW w:w="1772" w:type="dxa"/>
            <w:tcBorders>
              <w:top w:val="single" w:color="auto" w:sz="4" w:space="0"/>
              <w:left w:val="nil"/>
              <w:bottom w:val="single" w:color="auto" w:sz="4" w:space="0"/>
              <w:right w:val="single" w:color="000000" w:sz="4" w:space="0"/>
            </w:tcBorders>
            <w:vAlign w:val="center"/>
          </w:tcPr>
          <w:p w14:paraId="4F7B202D">
            <w:pPr>
              <w:widowControl/>
              <w:jc w:val="center"/>
              <w:rPr>
                <w:rFonts w:hint="eastAsia" w:eastAsia="仿宋_GB2312"/>
                <w:kern w:val="0"/>
                <w:szCs w:val="21"/>
                <w:lang w:val="en-US" w:eastAsia="zh-CN"/>
              </w:rPr>
            </w:pPr>
            <w:r>
              <w:rPr>
                <w:rFonts w:hint="eastAsia" w:eastAsia="仿宋_GB2312"/>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588216D8">
            <w:pPr>
              <w:widowControl/>
              <w:jc w:val="center"/>
              <w:rPr>
                <w:rFonts w:hint="default" w:eastAsia="仿宋_GB2312"/>
                <w:color w:val="FF0000"/>
                <w:kern w:val="0"/>
                <w:szCs w:val="21"/>
                <w:lang w:val="en-US" w:eastAsia="zh-CN"/>
              </w:rPr>
            </w:pPr>
            <w:r>
              <w:rPr>
                <w:rFonts w:hint="eastAsia" w:eastAsia="仿宋_GB2312"/>
                <w:color w:val="auto"/>
                <w:kern w:val="0"/>
                <w:szCs w:val="21"/>
                <w:lang w:val="en-US" w:eastAsia="zh-CN"/>
              </w:rPr>
              <w:t>追加预算20.84</w:t>
            </w:r>
          </w:p>
        </w:tc>
        <w:tc>
          <w:tcPr>
            <w:tcW w:w="1832" w:type="dxa"/>
            <w:tcBorders>
              <w:top w:val="single" w:color="auto" w:sz="4" w:space="0"/>
              <w:left w:val="nil"/>
              <w:bottom w:val="single" w:color="auto" w:sz="4" w:space="0"/>
              <w:right w:val="single" w:color="000000" w:sz="4" w:space="0"/>
            </w:tcBorders>
            <w:vAlign w:val="center"/>
          </w:tcPr>
          <w:p w14:paraId="1CA5BCF0">
            <w:pPr>
              <w:widowControl/>
              <w:jc w:val="center"/>
              <w:rPr>
                <w:rFonts w:hint="default" w:eastAsia="仿宋_GB2312"/>
                <w:color w:val="FF0000"/>
                <w:kern w:val="0"/>
                <w:szCs w:val="21"/>
                <w:lang w:val="en-US" w:eastAsia="zh-CN"/>
              </w:rPr>
            </w:pPr>
            <w:r>
              <w:rPr>
                <w:rFonts w:hint="eastAsia" w:eastAsia="仿宋_GB2312"/>
                <w:color w:val="auto"/>
                <w:kern w:val="0"/>
                <w:szCs w:val="21"/>
                <w:lang w:val="en-US" w:eastAsia="zh-CN"/>
              </w:rPr>
              <w:t>58.53</w:t>
            </w:r>
          </w:p>
        </w:tc>
      </w:tr>
      <w:tr w14:paraId="3908AEEA">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7B48C92A">
            <w:pPr>
              <w:widowControl/>
              <w:jc w:val="left"/>
              <w:rPr>
                <w:rFonts w:eastAsia="仿宋_GB2312"/>
                <w:kern w:val="0"/>
                <w:szCs w:val="21"/>
              </w:rPr>
            </w:pPr>
            <w:r>
              <w:rPr>
                <w:rFonts w:hint="eastAsia"/>
                <w:kern w:val="0"/>
                <w:szCs w:val="21"/>
                <w:lang w:eastAsia="zh-CN"/>
              </w:rPr>
              <w:t>公务用车</w:t>
            </w:r>
            <w:r>
              <w:rPr>
                <w:rFonts w:hint="eastAsia"/>
                <w:kern w:val="0"/>
                <w:szCs w:val="21"/>
              </w:rPr>
              <w:t>运行维护</w:t>
            </w:r>
          </w:p>
        </w:tc>
        <w:tc>
          <w:tcPr>
            <w:tcW w:w="1772" w:type="dxa"/>
            <w:tcBorders>
              <w:top w:val="single" w:color="auto" w:sz="4" w:space="0"/>
              <w:left w:val="nil"/>
              <w:bottom w:val="single" w:color="auto" w:sz="4" w:space="0"/>
              <w:right w:val="single" w:color="000000" w:sz="4" w:space="0"/>
            </w:tcBorders>
            <w:vAlign w:val="center"/>
          </w:tcPr>
          <w:p w14:paraId="28394B27">
            <w:pPr>
              <w:widowControl/>
              <w:jc w:val="center"/>
              <w:rPr>
                <w:rFonts w:hint="default" w:eastAsia="仿宋_GB2312"/>
                <w:kern w:val="0"/>
                <w:szCs w:val="21"/>
                <w:lang w:val="en-US" w:eastAsia="zh-CN"/>
              </w:rPr>
            </w:pPr>
            <w:r>
              <w:rPr>
                <w:rFonts w:hint="eastAsia" w:eastAsia="仿宋_GB2312"/>
                <w:kern w:val="0"/>
                <w:szCs w:val="21"/>
                <w:lang w:val="en-US" w:eastAsia="zh-CN"/>
              </w:rPr>
              <w:t>35.54</w:t>
            </w:r>
          </w:p>
        </w:tc>
        <w:tc>
          <w:tcPr>
            <w:tcW w:w="2240" w:type="dxa"/>
            <w:tcBorders>
              <w:top w:val="single" w:color="auto" w:sz="4" w:space="0"/>
              <w:left w:val="nil"/>
              <w:bottom w:val="single" w:color="auto" w:sz="4" w:space="0"/>
              <w:right w:val="single" w:color="000000" w:sz="4" w:space="0"/>
            </w:tcBorders>
            <w:vAlign w:val="center"/>
          </w:tcPr>
          <w:p w14:paraId="60A836C3">
            <w:pPr>
              <w:widowControl/>
              <w:jc w:val="center"/>
              <w:rPr>
                <w:rFonts w:hint="default" w:eastAsia="仿宋_GB2312"/>
                <w:kern w:val="0"/>
                <w:szCs w:val="21"/>
                <w:lang w:val="en-US" w:eastAsia="zh-CN"/>
              </w:rPr>
            </w:pPr>
            <w:r>
              <w:rPr>
                <w:rFonts w:hint="eastAsia" w:eastAsia="仿宋_GB2312"/>
                <w:kern w:val="0"/>
                <w:szCs w:val="21"/>
                <w:lang w:val="en-US" w:eastAsia="zh-CN"/>
              </w:rPr>
              <w:t>62</w:t>
            </w:r>
          </w:p>
        </w:tc>
        <w:tc>
          <w:tcPr>
            <w:tcW w:w="1832" w:type="dxa"/>
            <w:tcBorders>
              <w:top w:val="single" w:color="auto" w:sz="4" w:space="0"/>
              <w:left w:val="nil"/>
              <w:bottom w:val="single" w:color="auto" w:sz="4" w:space="0"/>
              <w:right w:val="single" w:color="000000" w:sz="4" w:space="0"/>
            </w:tcBorders>
            <w:vAlign w:val="center"/>
          </w:tcPr>
          <w:p w14:paraId="6E47975F">
            <w:pPr>
              <w:widowControl/>
              <w:jc w:val="center"/>
              <w:rPr>
                <w:rFonts w:hint="default" w:eastAsia="仿宋_GB2312"/>
                <w:kern w:val="0"/>
                <w:szCs w:val="21"/>
                <w:lang w:val="en-US" w:eastAsia="zh-CN"/>
              </w:rPr>
            </w:pPr>
            <w:r>
              <w:rPr>
                <w:rFonts w:hint="eastAsia" w:eastAsia="仿宋_GB2312"/>
                <w:kern w:val="0"/>
                <w:szCs w:val="21"/>
                <w:lang w:val="en-US" w:eastAsia="zh-CN"/>
              </w:rPr>
              <w:t>37.94</w:t>
            </w:r>
          </w:p>
        </w:tc>
      </w:tr>
      <w:tr w14:paraId="6F556CB7">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7D7E2C86">
            <w:pPr>
              <w:widowControl/>
              <w:jc w:val="left"/>
              <w:rPr>
                <w:rFonts w:eastAsia="仿宋_GB2312"/>
                <w:kern w:val="0"/>
                <w:szCs w:val="21"/>
              </w:rPr>
            </w:pPr>
            <w:r>
              <w:rPr>
                <w:kern w:val="0"/>
                <w:szCs w:val="21"/>
              </w:rPr>
              <w:t xml:space="preserve">   2</w:t>
            </w:r>
            <w:r>
              <w:rPr>
                <w:rFonts w:hint="eastAsia"/>
                <w:kern w:val="0"/>
                <w:szCs w:val="21"/>
              </w:rPr>
              <w:t>、出国经费</w:t>
            </w:r>
          </w:p>
        </w:tc>
        <w:tc>
          <w:tcPr>
            <w:tcW w:w="1772" w:type="dxa"/>
            <w:tcBorders>
              <w:top w:val="single" w:color="auto" w:sz="4" w:space="0"/>
              <w:left w:val="nil"/>
              <w:bottom w:val="single" w:color="auto" w:sz="4" w:space="0"/>
              <w:right w:val="single" w:color="000000" w:sz="4" w:space="0"/>
            </w:tcBorders>
            <w:vAlign w:val="center"/>
          </w:tcPr>
          <w:p w14:paraId="22421313">
            <w:pPr>
              <w:widowControl/>
              <w:jc w:val="center"/>
              <w:rPr>
                <w:rFonts w:hint="eastAsia" w:eastAsia="仿宋_GB2312"/>
                <w:kern w:val="0"/>
                <w:szCs w:val="21"/>
                <w:lang w:val="en-US" w:eastAsia="zh-CN"/>
              </w:rPr>
            </w:pPr>
            <w:r>
              <w:rPr>
                <w:rFonts w:hint="eastAsia" w:eastAsia="仿宋_GB2312"/>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58F06F1C">
            <w:pPr>
              <w:widowControl/>
              <w:jc w:val="center"/>
              <w:rPr>
                <w:rFonts w:hint="eastAsia" w:eastAsia="仿宋_GB2312"/>
                <w:color w:val="FF0000"/>
                <w:kern w:val="0"/>
                <w:szCs w:val="21"/>
                <w:lang w:val="en-US" w:eastAsia="zh-CN"/>
              </w:rPr>
            </w:pPr>
            <w:r>
              <w:rPr>
                <w:rFonts w:hint="eastAsia" w:eastAsia="仿宋_GB2312"/>
                <w:color w:val="auto"/>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528C8424">
            <w:pPr>
              <w:widowControl/>
              <w:jc w:val="center"/>
              <w:rPr>
                <w:rFonts w:hint="eastAsia" w:eastAsia="仿宋_GB2312"/>
                <w:color w:val="FF0000"/>
                <w:kern w:val="0"/>
                <w:szCs w:val="21"/>
                <w:lang w:val="en-US" w:eastAsia="zh-CN"/>
              </w:rPr>
            </w:pPr>
            <w:r>
              <w:rPr>
                <w:rFonts w:hint="eastAsia" w:eastAsia="仿宋_GB2312"/>
                <w:color w:val="auto"/>
                <w:kern w:val="0"/>
                <w:szCs w:val="21"/>
                <w:lang w:val="en-US" w:eastAsia="zh-CN"/>
              </w:rPr>
              <w:t>0</w:t>
            </w:r>
          </w:p>
        </w:tc>
      </w:tr>
      <w:tr w14:paraId="01FD374B">
        <w:tblPrEx>
          <w:tblCellMar>
            <w:top w:w="0" w:type="dxa"/>
            <w:left w:w="108" w:type="dxa"/>
            <w:bottom w:w="0" w:type="dxa"/>
            <w:right w:w="108" w:type="dxa"/>
          </w:tblCellMar>
        </w:tblPrEx>
        <w:trPr>
          <w:trHeight w:val="441" w:hRule="atLeast"/>
          <w:jc w:val="center"/>
        </w:trPr>
        <w:tc>
          <w:tcPr>
            <w:tcW w:w="3620" w:type="dxa"/>
            <w:tcBorders>
              <w:top w:val="nil"/>
              <w:left w:val="single" w:color="auto" w:sz="4" w:space="0"/>
              <w:bottom w:val="single" w:color="auto" w:sz="4" w:space="0"/>
              <w:right w:val="single" w:color="auto" w:sz="4" w:space="0"/>
            </w:tcBorders>
            <w:vAlign w:val="center"/>
          </w:tcPr>
          <w:p w14:paraId="5F17A013">
            <w:pPr>
              <w:widowControl/>
              <w:jc w:val="left"/>
              <w:rPr>
                <w:rFonts w:eastAsia="仿宋_GB2312"/>
                <w:kern w:val="0"/>
                <w:szCs w:val="21"/>
              </w:rPr>
            </w:pPr>
            <w:r>
              <w:rPr>
                <w:kern w:val="0"/>
                <w:szCs w:val="21"/>
              </w:rPr>
              <w:t xml:space="preserve">   3</w:t>
            </w:r>
            <w:r>
              <w:rPr>
                <w:rFonts w:hint="eastAsia"/>
                <w:kern w:val="0"/>
                <w:szCs w:val="21"/>
              </w:rPr>
              <w:t>、公务接待</w:t>
            </w:r>
          </w:p>
        </w:tc>
        <w:tc>
          <w:tcPr>
            <w:tcW w:w="1772" w:type="dxa"/>
            <w:tcBorders>
              <w:top w:val="single" w:color="auto" w:sz="4" w:space="0"/>
              <w:left w:val="nil"/>
              <w:bottom w:val="single" w:color="auto" w:sz="4" w:space="0"/>
              <w:right w:val="single" w:color="000000" w:sz="4" w:space="0"/>
            </w:tcBorders>
            <w:vAlign w:val="center"/>
          </w:tcPr>
          <w:p w14:paraId="6ACC507F">
            <w:pPr>
              <w:widowControl/>
              <w:jc w:val="center"/>
              <w:rPr>
                <w:rFonts w:hint="default" w:eastAsia="仿宋_GB2312"/>
                <w:kern w:val="0"/>
                <w:szCs w:val="21"/>
                <w:lang w:val="en-US" w:eastAsia="zh-CN"/>
              </w:rPr>
            </w:pPr>
            <w:r>
              <w:rPr>
                <w:rFonts w:hint="eastAsia" w:eastAsia="仿宋_GB2312"/>
                <w:kern w:val="0"/>
                <w:szCs w:val="21"/>
                <w:lang w:val="en-US" w:eastAsia="zh-CN"/>
              </w:rPr>
              <w:t>10.02</w:t>
            </w:r>
          </w:p>
        </w:tc>
        <w:tc>
          <w:tcPr>
            <w:tcW w:w="2240" w:type="dxa"/>
            <w:tcBorders>
              <w:top w:val="single" w:color="auto" w:sz="4" w:space="0"/>
              <w:left w:val="nil"/>
              <w:bottom w:val="single" w:color="auto" w:sz="4" w:space="0"/>
              <w:right w:val="single" w:color="000000" w:sz="4" w:space="0"/>
            </w:tcBorders>
            <w:vAlign w:val="center"/>
          </w:tcPr>
          <w:p w14:paraId="6457408D">
            <w:pPr>
              <w:widowControl/>
              <w:jc w:val="center"/>
              <w:rPr>
                <w:rFonts w:hint="default" w:eastAsia="仿宋_GB2312"/>
                <w:kern w:val="0"/>
                <w:szCs w:val="21"/>
                <w:lang w:val="en-US" w:eastAsia="zh-CN"/>
              </w:rPr>
            </w:pPr>
            <w:r>
              <w:rPr>
                <w:rFonts w:hint="eastAsia" w:eastAsia="仿宋_GB2312"/>
                <w:kern w:val="0"/>
                <w:szCs w:val="21"/>
                <w:lang w:val="en-US" w:eastAsia="zh-CN"/>
              </w:rPr>
              <w:t>18</w:t>
            </w:r>
          </w:p>
        </w:tc>
        <w:tc>
          <w:tcPr>
            <w:tcW w:w="1832" w:type="dxa"/>
            <w:tcBorders>
              <w:top w:val="single" w:color="auto" w:sz="4" w:space="0"/>
              <w:left w:val="nil"/>
              <w:bottom w:val="single" w:color="auto" w:sz="4" w:space="0"/>
              <w:right w:val="single" w:color="000000" w:sz="4" w:space="0"/>
            </w:tcBorders>
            <w:vAlign w:val="center"/>
          </w:tcPr>
          <w:p w14:paraId="07853F60">
            <w:pPr>
              <w:widowControl/>
              <w:jc w:val="center"/>
              <w:rPr>
                <w:rFonts w:hint="default" w:eastAsia="仿宋_GB2312"/>
                <w:kern w:val="0"/>
                <w:szCs w:val="21"/>
                <w:lang w:val="en-US" w:eastAsia="zh-CN"/>
              </w:rPr>
            </w:pPr>
            <w:r>
              <w:rPr>
                <w:rFonts w:hint="eastAsia" w:eastAsia="仿宋_GB2312"/>
                <w:kern w:val="0"/>
                <w:szCs w:val="21"/>
                <w:lang w:val="en-US" w:eastAsia="zh-CN"/>
              </w:rPr>
              <w:t>4.37</w:t>
            </w:r>
          </w:p>
        </w:tc>
      </w:tr>
      <w:tr w14:paraId="032A2AE6">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565244D1">
            <w:pPr>
              <w:widowControl/>
              <w:jc w:val="left"/>
              <w:rPr>
                <w:rFonts w:eastAsia="仿宋_GB2312"/>
                <w:kern w:val="0"/>
                <w:szCs w:val="21"/>
              </w:rPr>
            </w:pPr>
            <w:r>
              <w:rPr>
                <w:rFonts w:hint="eastAsia"/>
                <w:kern w:val="0"/>
                <w:szCs w:val="21"/>
              </w:rPr>
              <w:t>二、部门项目支出</w:t>
            </w:r>
          </w:p>
        </w:tc>
        <w:tc>
          <w:tcPr>
            <w:tcW w:w="1772" w:type="dxa"/>
            <w:tcBorders>
              <w:top w:val="single" w:color="auto" w:sz="4" w:space="0"/>
              <w:left w:val="nil"/>
              <w:bottom w:val="single" w:color="auto" w:sz="4" w:space="0"/>
              <w:right w:val="single" w:color="000000" w:sz="4" w:space="0"/>
            </w:tcBorders>
            <w:vAlign w:val="center"/>
          </w:tcPr>
          <w:p w14:paraId="46C1305A">
            <w:pPr>
              <w:widowControl/>
              <w:jc w:val="center"/>
              <w:rPr>
                <w:rFonts w:hint="default" w:eastAsia="仿宋_GB2312"/>
                <w:kern w:val="0"/>
                <w:szCs w:val="21"/>
                <w:lang w:val="en-US" w:eastAsia="zh-CN"/>
              </w:rPr>
            </w:pPr>
            <w:r>
              <w:rPr>
                <w:rFonts w:hint="eastAsia" w:eastAsia="仿宋_GB2312"/>
                <w:kern w:val="0"/>
                <w:szCs w:val="21"/>
                <w:lang w:val="en-US" w:eastAsia="zh-CN"/>
              </w:rPr>
              <w:t>470.32</w:t>
            </w:r>
          </w:p>
        </w:tc>
        <w:tc>
          <w:tcPr>
            <w:tcW w:w="2240" w:type="dxa"/>
            <w:tcBorders>
              <w:top w:val="single" w:color="auto" w:sz="4" w:space="0"/>
              <w:left w:val="nil"/>
              <w:bottom w:val="single" w:color="auto" w:sz="4" w:space="0"/>
              <w:right w:val="single" w:color="000000" w:sz="4" w:space="0"/>
            </w:tcBorders>
            <w:vAlign w:val="center"/>
          </w:tcPr>
          <w:p w14:paraId="07C17BF5">
            <w:pPr>
              <w:widowControl/>
              <w:jc w:val="center"/>
              <w:rPr>
                <w:rFonts w:hint="default" w:eastAsia="仿宋_GB2312"/>
                <w:kern w:val="0"/>
                <w:szCs w:val="21"/>
                <w:lang w:val="en-US" w:eastAsia="zh-CN"/>
              </w:rPr>
            </w:pPr>
            <w:r>
              <w:rPr>
                <w:rFonts w:hint="eastAsia" w:eastAsia="仿宋_GB2312"/>
                <w:kern w:val="0"/>
                <w:szCs w:val="21"/>
                <w:lang w:val="en-US" w:eastAsia="zh-CN"/>
              </w:rPr>
              <w:t>441.55</w:t>
            </w:r>
          </w:p>
        </w:tc>
        <w:tc>
          <w:tcPr>
            <w:tcW w:w="1832" w:type="dxa"/>
            <w:tcBorders>
              <w:top w:val="single" w:color="auto" w:sz="4" w:space="0"/>
              <w:left w:val="nil"/>
              <w:bottom w:val="single" w:color="auto" w:sz="4" w:space="0"/>
              <w:right w:val="single" w:color="000000" w:sz="4" w:space="0"/>
            </w:tcBorders>
            <w:vAlign w:val="center"/>
          </w:tcPr>
          <w:p w14:paraId="700B86A1">
            <w:pPr>
              <w:widowControl/>
              <w:jc w:val="center"/>
              <w:rPr>
                <w:rFonts w:hint="default" w:eastAsia="仿宋_GB2312"/>
                <w:kern w:val="0"/>
                <w:szCs w:val="21"/>
                <w:lang w:val="en-US" w:eastAsia="zh-CN"/>
              </w:rPr>
            </w:pPr>
            <w:r>
              <w:rPr>
                <w:rFonts w:hint="eastAsia" w:eastAsia="仿宋_GB2312"/>
                <w:kern w:val="0"/>
                <w:szCs w:val="21"/>
                <w:lang w:val="en-US" w:eastAsia="zh-CN"/>
              </w:rPr>
              <w:t>677.04</w:t>
            </w:r>
          </w:p>
        </w:tc>
      </w:tr>
      <w:tr w14:paraId="44FFABFC">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2F7EF1A8">
            <w:pPr>
              <w:widowControl/>
              <w:ind w:firstLine="210" w:firstLineChars="100"/>
              <w:jc w:val="left"/>
              <w:rPr>
                <w:rFonts w:hint="eastAsia" w:eastAsia="仿宋_GB2312"/>
                <w:kern w:val="0"/>
                <w:szCs w:val="21"/>
                <w:lang w:eastAsia="zh-CN"/>
              </w:rPr>
            </w:pPr>
            <w:r>
              <w:rPr>
                <w:rFonts w:hint="eastAsia"/>
                <w:kern w:val="0"/>
                <w:szCs w:val="21"/>
                <w:lang w:val="en-US" w:eastAsia="zh-CN"/>
              </w:rPr>
              <w:t>1、</w:t>
            </w:r>
            <w:r>
              <w:rPr>
                <w:rFonts w:hint="eastAsia"/>
                <w:kern w:val="0"/>
                <w:szCs w:val="21"/>
                <w:lang w:eastAsia="zh-CN"/>
              </w:rPr>
              <w:t>安全生产工作经费</w:t>
            </w:r>
          </w:p>
        </w:tc>
        <w:tc>
          <w:tcPr>
            <w:tcW w:w="1772" w:type="dxa"/>
            <w:tcBorders>
              <w:top w:val="single" w:color="auto" w:sz="4" w:space="0"/>
              <w:left w:val="nil"/>
              <w:bottom w:val="single" w:color="auto" w:sz="4" w:space="0"/>
              <w:right w:val="single" w:color="000000" w:sz="4" w:space="0"/>
            </w:tcBorders>
            <w:vAlign w:val="center"/>
          </w:tcPr>
          <w:p w14:paraId="74CCEFA6">
            <w:pPr>
              <w:widowControl/>
              <w:jc w:val="center"/>
              <w:rPr>
                <w:rFonts w:hint="default" w:eastAsia="仿宋_GB2312"/>
                <w:kern w:val="0"/>
                <w:szCs w:val="21"/>
                <w:lang w:val="en-US" w:eastAsia="zh-CN"/>
              </w:rPr>
            </w:pPr>
            <w:r>
              <w:rPr>
                <w:rFonts w:hint="eastAsia" w:eastAsia="仿宋_GB2312"/>
                <w:kern w:val="0"/>
                <w:szCs w:val="21"/>
                <w:lang w:val="en-US" w:eastAsia="zh-CN"/>
              </w:rPr>
              <w:t>80</w:t>
            </w:r>
          </w:p>
        </w:tc>
        <w:tc>
          <w:tcPr>
            <w:tcW w:w="2240" w:type="dxa"/>
            <w:tcBorders>
              <w:top w:val="single" w:color="auto" w:sz="4" w:space="0"/>
              <w:left w:val="nil"/>
              <w:bottom w:val="single" w:color="auto" w:sz="4" w:space="0"/>
              <w:right w:val="single" w:color="000000" w:sz="4" w:space="0"/>
            </w:tcBorders>
            <w:vAlign w:val="center"/>
          </w:tcPr>
          <w:p w14:paraId="0F09A1FF">
            <w:pPr>
              <w:widowControl/>
              <w:jc w:val="center"/>
              <w:rPr>
                <w:rFonts w:hint="default" w:eastAsia="仿宋_GB2312"/>
                <w:kern w:val="0"/>
                <w:szCs w:val="21"/>
                <w:lang w:val="en-US" w:eastAsia="zh-CN"/>
              </w:rPr>
            </w:pPr>
            <w:r>
              <w:rPr>
                <w:rFonts w:hint="eastAsia" w:eastAsia="仿宋_GB2312"/>
                <w:kern w:val="0"/>
                <w:szCs w:val="21"/>
                <w:lang w:val="en-US" w:eastAsia="zh-CN"/>
              </w:rPr>
              <w:t>80</w:t>
            </w:r>
          </w:p>
        </w:tc>
        <w:tc>
          <w:tcPr>
            <w:tcW w:w="1832" w:type="dxa"/>
            <w:tcBorders>
              <w:top w:val="single" w:color="auto" w:sz="4" w:space="0"/>
              <w:left w:val="nil"/>
              <w:bottom w:val="single" w:color="auto" w:sz="4" w:space="0"/>
              <w:right w:val="single" w:color="000000" w:sz="4" w:space="0"/>
            </w:tcBorders>
            <w:vAlign w:val="center"/>
          </w:tcPr>
          <w:p w14:paraId="7CE735C4">
            <w:pPr>
              <w:widowControl/>
              <w:jc w:val="center"/>
              <w:rPr>
                <w:rFonts w:hint="default" w:eastAsia="仿宋_GB2312"/>
                <w:kern w:val="0"/>
                <w:szCs w:val="21"/>
                <w:lang w:val="en-US" w:eastAsia="zh-CN"/>
              </w:rPr>
            </w:pPr>
            <w:r>
              <w:rPr>
                <w:rFonts w:hint="eastAsia" w:eastAsia="仿宋_GB2312"/>
                <w:kern w:val="0"/>
                <w:szCs w:val="21"/>
                <w:lang w:val="en-US" w:eastAsia="zh-CN"/>
              </w:rPr>
              <w:t>80</w:t>
            </w:r>
          </w:p>
        </w:tc>
      </w:tr>
      <w:tr w14:paraId="52661737">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10585C90">
            <w:pPr>
              <w:widowControl/>
              <w:ind w:firstLine="210" w:firstLineChars="100"/>
              <w:jc w:val="left"/>
              <w:rPr>
                <w:rFonts w:hint="eastAsia" w:ascii="仿宋_GB2312" w:eastAsia="宋体"/>
                <w:kern w:val="0"/>
                <w:szCs w:val="21"/>
                <w:lang w:eastAsia="zh-CN"/>
              </w:rPr>
            </w:pPr>
            <w:r>
              <w:rPr>
                <w:rFonts w:hint="eastAsia"/>
                <w:kern w:val="0"/>
                <w:szCs w:val="21"/>
                <w:lang w:val="en-US" w:eastAsia="zh-CN"/>
              </w:rPr>
              <w:t>2、</w:t>
            </w:r>
            <w:r>
              <w:rPr>
                <w:rFonts w:hint="eastAsia"/>
                <w:kern w:val="0"/>
                <w:szCs w:val="21"/>
                <w:lang w:eastAsia="zh-CN"/>
              </w:rPr>
              <w:t>安全生产执法和监管经费</w:t>
            </w:r>
          </w:p>
        </w:tc>
        <w:tc>
          <w:tcPr>
            <w:tcW w:w="1772" w:type="dxa"/>
            <w:tcBorders>
              <w:top w:val="single" w:color="auto" w:sz="4" w:space="0"/>
              <w:left w:val="nil"/>
              <w:bottom w:val="single" w:color="auto" w:sz="4" w:space="0"/>
              <w:right w:val="single" w:color="000000" w:sz="4" w:space="0"/>
            </w:tcBorders>
            <w:vAlign w:val="center"/>
          </w:tcPr>
          <w:p w14:paraId="0D96F170">
            <w:pPr>
              <w:widowControl/>
              <w:jc w:val="center"/>
              <w:rPr>
                <w:rFonts w:hint="default" w:eastAsia="仿宋_GB2312"/>
                <w:kern w:val="0"/>
                <w:szCs w:val="21"/>
                <w:lang w:val="en-US" w:eastAsia="zh-CN"/>
              </w:rPr>
            </w:pPr>
            <w:r>
              <w:rPr>
                <w:rFonts w:hint="eastAsia" w:eastAsia="仿宋_GB2312"/>
                <w:kern w:val="0"/>
                <w:szCs w:val="21"/>
                <w:lang w:val="en-US" w:eastAsia="zh-CN"/>
              </w:rPr>
              <w:t>155</w:t>
            </w:r>
          </w:p>
        </w:tc>
        <w:tc>
          <w:tcPr>
            <w:tcW w:w="2240" w:type="dxa"/>
            <w:tcBorders>
              <w:top w:val="single" w:color="auto" w:sz="4" w:space="0"/>
              <w:left w:val="nil"/>
              <w:bottom w:val="single" w:color="auto" w:sz="4" w:space="0"/>
              <w:right w:val="single" w:color="000000" w:sz="4" w:space="0"/>
            </w:tcBorders>
            <w:vAlign w:val="center"/>
          </w:tcPr>
          <w:p w14:paraId="66FA0B07">
            <w:pPr>
              <w:widowControl/>
              <w:jc w:val="center"/>
              <w:rPr>
                <w:rFonts w:hint="default" w:eastAsia="仿宋_GB2312"/>
                <w:kern w:val="0"/>
                <w:szCs w:val="21"/>
                <w:lang w:val="en-US" w:eastAsia="zh-CN"/>
              </w:rPr>
            </w:pPr>
            <w:r>
              <w:rPr>
                <w:rFonts w:hint="eastAsia" w:eastAsia="仿宋_GB2312"/>
                <w:kern w:val="0"/>
                <w:szCs w:val="21"/>
                <w:lang w:val="en-US" w:eastAsia="zh-CN"/>
              </w:rPr>
              <w:t>155</w:t>
            </w:r>
          </w:p>
        </w:tc>
        <w:tc>
          <w:tcPr>
            <w:tcW w:w="1832" w:type="dxa"/>
            <w:tcBorders>
              <w:top w:val="single" w:color="auto" w:sz="4" w:space="0"/>
              <w:left w:val="nil"/>
              <w:bottom w:val="single" w:color="auto" w:sz="4" w:space="0"/>
              <w:right w:val="single" w:color="000000" w:sz="4" w:space="0"/>
            </w:tcBorders>
            <w:vAlign w:val="center"/>
          </w:tcPr>
          <w:p w14:paraId="0F98C096">
            <w:pPr>
              <w:widowControl/>
              <w:jc w:val="center"/>
              <w:rPr>
                <w:rFonts w:hint="default" w:eastAsia="仿宋_GB2312"/>
                <w:kern w:val="0"/>
                <w:szCs w:val="21"/>
                <w:lang w:val="en-US" w:eastAsia="zh-CN"/>
              </w:rPr>
            </w:pPr>
            <w:r>
              <w:rPr>
                <w:rFonts w:hint="eastAsia" w:eastAsia="仿宋_GB2312"/>
                <w:kern w:val="0"/>
                <w:szCs w:val="21"/>
                <w:lang w:val="en-US" w:eastAsia="zh-CN"/>
              </w:rPr>
              <w:t>398.67</w:t>
            </w:r>
          </w:p>
        </w:tc>
      </w:tr>
      <w:tr w14:paraId="4A96EA1C">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10A6EDFA">
            <w:pPr>
              <w:widowControl/>
              <w:ind w:firstLine="210" w:firstLineChars="100"/>
              <w:jc w:val="left"/>
              <w:rPr>
                <w:rFonts w:hint="eastAsia" w:eastAsia="仿宋_GB2312"/>
                <w:kern w:val="0"/>
                <w:szCs w:val="21"/>
                <w:lang w:eastAsia="zh-CN"/>
              </w:rPr>
            </w:pPr>
            <w:r>
              <w:rPr>
                <w:rFonts w:hint="eastAsia"/>
                <w:kern w:val="0"/>
                <w:szCs w:val="21"/>
                <w:lang w:val="en-US" w:eastAsia="zh-CN"/>
              </w:rPr>
              <w:t>3、</w:t>
            </w:r>
            <w:r>
              <w:rPr>
                <w:rFonts w:hint="eastAsia" w:ascii="仿宋_GB2312"/>
                <w:kern w:val="0"/>
                <w:szCs w:val="21"/>
                <w:lang w:eastAsia="zh-CN"/>
              </w:rPr>
              <w:t>安委会工作经费（含宣传经费）</w:t>
            </w:r>
          </w:p>
        </w:tc>
        <w:tc>
          <w:tcPr>
            <w:tcW w:w="1772" w:type="dxa"/>
            <w:tcBorders>
              <w:top w:val="single" w:color="auto" w:sz="4" w:space="0"/>
              <w:left w:val="nil"/>
              <w:bottom w:val="single" w:color="auto" w:sz="4" w:space="0"/>
              <w:right w:val="single" w:color="000000" w:sz="4" w:space="0"/>
            </w:tcBorders>
            <w:vAlign w:val="center"/>
          </w:tcPr>
          <w:p w14:paraId="45341916">
            <w:pPr>
              <w:widowControl/>
              <w:jc w:val="center"/>
              <w:rPr>
                <w:rFonts w:hint="default" w:eastAsia="仿宋_GB2312"/>
                <w:kern w:val="0"/>
                <w:szCs w:val="21"/>
                <w:lang w:val="en-US" w:eastAsia="zh-CN"/>
              </w:rPr>
            </w:pPr>
            <w:r>
              <w:rPr>
                <w:rFonts w:hint="eastAsia" w:eastAsia="仿宋_GB2312"/>
                <w:kern w:val="0"/>
                <w:szCs w:val="21"/>
                <w:lang w:val="en-US" w:eastAsia="zh-CN"/>
              </w:rPr>
              <w:t>60</w:t>
            </w:r>
          </w:p>
        </w:tc>
        <w:tc>
          <w:tcPr>
            <w:tcW w:w="2240" w:type="dxa"/>
            <w:tcBorders>
              <w:top w:val="single" w:color="auto" w:sz="4" w:space="0"/>
              <w:left w:val="nil"/>
              <w:bottom w:val="single" w:color="auto" w:sz="4" w:space="0"/>
              <w:right w:val="single" w:color="000000" w:sz="4" w:space="0"/>
            </w:tcBorders>
            <w:vAlign w:val="center"/>
          </w:tcPr>
          <w:p w14:paraId="2CA091DD">
            <w:pPr>
              <w:widowControl/>
              <w:jc w:val="center"/>
              <w:rPr>
                <w:rFonts w:hint="default" w:eastAsia="仿宋_GB2312"/>
                <w:kern w:val="0"/>
                <w:szCs w:val="21"/>
                <w:lang w:val="en-US" w:eastAsia="zh-CN"/>
              </w:rPr>
            </w:pPr>
            <w:r>
              <w:rPr>
                <w:rFonts w:hint="eastAsia" w:eastAsia="仿宋_GB2312"/>
                <w:kern w:val="0"/>
                <w:szCs w:val="21"/>
                <w:lang w:val="en-US" w:eastAsia="zh-CN"/>
              </w:rPr>
              <w:t>50</w:t>
            </w:r>
          </w:p>
        </w:tc>
        <w:tc>
          <w:tcPr>
            <w:tcW w:w="1832" w:type="dxa"/>
            <w:tcBorders>
              <w:top w:val="single" w:color="auto" w:sz="4" w:space="0"/>
              <w:left w:val="nil"/>
              <w:bottom w:val="single" w:color="auto" w:sz="4" w:space="0"/>
              <w:right w:val="single" w:color="000000" w:sz="4" w:space="0"/>
            </w:tcBorders>
            <w:vAlign w:val="center"/>
          </w:tcPr>
          <w:p w14:paraId="64B075AB">
            <w:pPr>
              <w:widowControl/>
              <w:jc w:val="center"/>
              <w:rPr>
                <w:rFonts w:hint="default" w:eastAsia="仿宋_GB2312"/>
                <w:kern w:val="0"/>
                <w:szCs w:val="21"/>
                <w:lang w:val="en-US" w:eastAsia="zh-CN"/>
              </w:rPr>
            </w:pPr>
            <w:r>
              <w:rPr>
                <w:rFonts w:hint="eastAsia" w:eastAsia="仿宋_GB2312"/>
                <w:kern w:val="0"/>
                <w:szCs w:val="21"/>
                <w:lang w:val="en-US" w:eastAsia="zh-CN"/>
              </w:rPr>
              <w:t>50</w:t>
            </w:r>
          </w:p>
        </w:tc>
      </w:tr>
      <w:tr w14:paraId="77485B8E">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709F9847">
            <w:pPr>
              <w:widowControl/>
              <w:ind w:firstLine="210" w:firstLineChars="100"/>
              <w:jc w:val="left"/>
              <w:rPr>
                <w:rFonts w:hint="eastAsia" w:ascii="仿宋_GB2312" w:eastAsia="宋体"/>
                <w:kern w:val="0"/>
                <w:szCs w:val="21"/>
                <w:lang w:eastAsia="zh-CN"/>
              </w:rPr>
            </w:pPr>
            <w:r>
              <w:rPr>
                <w:rFonts w:hint="eastAsia"/>
                <w:kern w:val="0"/>
                <w:szCs w:val="21"/>
                <w:lang w:val="en-US" w:eastAsia="zh-CN"/>
              </w:rPr>
              <w:t>4、</w:t>
            </w:r>
            <w:r>
              <w:rPr>
                <w:rFonts w:hint="eastAsia" w:ascii="仿宋_GB2312"/>
                <w:kern w:val="0"/>
                <w:szCs w:val="21"/>
                <w:lang w:eastAsia="zh-CN"/>
              </w:rPr>
              <w:t>救灾工作经费</w:t>
            </w:r>
          </w:p>
        </w:tc>
        <w:tc>
          <w:tcPr>
            <w:tcW w:w="1772" w:type="dxa"/>
            <w:tcBorders>
              <w:top w:val="single" w:color="auto" w:sz="4" w:space="0"/>
              <w:left w:val="nil"/>
              <w:bottom w:val="single" w:color="auto" w:sz="4" w:space="0"/>
              <w:right w:val="single" w:color="000000" w:sz="4" w:space="0"/>
            </w:tcBorders>
            <w:vAlign w:val="center"/>
          </w:tcPr>
          <w:p w14:paraId="0E8AF14F">
            <w:pPr>
              <w:widowControl/>
              <w:jc w:val="center"/>
              <w:rPr>
                <w:rFonts w:hint="default" w:eastAsia="仿宋_GB2312"/>
                <w:kern w:val="0"/>
                <w:szCs w:val="21"/>
                <w:lang w:val="en-US" w:eastAsia="zh-CN"/>
              </w:rPr>
            </w:pPr>
            <w:r>
              <w:rPr>
                <w:rFonts w:hint="eastAsia" w:eastAsia="仿宋_GB2312"/>
                <w:kern w:val="0"/>
                <w:szCs w:val="21"/>
                <w:lang w:val="en-US" w:eastAsia="zh-CN"/>
              </w:rPr>
              <w:t>10</w:t>
            </w:r>
          </w:p>
        </w:tc>
        <w:tc>
          <w:tcPr>
            <w:tcW w:w="2240" w:type="dxa"/>
            <w:tcBorders>
              <w:top w:val="single" w:color="auto" w:sz="4" w:space="0"/>
              <w:left w:val="nil"/>
              <w:bottom w:val="single" w:color="auto" w:sz="4" w:space="0"/>
              <w:right w:val="single" w:color="000000" w:sz="4" w:space="0"/>
            </w:tcBorders>
            <w:vAlign w:val="center"/>
          </w:tcPr>
          <w:p w14:paraId="02E8EBFE">
            <w:pPr>
              <w:widowControl/>
              <w:jc w:val="center"/>
              <w:rPr>
                <w:rFonts w:hint="default" w:eastAsia="仿宋_GB2312"/>
                <w:kern w:val="0"/>
                <w:szCs w:val="21"/>
                <w:lang w:val="en-US" w:eastAsia="zh-CN"/>
              </w:rPr>
            </w:pPr>
            <w:r>
              <w:rPr>
                <w:rFonts w:hint="eastAsia" w:eastAsia="仿宋_GB2312"/>
                <w:kern w:val="0"/>
                <w:szCs w:val="21"/>
                <w:lang w:val="en-US" w:eastAsia="zh-CN"/>
              </w:rPr>
              <w:t>10</w:t>
            </w:r>
          </w:p>
        </w:tc>
        <w:tc>
          <w:tcPr>
            <w:tcW w:w="1832" w:type="dxa"/>
            <w:tcBorders>
              <w:top w:val="single" w:color="auto" w:sz="4" w:space="0"/>
              <w:left w:val="nil"/>
              <w:bottom w:val="single" w:color="auto" w:sz="4" w:space="0"/>
              <w:right w:val="single" w:color="000000" w:sz="4" w:space="0"/>
            </w:tcBorders>
            <w:vAlign w:val="center"/>
          </w:tcPr>
          <w:p w14:paraId="277EA781">
            <w:pPr>
              <w:widowControl/>
              <w:jc w:val="center"/>
              <w:rPr>
                <w:rFonts w:hint="default" w:eastAsia="仿宋_GB2312"/>
                <w:kern w:val="0"/>
                <w:szCs w:val="21"/>
                <w:lang w:val="en-US" w:eastAsia="zh-CN"/>
              </w:rPr>
            </w:pPr>
            <w:r>
              <w:rPr>
                <w:rFonts w:hint="eastAsia" w:eastAsia="仿宋_GB2312"/>
                <w:kern w:val="0"/>
                <w:szCs w:val="21"/>
                <w:lang w:val="en-US" w:eastAsia="zh-CN"/>
              </w:rPr>
              <w:t>10</w:t>
            </w:r>
          </w:p>
        </w:tc>
      </w:tr>
      <w:tr w14:paraId="0352F6C0">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5EC2ABB4">
            <w:pPr>
              <w:widowControl/>
              <w:ind w:firstLine="210" w:firstLineChars="100"/>
              <w:jc w:val="left"/>
              <w:rPr>
                <w:rFonts w:hint="eastAsia" w:ascii="仿宋_GB2312" w:eastAsia="宋体"/>
                <w:kern w:val="0"/>
                <w:szCs w:val="21"/>
                <w:lang w:eastAsia="zh-CN"/>
              </w:rPr>
            </w:pPr>
            <w:r>
              <w:rPr>
                <w:rFonts w:hint="eastAsia"/>
                <w:kern w:val="0"/>
                <w:szCs w:val="21"/>
                <w:lang w:val="en-US" w:eastAsia="zh-CN"/>
              </w:rPr>
              <w:t>5、</w:t>
            </w:r>
            <w:r>
              <w:rPr>
                <w:rFonts w:hint="eastAsia"/>
                <w:kern w:val="0"/>
                <w:szCs w:val="21"/>
                <w:lang w:eastAsia="zh-CN"/>
              </w:rPr>
              <w:t>特岗人员购买意外伤害保险经费</w:t>
            </w:r>
          </w:p>
        </w:tc>
        <w:tc>
          <w:tcPr>
            <w:tcW w:w="1772" w:type="dxa"/>
            <w:tcBorders>
              <w:top w:val="single" w:color="auto" w:sz="4" w:space="0"/>
              <w:left w:val="nil"/>
              <w:bottom w:val="single" w:color="auto" w:sz="4" w:space="0"/>
              <w:right w:val="single" w:color="000000" w:sz="4" w:space="0"/>
            </w:tcBorders>
            <w:vAlign w:val="center"/>
          </w:tcPr>
          <w:p w14:paraId="789B363A">
            <w:pPr>
              <w:widowControl/>
              <w:jc w:val="center"/>
              <w:rPr>
                <w:rFonts w:hint="default" w:eastAsia="仿宋_GB2312"/>
                <w:kern w:val="0"/>
                <w:szCs w:val="21"/>
                <w:lang w:val="en-US" w:eastAsia="zh-CN"/>
              </w:rPr>
            </w:pPr>
            <w:r>
              <w:rPr>
                <w:rFonts w:hint="eastAsia" w:eastAsia="仿宋_GB2312"/>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2DA53878">
            <w:pPr>
              <w:widowControl/>
              <w:jc w:val="center"/>
              <w:rPr>
                <w:rFonts w:hint="default" w:eastAsia="仿宋_GB2312"/>
                <w:kern w:val="0"/>
                <w:szCs w:val="21"/>
                <w:lang w:val="en-US" w:eastAsia="zh-CN"/>
              </w:rPr>
            </w:pPr>
            <w:r>
              <w:rPr>
                <w:rFonts w:hint="eastAsia" w:eastAsia="仿宋_GB2312"/>
                <w:kern w:val="0"/>
                <w:szCs w:val="21"/>
                <w:lang w:val="en-US" w:eastAsia="zh-CN"/>
              </w:rPr>
              <w:t>6.05</w:t>
            </w:r>
          </w:p>
        </w:tc>
        <w:tc>
          <w:tcPr>
            <w:tcW w:w="1832" w:type="dxa"/>
            <w:tcBorders>
              <w:top w:val="single" w:color="auto" w:sz="4" w:space="0"/>
              <w:left w:val="nil"/>
              <w:bottom w:val="single" w:color="auto" w:sz="4" w:space="0"/>
              <w:right w:val="single" w:color="000000" w:sz="4" w:space="0"/>
            </w:tcBorders>
            <w:vAlign w:val="center"/>
          </w:tcPr>
          <w:p w14:paraId="5782E5F1">
            <w:pPr>
              <w:widowControl/>
              <w:jc w:val="center"/>
              <w:rPr>
                <w:rFonts w:hint="default" w:eastAsia="仿宋_GB2312"/>
                <w:kern w:val="0"/>
                <w:szCs w:val="21"/>
                <w:lang w:val="en-US" w:eastAsia="zh-CN"/>
              </w:rPr>
            </w:pPr>
            <w:r>
              <w:rPr>
                <w:rFonts w:hint="eastAsia" w:eastAsia="仿宋_GB2312"/>
                <w:kern w:val="0"/>
                <w:szCs w:val="21"/>
                <w:lang w:val="en-US" w:eastAsia="zh-CN"/>
              </w:rPr>
              <w:t>4.53</w:t>
            </w:r>
          </w:p>
        </w:tc>
      </w:tr>
      <w:tr w14:paraId="12FBE958">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350C9D05">
            <w:pPr>
              <w:widowControl/>
              <w:ind w:firstLine="210" w:firstLineChars="100"/>
              <w:jc w:val="left"/>
              <w:rPr>
                <w:rFonts w:hint="eastAsia" w:ascii="仿宋_GB2312"/>
                <w:kern w:val="0"/>
                <w:szCs w:val="21"/>
                <w:lang w:eastAsia="zh-CN"/>
              </w:rPr>
            </w:pPr>
            <w:r>
              <w:rPr>
                <w:rFonts w:hint="eastAsia"/>
                <w:kern w:val="0"/>
                <w:szCs w:val="21"/>
                <w:lang w:val="en-US" w:eastAsia="zh-CN"/>
              </w:rPr>
              <w:t>6、</w:t>
            </w:r>
            <w:r>
              <w:rPr>
                <w:rFonts w:hint="eastAsia"/>
                <w:kern w:val="0"/>
                <w:szCs w:val="21"/>
                <w:lang w:eastAsia="zh-CN"/>
              </w:rPr>
              <w:t>文职人员工资</w:t>
            </w:r>
          </w:p>
        </w:tc>
        <w:tc>
          <w:tcPr>
            <w:tcW w:w="1772" w:type="dxa"/>
            <w:tcBorders>
              <w:top w:val="single" w:color="auto" w:sz="4" w:space="0"/>
              <w:left w:val="nil"/>
              <w:bottom w:val="single" w:color="auto" w:sz="4" w:space="0"/>
              <w:right w:val="single" w:color="000000" w:sz="4" w:space="0"/>
            </w:tcBorders>
            <w:vAlign w:val="center"/>
          </w:tcPr>
          <w:p w14:paraId="7EDA08E6">
            <w:pPr>
              <w:widowControl/>
              <w:jc w:val="center"/>
              <w:rPr>
                <w:rFonts w:hint="default" w:eastAsia="仿宋_GB2312"/>
                <w:kern w:val="0"/>
                <w:szCs w:val="21"/>
                <w:lang w:val="en-US" w:eastAsia="zh-CN"/>
              </w:rPr>
            </w:pPr>
            <w:r>
              <w:rPr>
                <w:rFonts w:hint="eastAsia" w:eastAsia="仿宋_GB2312"/>
                <w:kern w:val="0"/>
                <w:szCs w:val="21"/>
                <w:lang w:val="en-US" w:eastAsia="zh-CN"/>
              </w:rPr>
              <w:t>144.82</w:t>
            </w:r>
          </w:p>
        </w:tc>
        <w:tc>
          <w:tcPr>
            <w:tcW w:w="2240" w:type="dxa"/>
            <w:tcBorders>
              <w:top w:val="single" w:color="auto" w:sz="4" w:space="0"/>
              <w:left w:val="nil"/>
              <w:bottom w:val="single" w:color="auto" w:sz="4" w:space="0"/>
              <w:right w:val="single" w:color="000000" w:sz="4" w:space="0"/>
            </w:tcBorders>
            <w:vAlign w:val="center"/>
          </w:tcPr>
          <w:p w14:paraId="4C3ABAE5">
            <w:pPr>
              <w:widowControl/>
              <w:jc w:val="center"/>
              <w:rPr>
                <w:rFonts w:hint="default" w:eastAsia="仿宋_GB2312"/>
                <w:kern w:val="0"/>
                <w:szCs w:val="21"/>
                <w:lang w:val="en-US" w:eastAsia="zh-CN"/>
              </w:rPr>
            </w:pPr>
            <w:r>
              <w:rPr>
                <w:rFonts w:hint="eastAsia" w:eastAsia="仿宋_GB2312"/>
                <w:kern w:val="0"/>
                <w:szCs w:val="21"/>
                <w:lang w:val="en-US" w:eastAsia="zh-CN"/>
              </w:rPr>
              <w:t>120</w:t>
            </w:r>
          </w:p>
        </w:tc>
        <w:tc>
          <w:tcPr>
            <w:tcW w:w="1832" w:type="dxa"/>
            <w:tcBorders>
              <w:top w:val="single" w:color="auto" w:sz="4" w:space="0"/>
              <w:left w:val="nil"/>
              <w:bottom w:val="single" w:color="auto" w:sz="4" w:space="0"/>
              <w:right w:val="single" w:color="000000" w:sz="4" w:space="0"/>
            </w:tcBorders>
            <w:vAlign w:val="center"/>
          </w:tcPr>
          <w:p w14:paraId="612A1242">
            <w:pPr>
              <w:widowControl/>
              <w:jc w:val="center"/>
              <w:rPr>
                <w:rFonts w:hint="default" w:eastAsia="仿宋_GB2312"/>
                <w:kern w:val="0"/>
                <w:szCs w:val="21"/>
                <w:lang w:val="en-US" w:eastAsia="zh-CN"/>
              </w:rPr>
            </w:pPr>
            <w:r>
              <w:rPr>
                <w:rFonts w:hint="eastAsia" w:eastAsia="仿宋_GB2312"/>
                <w:kern w:val="0"/>
                <w:szCs w:val="21"/>
                <w:lang w:val="en-US" w:eastAsia="zh-CN"/>
              </w:rPr>
              <w:t>113.34</w:t>
            </w:r>
          </w:p>
        </w:tc>
      </w:tr>
      <w:tr w14:paraId="2B9DC6DB">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6A6D439F">
            <w:pPr>
              <w:widowControl/>
              <w:ind w:firstLine="210" w:firstLineChars="100"/>
              <w:jc w:val="left"/>
              <w:rPr>
                <w:rFonts w:hint="eastAsia" w:ascii="仿宋_GB2312"/>
                <w:kern w:val="0"/>
                <w:szCs w:val="21"/>
                <w:lang w:eastAsia="zh-CN"/>
              </w:rPr>
            </w:pPr>
            <w:r>
              <w:rPr>
                <w:rFonts w:hint="eastAsia"/>
                <w:kern w:val="0"/>
                <w:szCs w:val="21"/>
                <w:lang w:val="en-US" w:eastAsia="zh-CN"/>
              </w:rPr>
              <w:t>7、</w:t>
            </w:r>
            <w:r>
              <w:rPr>
                <w:rFonts w:hint="eastAsia"/>
                <w:kern w:val="0"/>
                <w:szCs w:val="21"/>
                <w:lang w:eastAsia="zh-CN"/>
              </w:rPr>
              <w:t>驻局纪检组专项经费</w:t>
            </w:r>
          </w:p>
        </w:tc>
        <w:tc>
          <w:tcPr>
            <w:tcW w:w="1772" w:type="dxa"/>
            <w:tcBorders>
              <w:top w:val="single" w:color="auto" w:sz="4" w:space="0"/>
              <w:left w:val="nil"/>
              <w:bottom w:val="single" w:color="auto" w:sz="4" w:space="0"/>
              <w:right w:val="single" w:color="000000" w:sz="4" w:space="0"/>
            </w:tcBorders>
            <w:vAlign w:val="center"/>
          </w:tcPr>
          <w:p w14:paraId="22E75EB6">
            <w:pPr>
              <w:widowControl/>
              <w:jc w:val="center"/>
              <w:rPr>
                <w:rFonts w:hint="default" w:eastAsia="仿宋_GB2312"/>
                <w:kern w:val="0"/>
                <w:szCs w:val="21"/>
                <w:lang w:val="en-US" w:eastAsia="zh-CN"/>
              </w:rPr>
            </w:pPr>
            <w:r>
              <w:rPr>
                <w:rFonts w:hint="eastAsia" w:eastAsia="仿宋_GB2312"/>
                <w:kern w:val="0"/>
                <w:szCs w:val="21"/>
                <w:lang w:val="en-US" w:eastAsia="zh-CN"/>
              </w:rPr>
              <w:t>20.5</w:t>
            </w:r>
          </w:p>
        </w:tc>
        <w:tc>
          <w:tcPr>
            <w:tcW w:w="2240" w:type="dxa"/>
            <w:tcBorders>
              <w:top w:val="single" w:color="auto" w:sz="4" w:space="0"/>
              <w:left w:val="nil"/>
              <w:bottom w:val="single" w:color="auto" w:sz="4" w:space="0"/>
              <w:right w:val="single" w:color="000000" w:sz="4" w:space="0"/>
            </w:tcBorders>
            <w:vAlign w:val="center"/>
          </w:tcPr>
          <w:p w14:paraId="4B9C55D1">
            <w:pPr>
              <w:widowControl/>
              <w:jc w:val="center"/>
              <w:rPr>
                <w:rFonts w:hint="default" w:eastAsia="仿宋_GB2312"/>
                <w:kern w:val="0"/>
                <w:szCs w:val="21"/>
                <w:lang w:val="en-US" w:eastAsia="zh-CN"/>
              </w:rPr>
            </w:pPr>
            <w:r>
              <w:rPr>
                <w:rFonts w:hint="eastAsia" w:eastAsia="仿宋_GB2312"/>
                <w:kern w:val="0"/>
                <w:szCs w:val="21"/>
                <w:lang w:val="en-US" w:eastAsia="zh-CN"/>
              </w:rPr>
              <w:t>20.5</w:t>
            </w:r>
          </w:p>
        </w:tc>
        <w:tc>
          <w:tcPr>
            <w:tcW w:w="1832" w:type="dxa"/>
            <w:tcBorders>
              <w:top w:val="single" w:color="auto" w:sz="4" w:space="0"/>
              <w:left w:val="nil"/>
              <w:bottom w:val="single" w:color="auto" w:sz="4" w:space="0"/>
              <w:right w:val="single" w:color="000000" w:sz="4" w:space="0"/>
            </w:tcBorders>
            <w:vAlign w:val="center"/>
          </w:tcPr>
          <w:p w14:paraId="1F6E382F">
            <w:pPr>
              <w:widowControl/>
              <w:jc w:val="center"/>
              <w:rPr>
                <w:rFonts w:hint="default" w:eastAsia="仿宋_GB2312"/>
                <w:kern w:val="0"/>
                <w:szCs w:val="21"/>
                <w:lang w:val="en-US" w:eastAsia="zh-CN"/>
              </w:rPr>
            </w:pPr>
            <w:r>
              <w:rPr>
                <w:rFonts w:hint="eastAsia" w:eastAsia="仿宋_GB2312"/>
                <w:kern w:val="0"/>
                <w:szCs w:val="21"/>
                <w:lang w:val="en-US" w:eastAsia="zh-CN"/>
              </w:rPr>
              <w:t>20.5</w:t>
            </w:r>
          </w:p>
        </w:tc>
      </w:tr>
      <w:tr w14:paraId="028D8EDA">
        <w:tblPrEx>
          <w:tblCellMar>
            <w:top w:w="0" w:type="dxa"/>
            <w:left w:w="108" w:type="dxa"/>
            <w:bottom w:w="0" w:type="dxa"/>
            <w:right w:w="108" w:type="dxa"/>
          </w:tblCellMar>
        </w:tblPrEx>
        <w:trPr>
          <w:trHeight w:val="454" w:hRule="atLeast"/>
          <w:jc w:val="center"/>
        </w:trPr>
        <w:tc>
          <w:tcPr>
            <w:tcW w:w="3620" w:type="dxa"/>
            <w:tcBorders>
              <w:top w:val="nil"/>
              <w:left w:val="single" w:color="auto" w:sz="4" w:space="0"/>
              <w:bottom w:val="single" w:color="auto" w:sz="4" w:space="0"/>
              <w:right w:val="single" w:color="auto" w:sz="4" w:space="0"/>
            </w:tcBorders>
            <w:vAlign w:val="center"/>
          </w:tcPr>
          <w:p w14:paraId="2D4B565B">
            <w:pPr>
              <w:widowControl/>
              <w:jc w:val="left"/>
              <w:rPr>
                <w:rFonts w:eastAsia="仿宋_GB2312"/>
                <w:kern w:val="0"/>
                <w:szCs w:val="21"/>
              </w:rPr>
            </w:pPr>
            <w:r>
              <w:rPr>
                <w:rFonts w:hint="eastAsia"/>
                <w:kern w:val="0"/>
                <w:szCs w:val="21"/>
              </w:rPr>
              <w:t>政府采购金额</w:t>
            </w:r>
          </w:p>
        </w:tc>
        <w:tc>
          <w:tcPr>
            <w:tcW w:w="1772" w:type="dxa"/>
            <w:tcBorders>
              <w:top w:val="single" w:color="auto" w:sz="4" w:space="0"/>
              <w:left w:val="nil"/>
              <w:bottom w:val="single" w:color="auto" w:sz="4" w:space="0"/>
              <w:right w:val="single" w:color="000000" w:sz="4" w:space="0"/>
            </w:tcBorders>
            <w:vAlign w:val="center"/>
          </w:tcPr>
          <w:p w14:paraId="7315C24E">
            <w:pPr>
              <w:widowControl/>
              <w:jc w:val="center"/>
              <w:rPr>
                <w:rFonts w:hint="default" w:eastAsia="仿宋_GB2312"/>
                <w:kern w:val="0"/>
                <w:szCs w:val="21"/>
                <w:lang w:val="en-US" w:eastAsia="zh-CN"/>
              </w:rPr>
            </w:pPr>
            <w:r>
              <w:rPr>
                <w:rFonts w:hint="eastAsia" w:eastAsia="仿宋_GB2312"/>
                <w:kern w:val="0"/>
                <w:szCs w:val="21"/>
                <w:lang w:val="en-US" w:eastAsia="zh-CN"/>
              </w:rPr>
              <w:t>659.71</w:t>
            </w:r>
          </w:p>
        </w:tc>
        <w:tc>
          <w:tcPr>
            <w:tcW w:w="2240" w:type="dxa"/>
            <w:tcBorders>
              <w:top w:val="single" w:color="auto" w:sz="4" w:space="0"/>
              <w:left w:val="nil"/>
              <w:bottom w:val="single" w:color="auto" w:sz="4" w:space="0"/>
              <w:right w:val="single" w:color="000000" w:sz="4" w:space="0"/>
            </w:tcBorders>
            <w:vAlign w:val="center"/>
          </w:tcPr>
          <w:p w14:paraId="1546839D">
            <w:pPr>
              <w:widowControl/>
              <w:jc w:val="center"/>
              <w:rPr>
                <w:rFonts w:hint="default" w:eastAsia="仿宋_GB2312"/>
                <w:kern w:val="0"/>
                <w:szCs w:val="21"/>
                <w:lang w:val="en-US" w:eastAsia="zh-CN"/>
              </w:rPr>
            </w:pPr>
            <w:r>
              <w:rPr>
                <w:rFonts w:hint="eastAsia" w:eastAsia="仿宋_GB2312"/>
                <w:kern w:val="0"/>
                <w:szCs w:val="21"/>
                <w:lang w:val="en-US" w:eastAsia="zh-CN"/>
              </w:rPr>
              <w:t>247</w:t>
            </w:r>
          </w:p>
        </w:tc>
        <w:tc>
          <w:tcPr>
            <w:tcW w:w="1832" w:type="dxa"/>
            <w:tcBorders>
              <w:top w:val="single" w:color="auto" w:sz="4" w:space="0"/>
              <w:left w:val="nil"/>
              <w:bottom w:val="single" w:color="auto" w:sz="4" w:space="0"/>
              <w:right w:val="single" w:color="000000" w:sz="4" w:space="0"/>
            </w:tcBorders>
            <w:vAlign w:val="center"/>
          </w:tcPr>
          <w:p w14:paraId="318ACB90">
            <w:pPr>
              <w:widowControl/>
              <w:jc w:val="center"/>
              <w:rPr>
                <w:rFonts w:hint="default" w:eastAsia="仿宋_GB2312"/>
                <w:kern w:val="0"/>
                <w:szCs w:val="21"/>
                <w:lang w:val="en" w:eastAsia="zh-CN"/>
              </w:rPr>
            </w:pPr>
            <w:r>
              <w:rPr>
                <w:rFonts w:hint="default" w:eastAsia="仿宋_GB2312"/>
                <w:kern w:val="0"/>
                <w:szCs w:val="21"/>
                <w:lang w:val="en" w:eastAsia="zh-CN"/>
              </w:rPr>
              <w:t>153.14</w:t>
            </w:r>
          </w:p>
        </w:tc>
      </w:tr>
      <w:tr w14:paraId="2064F587">
        <w:tblPrEx>
          <w:tblCellMar>
            <w:top w:w="0" w:type="dxa"/>
            <w:left w:w="108" w:type="dxa"/>
            <w:bottom w:w="0" w:type="dxa"/>
            <w:right w:w="108" w:type="dxa"/>
          </w:tblCellMar>
        </w:tblPrEx>
        <w:trPr>
          <w:trHeight w:val="1822" w:hRule="atLeast"/>
          <w:jc w:val="center"/>
        </w:trPr>
        <w:tc>
          <w:tcPr>
            <w:tcW w:w="3620" w:type="dxa"/>
            <w:tcBorders>
              <w:top w:val="nil"/>
              <w:left w:val="single" w:color="auto" w:sz="4" w:space="0"/>
              <w:bottom w:val="single" w:color="auto" w:sz="4" w:space="0"/>
              <w:right w:val="single" w:color="auto" w:sz="4" w:space="0"/>
            </w:tcBorders>
            <w:vAlign w:val="center"/>
          </w:tcPr>
          <w:p w14:paraId="57292805">
            <w:pPr>
              <w:widowControl/>
              <w:jc w:val="center"/>
              <w:rPr>
                <w:rFonts w:eastAsia="仿宋_GB2312"/>
                <w:kern w:val="0"/>
                <w:szCs w:val="21"/>
              </w:rPr>
            </w:pPr>
            <w:r>
              <w:rPr>
                <w:rFonts w:hint="eastAsia"/>
                <w:kern w:val="0"/>
                <w:szCs w:val="21"/>
              </w:rPr>
              <w:t>厉行节约保障措施</w:t>
            </w:r>
          </w:p>
        </w:tc>
        <w:tc>
          <w:tcPr>
            <w:tcW w:w="5844" w:type="dxa"/>
            <w:gridSpan w:val="3"/>
            <w:tcBorders>
              <w:top w:val="single" w:color="auto" w:sz="4" w:space="0"/>
              <w:left w:val="nil"/>
              <w:bottom w:val="single" w:color="auto" w:sz="4" w:space="0"/>
              <w:right w:val="single" w:color="000000" w:sz="4" w:space="0"/>
            </w:tcBorders>
            <w:vAlign w:val="center"/>
          </w:tcPr>
          <w:p w14:paraId="0EF2D39F">
            <w:pPr>
              <w:widowControl/>
              <w:rPr>
                <w:rFonts w:eastAsia="仿宋_GB2312"/>
                <w:kern w:val="0"/>
                <w:szCs w:val="21"/>
              </w:rPr>
            </w:pPr>
            <w:r>
              <w:rPr>
                <w:rFonts w:hint="eastAsia" w:ascii="宋体" w:hAnsi="宋体" w:cs="宋体"/>
                <w:kern w:val="0"/>
              </w:rPr>
              <w:t>增强节约意识，在全局上下积极营造勤俭节约的良好氛围，以节约用电、节约办公、节约和合理利用资源为重点，努力建设节约型机关单位。</w:t>
            </w:r>
          </w:p>
        </w:tc>
      </w:tr>
    </w:tbl>
    <w:p w14:paraId="7BB9E961">
      <w:pPr>
        <w:spacing w:line="560" w:lineRule="exact"/>
        <w:jc w:val="center"/>
      </w:pPr>
    </w:p>
    <w:sectPr>
      <w:pgSz w:w="11906" w:h="16838"/>
      <w:pgMar w:top="1135" w:right="1416"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仿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Droid Sans Fallback">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5807247"/>
    </w:sdtPr>
    <w:sdtContent>
      <w:p w14:paraId="60825AB7">
        <w:pPr>
          <w:pStyle w:val="5"/>
          <w:jc w:val="center"/>
        </w:pPr>
        <w:r>
          <w:fldChar w:fldCharType="begin"/>
        </w:r>
        <w:r>
          <w:instrText xml:space="preserve">PAGE   \* MERGEFORMAT</w:instrText>
        </w:r>
        <w:r>
          <w:fldChar w:fldCharType="separate"/>
        </w:r>
        <w:r>
          <w:rPr>
            <w:lang w:val="zh-CN"/>
          </w:rPr>
          <w:t>11</w:t>
        </w:r>
        <w:r>
          <w:fldChar w:fldCharType="end"/>
        </w:r>
      </w:p>
    </w:sdtContent>
  </w:sdt>
  <w:p w14:paraId="18DD60F1">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2B2E"/>
    <w:rsid w:val="00021532"/>
    <w:rsid w:val="00027015"/>
    <w:rsid w:val="00063F1E"/>
    <w:rsid w:val="00067770"/>
    <w:rsid w:val="00094A69"/>
    <w:rsid w:val="000C2B00"/>
    <w:rsid w:val="000E70FD"/>
    <w:rsid w:val="00196FF0"/>
    <w:rsid w:val="001D7CFA"/>
    <w:rsid w:val="00201BC7"/>
    <w:rsid w:val="00257706"/>
    <w:rsid w:val="00275A8C"/>
    <w:rsid w:val="002855A0"/>
    <w:rsid w:val="00292185"/>
    <w:rsid w:val="002A68A5"/>
    <w:rsid w:val="002B508F"/>
    <w:rsid w:val="002D19A0"/>
    <w:rsid w:val="002F67D2"/>
    <w:rsid w:val="00335DF9"/>
    <w:rsid w:val="00353451"/>
    <w:rsid w:val="00356E5C"/>
    <w:rsid w:val="003B359E"/>
    <w:rsid w:val="003F3052"/>
    <w:rsid w:val="003F739D"/>
    <w:rsid w:val="00402E56"/>
    <w:rsid w:val="0040697B"/>
    <w:rsid w:val="004131B9"/>
    <w:rsid w:val="00413903"/>
    <w:rsid w:val="00413911"/>
    <w:rsid w:val="00433253"/>
    <w:rsid w:val="00437C0E"/>
    <w:rsid w:val="0044276D"/>
    <w:rsid w:val="00457279"/>
    <w:rsid w:val="00461AA5"/>
    <w:rsid w:val="00493F0E"/>
    <w:rsid w:val="004C15AF"/>
    <w:rsid w:val="004D1E4E"/>
    <w:rsid w:val="005178D7"/>
    <w:rsid w:val="005322E4"/>
    <w:rsid w:val="00532B2E"/>
    <w:rsid w:val="005347D9"/>
    <w:rsid w:val="00540E7D"/>
    <w:rsid w:val="00560032"/>
    <w:rsid w:val="00575100"/>
    <w:rsid w:val="00596E13"/>
    <w:rsid w:val="005C35EC"/>
    <w:rsid w:val="005C740E"/>
    <w:rsid w:val="005F1C5B"/>
    <w:rsid w:val="00625B42"/>
    <w:rsid w:val="00637592"/>
    <w:rsid w:val="006475B4"/>
    <w:rsid w:val="006828CD"/>
    <w:rsid w:val="00706E55"/>
    <w:rsid w:val="007C0C90"/>
    <w:rsid w:val="007E60DA"/>
    <w:rsid w:val="007F1D0C"/>
    <w:rsid w:val="008146E4"/>
    <w:rsid w:val="008531FB"/>
    <w:rsid w:val="00865712"/>
    <w:rsid w:val="00875203"/>
    <w:rsid w:val="008C1539"/>
    <w:rsid w:val="00903708"/>
    <w:rsid w:val="009165C5"/>
    <w:rsid w:val="0093144E"/>
    <w:rsid w:val="009314C7"/>
    <w:rsid w:val="00933B1E"/>
    <w:rsid w:val="00933E52"/>
    <w:rsid w:val="00940FDD"/>
    <w:rsid w:val="0098203F"/>
    <w:rsid w:val="00987858"/>
    <w:rsid w:val="00992A69"/>
    <w:rsid w:val="00A04310"/>
    <w:rsid w:val="00A1586B"/>
    <w:rsid w:val="00A21D7E"/>
    <w:rsid w:val="00A65619"/>
    <w:rsid w:val="00A968D4"/>
    <w:rsid w:val="00AA7CD2"/>
    <w:rsid w:val="00AD4349"/>
    <w:rsid w:val="00B35E3F"/>
    <w:rsid w:val="00B45B6C"/>
    <w:rsid w:val="00B50F21"/>
    <w:rsid w:val="00B55350"/>
    <w:rsid w:val="00B72733"/>
    <w:rsid w:val="00B756E0"/>
    <w:rsid w:val="00B7733C"/>
    <w:rsid w:val="00B82D93"/>
    <w:rsid w:val="00BA0CA0"/>
    <w:rsid w:val="00BD210E"/>
    <w:rsid w:val="00C07840"/>
    <w:rsid w:val="00C235D8"/>
    <w:rsid w:val="00C35979"/>
    <w:rsid w:val="00C53084"/>
    <w:rsid w:val="00C536B8"/>
    <w:rsid w:val="00CF6A54"/>
    <w:rsid w:val="00D17960"/>
    <w:rsid w:val="00D459C5"/>
    <w:rsid w:val="00D70303"/>
    <w:rsid w:val="00D72546"/>
    <w:rsid w:val="00D94B1F"/>
    <w:rsid w:val="00DA038B"/>
    <w:rsid w:val="00DE343D"/>
    <w:rsid w:val="00DE5354"/>
    <w:rsid w:val="00E04DB0"/>
    <w:rsid w:val="00E25896"/>
    <w:rsid w:val="00E44B29"/>
    <w:rsid w:val="00E50020"/>
    <w:rsid w:val="00E53BD4"/>
    <w:rsid w:val="00E54752"/>
    <w:rsid w:val="00E864C3"/>
    <w:rsid w:val="00E93F8B"/>
    <w:rsid w:val="00EB02C8"/>
    <w:rsid w:val="00EC29D1"/>
    <w:rsid w:val="00ED2C3E"/>
    <w:rsid w:val="00F071F5"/>
    <w:rsid w:val="00F519F0"/>
    <w:rsid w:val="00FA3468"/>
    <w:rsid w:val="00FA7787"/>
    <w:rsid w:val="00FB0636"/>
    <w:rsid w:val="00FB39D2"/>
    <w:rsid w:val="00FB6FBC"/>
    <w:rsid w:val="00FD6D01"/>
    <w:rsid w:val="041C42A5"/>
    <w:rsid w:val="07254CB2"/>
    <w:rsid w:val="09F50259"/>
    <w:rsid w:val="167F792F"/>
    <w:rsid w:val="285B4FC3"/>
    <w:rsid w:val="31C434C8"/>
    <w:rsid w:val="3BBF751F"/>
    <w:rsid w:val="3FC3D859"/>
    <w:rsid w:val="3FCF82EE"/>
    <w:rsid w:val="3FFEAEC0"/>
    <w:rsid w:val="427770D1"/>
    <w:rsid w:val="46D60AA5"/>
    <w:rsid w:val="4BCA1C85"/>
    <w:rsid w:val="52551945"/>
    <w:rsid w:val="56CD6807"/>
    <w:rsid w:val="56DE17A3"/>
    <w:rsid w:val="5C863DB5"/>
    <w:rsid w:val="5D6CE176"/>
    <w:rsid w:val="5EDB2CB3"/>
    <w:rsid w:val="5FFBE97B"/>
    <w:rsid w:val="66FD57AE"/>
    <w:rsid w:val="6B9B1404"/>
    <w:rsid w:val="6F8D1C3C"/>
    <w:rsid w:val="73DC7275"/>
    <w:rsid w:val="75EF9C7F"/>
    <w:rsid w:val="7BA73E45"/>
    <w:rsid w:val="7DB77A90"/>
    <w:rsid w:val="7E106A24"/>
    <w:rsid w:val="7EDB5F91"/>
    <w:rsid w:val="7FFE5A13"/>
    <w:rsid w:val="9FDF0EF2"/>
    <w:rsid w:val="ABBFF973"/>
    <w:rsid w:val="AF7F35D5"/>
    <w:rsid w:val="BCFB13EB"/>
    <w:rsid w:val="D3AFEBA0"/>
    <w:rsid w:val="DBE7B8D1"/>
    <w:rsid w:val="DF5F39F6"/>
    <w:rsid w:val="E7FFDB4E"/>
    <w:rsid w:val="F53B3796"/>
    <w:rsid w:val="FFAB82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Plain Text"/>
    <w:basedOn w:val="1"/>
    <w:link w:val="11"/>
    <w:qFormat/>
    <w:uiPriority w:val="0"/>
    <w:rPr>
      <w:rFonts w:ascii="宋体" w:hAnsi="Courier New" w:cs="Courier New"/>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0">
    <w:name w:val="List Paragraph"/>
    <w:basedOn w:val="1"/>
    <w:qFormat/>
    <w:uiPriority w:val="99"/>
    <w:pPr>
      <w:ind w:firstLine="420" w:firstLineChars="200"/>
    </w:pPr>
  </w:style>
  <w:style w:type="character" w:customStyle="1" w:styleId="11">
    <w:name w:val="纯文本 Char"/>
    <w:basedOn w:val="9"/>
    <w:link w:val="3"/>
    <w:qFormat/>
    <w:uiPriority w:val="0"/>
    <w:rPr>
      <w:rFonts w:ascii="宋体" w:hAnsi="Courier New" w:eastAsia="宋体" w:cs="Courier New"/>
      <w:szCs w:val="21"/>
    </w:rPr>
  </w:style>
  <w:style w:type="paragraph" w:customStyle="1" w:styleId="12">
    <w:name w:val="p0"/>
    <w:basedOn w:val="1"/>
    <w:qFormat/>
    <w:uiPriority w:val="0"/>
    <w:pPr>
      <w:widowControl/>
    </w:pPr>
    <w:rPr>
      <w:kern w:val="0"/>
      <w:szCs w:val="21"/>
    </w:rPr>
  </w:style>
  <w:style w:type="character" w:customStyle="1" w:styleId="13">
    <w:name w:val="页眉 Char"/>
    <w:basedOn w:val="9"/>
    <w:link w:val="6"/>
    <w:qFormat/>
    <w:uiPriority w:val="99"/>
    <w:rPr>
      <w:rFonts w:ascii="Times New Roman" w:hAnsi="Times New Roman" w:eastAsia="宋体" w:cs="Times New Roman"/>
      <w:sz w:val="18"/>
      <w:szCs w:val="18"/>
    </w:rPr>
  </w:style>
  <w:style w:type="character" w:customStyle="1" w:styleId="14">
    <w:name w:val="页脚 Char"/>
    <w:basedOn w:val="9"/>
    <w:link w:val="5"/>
    <w:qFormat/>
    <w:uiPriority w:val="99"/>
    <w:rPr>
      <w:rFonts w:ascii="Times New Roman" w:hAnsi="Times New Roman" w:eastAsia="宋体" w:cs="Times New Roman"/>
      <w:sz w:val="18"/>
      <w:szCs w:val="18"/>
    </w:rPr>
  </w:style>
  <w:style w:type="character" w:customStyle="1" w:styleId="15">
    <w:name w:val="批注文字 Char"/>
    <w:basedOn w:val="9"/>
    <w:link w:val="2"/>
    <w:qFormat/>
    <w:uiPriority w:val="0"/>
    <w:rPr>
      <w:rFonts w:ascii="Times New Roman" w:hAnsi="Times New Roman" w:eastAsia="宋体" w:cs="Times New Roman"/>
      <w:szCs w:val="24"/>
    </w:rPr>
  </w:style>
  <w:style w:type="character" w:customStyle="1" w:styleId="16">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Far123</Company>
  <Pages>12</Pages>
  <Words>5434</Words>
  <Characters>5758</Characters>
  <Lines>51</Lines>
  <Paragraphs>14</Paragraphs>
  <TotalTime>24</TotalTime>
  <ScaleCrop>false</ScaleCrop>
  <LinksUpToDate>false</LinksUpToDate>
  <CharactersWithSpaces>5794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2021-01-28T08:08:00Z</dcterms:created>
  <dc:creator>User</dc:creator>
  <cp:lastModifiedBy>tsq太神奇那</cp:lastModifiedBy>
  <cp:lastPrinted>2022-05-12T08:54:00Z</cp:lastPrinted>
  <dcterms:modified xsi:type="dcterms:W3CDTF">2025-05-25T16:53:46Z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eyJoZGlkIjoiMjlkYmVmNzcyZGNmYmM0MTU3MjkzMDFiMDc4YjhlMzMiLCJ1c2VySWQiOiI0MTY1OTcxODgifQ==</vt:lpwstr>
  </property>
  <property fmtid="{D5CDD505-2E9C-101B-9397-08002B2CF9AE}" pid="4" name="ICV">
    <vt:lpwstr>B25BBD8E766E48DFAF2AE02F728F7EC9_12</vt:lpwstr>
  </property>
</Properties>
</file>