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bidi w:val="0"/>
        <w:spacing w:before="0" w:after="0" w:line="240" w:lineRule="auto"/>
        <w:ind w:right="0"/>
        <w:jc w:val="both"/>
        <w:rPr>
          <w:rFonts w:hint="eastAsia" w:eastAsiaTheme="minorEastAsia"/>
          <w:lang w:eastAsia="zh-CN"/>
        </w:rPr>
      </w:pPr>
    </w:p>
    <w:p>
      <w:pPr>
        <w:pStyle w:val="21"/>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en-US"/>
        </w:rPr>
        <w:t>1</w:t>
      </w:r>
      <w:r>
        <w:rPr>
          <w:rFonts w:hint="eastAsia" w:ascii="宋体" w:hAnsi="宋体" w:eastAsia="宋体" w:cs="宋体"/>
          <w:b w:val="0"/>
          <w:bCs w:val="0"/>
          <w:color w:val="000000"/>
          <w:spacing w:val="0"/>
          <w:w w:val="100"/>
          <w:position w:val="0"/>
          <w:sz w:val="24"/>
          <w:szCs w:val="24"/>
          <w:lang w:val="en-US" w:eastAsia="en-US" w:bidi="en-US"/>
        </w:rPr>
        <w:t>-1</w:t>
      </w:r>
      <w:bookmarkStart w:id="0" w:name="bookmark84"/>
      <w:bookmarkStart w:id="1" w:name="bookmark82"/>
      <w:bookmarkStart w:id="2" w:name="bookmark83"/>
      <w:r>
        <w:rPr>
          <w:rFonts w:hint="eastAsia" w:ascii="宋体" w:hAnsi="宋体" w:eastAsia="宋体" w:cs="宋体"/>
          <w:b w:val="0"/>
          <w:bCs w:val="0"/>
          <w:color w:val="000000"/>
          <w:spacing w:val="0"/>
          <w:w w:val="100"/>
          <w:position w:val="0"/>
          <w:sz w:val="24"/>
          <w:szCs w:val="24"/>
          <w:lang w:val="en-US" w:eastAsia="zh-CN" w:bidi="en-US"/>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21"/>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中共珠晖区委组织部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（96分）</w:t>
      </w:r>
    </w:p>
    <w:tbl>
      <w:tblPr>
        <w:tblStyle w:val="5"/>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 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 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 财政部门确定的部门决算编制口径为准。</w:t>
            </w:r>
          </w:p>
          <w:p>
            <w:pPr>
              <w:pStyle w:val="22"/>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 成率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 xml:space="preserve">扣 </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 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2"/>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2"/>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2"/>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2"/>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2"/>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2"/>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2"/>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2"/>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2"/>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2"/>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 计核算制度等管理制度，2 分；</w:t>
            </w:r>
          </w:p>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2"/>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2"/>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2"/>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2"/>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2"/>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2"/>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2"/>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2"/>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2"/>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2"/>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2"/>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5"/>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rPr>
          <w:trHeight w:val="1262" w:hRule="exact"/>
          <w:jc w:val="center"/>
        </w:trPr>
        <w:tc>
          <w:tcPr>
            <w:tcW w:w="452"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2"/>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22"/>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 强经费及资产管理，推动网 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2"/>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 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2"/>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center"/>
              <w:rPr>
                <w:rFonts w:hint="eastAsia" w:ascii="宋体" w:hAnsi="宋体" w:eastAsia="宋体" w:cs="宋体"/>
                <w:sz w:val="18"/>
                <w:szCs w:val="18"/>
              </w:rPr>
            </w:pP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1"/>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24"/>
          <w:szCs w:val="24"/>
          <w:lang w:val="zh-CN" w:eastAsia="zh-CN" w:bidi="zh-CN"/>
        </w:rPr>
      </w:pPr>
      <w:r>
        <w:rPr>
          <w:rFonts w:hint="eastAsia" w:ascii="宋体" w:hAnsi="宋体" w:eastAsia="宋体" w:cs="宋体"/>
          <w:b w:val="0"/>
          <w:bCs w:val="0"/>
          <w:color w:val="000000"/>
          <w:spacing w:val="0"/>
          <w:w w:val="100"/>
          <w:position w:val="0"/>
          <w:sz w:val="24"/>
          <w:szCs w:val="24"/>
          <w:lang w:val="zh-CN" w:eastAsia="zh-CN" w:bidi="zh-CN"/>
        </w:rPr>
        <w:t>附件</w:t>
      </w:r>
      <w:r>
        <w:rPr>
          <w:rFonts w:hint="eastAsia" w:ascii="宋体" w:hAnsi="宋体" w:eastAsia="宋体" w:cs="宋体"/>
          <w:b w:val="0"/>
          <w:bCs w:val="0"/>
          <w:color w:val="000000"/>
          <w:spacing w:val="0"/>
          <w:w w:val="100"/>
          <w:position w:val="0"/>
          <w:sz w:val="24"/>
          <w:szCs w:val="24"/>
          <w:lang w:val="en-US" w:eastAsia="zh-CN" w:bidi="zh-CN"/>
        </w:rPr>
        <w:t>1</w:t>
      </w:r>
      <w:r>
        <w:rPr>
          <w:rFonts w:hint="eastAsia" w:ascii="宋体" w:hAnsi="宋体" w:eastAsia="宋体" w:cs="宋体"/>
          <w:b w:val="0"/>
          <w:bCs w:val="0"/>
          <w:color w:val="000000"/>
          <w:spacing w:val="0"/>
          <w:w w:val="100"/>
          <w:position w:val="0"/>
          <w:sz w:val="24"/>
          <w:szCs w:val="24"/>
          <w:lang w:val="en-US" w:eastAsia="en-US" w:bidi="zh-CN"/>
        </w:rPr>
        <w:t>-2</w:t>
      </w:r>
    </w:p>
    <w:p>
      <w:pPr>
        <w:pStyle w:val="21"/>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6"/>
      <w:bookmarkStart w:id="4" w:name="bookmark85"/>
      <w:bookmarkStart w:id="5" w:name="bookmark87"/>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3"/>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填报单位：</w:t>
      </w:r>
    </w:p>
    <w:tbl>
      <w:tblPr>
        <w:tblStyle w:val="5"/>
        <w:tblW w:w="9437" w:type="dxa"/>
        <w:jc w:val="center"/>
        <w:tblLayout w:type="fixed"/>
        <w:tblCellMar>
          <w:top w:w="0" w:type="dxa"/>
          <w:left w:w="10" w:type="dxa"/>
          <w:bottom w:w="0" w:type="dxa"/>
          <w:right w:w="10" w:type="dxa"/>
        </w:tblCellMar>
      </w:tblPr>
      <w:tblGrid>
        <w:gridCol w:w="3261"/>
        <w:gridCol w:w="795"/>
        <w:gridCol w:w="1031"/>
        <w:gridCol w:w="1120"/>
        <w:gridCol w:w="1166"/>
        <w:gridCol w:w="1013"/>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r>
              <w:rPr>
                <w:rFonts w:hint="eastAsia" w:cs="宋体"/>
                <w:color w:val="000000"/>
                <w:spacing w:val="0"/>
                <w:w w:val="100"/>
                <w:position w:val="0"/>
                <w:sz w:val="24"/>
                <w:szCs w:val="24"/>
                <w:lang w:val="zh-CN" w:eastAsia="zh-CN"/>
              </w:rPr>
              <w:t>：王莉</w:t>
            </w:r>
          </w:p>
        </w:tc>
        <w:tc>
          <w:tcPr>
            <w:tcW w:w="182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520"/>
              <w:jc w:val="left"/>
              <w:rPr>
                <w:rFonts w:hint="eastAsia" w:ascii="宋体" w:hAnsi="宋体" w:eastAsia="宋体" w:cs="宋体"/>
                <w:color w:val="000000"/>
                <w:spacing w:val="0"/>
                <w:w w:val="100"/>
                <w:position w:val="0"/>
                <w:sz w:val="24"/>
                <w:szCs w:val="24"/>
                <w:lang w:val="zh-CN" w:eastAsia="zh-CN"/>
              </w:rPr>
            </w:pPr>
          </w:p>
        </w:tc>
        <w:tc>
          <w:tcPr>
            <w:tcW w:w="228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52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18973402381</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82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8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8</w:t>
            </w:r>
            <w:r>
              <w:rPr>
                <w:rFonts w:hint="eastAsia" w:ascii="宋体" w:hAnsi="宋体" w:eastAsia="宋体" w:cs="宋体"/>
                <w:color w:val="000000"/>
                <w:spacing w:val="0"/>
                <w:w w:val="100"/>
                <w:position w:val="0"/>
                <w:sz w:val="24"/>
                <w:szCs w:val="24"/>
              </w:rPr>
              <w:t>年实际在职人数</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826" w:type="dxa"/>
            <w:gridSpan w:val="2"/>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2286" w:type="dxa"/>
            <w:gridSpan w:val="2"/>
            <w:tcBorders>
              <w:top w:val="single" w:color="auto" w:sz="4" w:space="0"/>
              <w:left w:val="single" w:color="auto" w:sz="4" w:space="0"/>
              <w:bottom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206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tblPrEx>
          <w:tblCellMar>
            <w:top w:w="0" w:type="dxa"/>
            <w:left w:w="10" w:type="dxa"/>
            <w:bottom w:w="0" w:type="dxa"/>
            <w:right w:w="10" w:type="dxa"/>
          </w:tblCellMar>
        </w:tblPrEx>
        <w:trPr>
          <w:trHeight w:val="3271"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职能职责概述</w:t>
            </w:r>
          </w:p>
        </w:tc>
        <w:tc>
          <w:tcPr>
            <w:tcW w:w="6176" w:type="dxa"/>
            <w:gridSpan w:val="6"/>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2"/>
                <w:szCs w:val="22"/>
              </w:rPr>
              <w:t>1、负责研究和指导党组织建设，制订和加强党的工作制度，主管党员管理和发展工作。2、负责干部队伍建设的宏观管理。3、提出乡镇、街道和区直机关各部门以及其他列入区委管理的领导班子调整、配备的意见和建议。4、负责全区干部人事档案、党内统计、干部统计的宏观指导以及公务员、参照公务员管理副科级以上人事档案工作。5、负责干部监督工作的宏观指导，及时向市委组织部、区委反映重要情况。6、负责制定干部教育工作的政策、规划。7、牵头抓总，抓好人才资源的开发和管理，做好培养吸引和用好各方面人才的工作。8、负责离退休干部和副县级以上退休干部的管理。9、承办区委和市委组织部交办的其他事项</w:t>
            </w:r>
            <w:r>
              <w:rPr>
                <w:rFonts w:hint="eastAsia"/>
                <w:sz w:val="24"/>
                <w:szCs w:val="24"/>
              </w:rPr>
              <w:t>。</w:t>
            </w:r>
          </w:p>
        </w:tc>
      </w:tr>
      <w:tr>
        <w:tblPrEx>
          <w:tblCellMar>
            <w:top w:w="0" w:type="dxa"/>
            <w:left w:w="10" w:type="dxa"/>
            <w:bottom w:w="0" w:type="dxa"/>
            <w:right w:w="10" w:type="dxa"/>
          </w:tblCellMar>
        </w:tblPrEx>
        <w:trPr>
          <w:trHeight w:val="2737"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sz w:val="24"/>
                <w:szCs w:val="24"/>
              </w:rPr>
              <w:t>年度主要工作内容</w:t>
            </w:r>
          </w:p>
        </w:tc>
        <w:tc>
          <w:tcPr>
            <w:tcW w:w="6176" w:type="dxa"/>
            <w:gridSpan w:val="6"/>
            <w:tcBorders>
              <w:top w:val="single" w:color="auto" w:sz="4" w:space="0"/>
              <w:left w:val="single" w:color="auto" w:sz="4" w:space="0"/>
              <w:right w:val="single" w:color="auto" w:sz="4" w:space="0"/>
            </w:tcBorders>
            <w:shd w:val="clear" w:color="auto" w:fill="FFFFFF"/>
            <w:vAlign w:val="bottom"/>
          </w:tcPr>
          <w:p>
            <w:pPr>
              <w:bidi w:val="0"/>
              <w:jc w:val="left"/>
              <w:rPr>
                <w:rFonts w:hint="eastAsia" w:eastAsia="宋体"/>
                <w:sz w:val="24"/>
                <w:szCs w:val="24"/>
                <w:lang w:eastAsia="zh-CN"/>
              </w:rPr>
            </w:pPr>
            <w:r>
              <w:rPr>
                <w:rFonts w:hint="eastAsia"/>
                <w:sz w:val="24"/>
                <w:szCs w:val="24"/>
              </w:rPr>
              <w:t>1、根据“五化”建设要求，高标准完成基层党组织优化建设工作。2.加强全区特困党员的帮扶工作，用活用足党内关怀帮扶资金，做好七一帮扶慰问工作。3、加强农村党员远教站点建设，大力推进“农民大学生培养计划”，提升了农民文化水平和创业能力。积极开展党代表活动，引导党代表发挥作用。4.按照全年干部培训计划，科学安排，完成干部培训工作。5.完成相关部门的协调工作、办理区委和区委领导交办的工作</w:t>
            </w:r>
            <w:r>
              <w:rPr>
                <w:rFonts w:hint="eastAsia"/>
                <w:sz w:val="24"/>
                <w:szCs w:val="24"/>
                <w:lang w:eastAsia="zh-CN"/>
              </w:rPr>
              <w:t>。</w:t>
            </w:r>
          </w:p>
        </w:tc>
      </w:tr>
      <w:tr>
        <w:tblPrEx>
          <w:tblCellMar>
            <w:top w:w="0" w:type="dxa"/>
            <w:left w:w="10" w:type="dxa"/>
            <w:bottom w:w="0" w:type="dxa"/>
            <w:right w:w="10" w:type="dxa"/>
          </w:tblCellMar>
        </w:tblPrEx>
        <w:trPr>
          <w:trHeight w:val="3603"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bidi w:val="0"/>
              <w:ind w:left="0" w:leftChars="0"/>
              <w:jc w:val="left"/>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spacing w:beforeLines="0" w:afterLines="0"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20"/>
                <w:szCs w:val="20"/>
              </w:rPr>
              <w:t>1、建立全省首个党员群众教育培训讲习所（点），获得中央、省、市高度肯定，人民日报关注点赞。2、在全市基层党建考核中，2018年珠晖区位列第一方阵。3、开展基层党建“大培训、大比武、大提质、大循环”活动。全区419个党支部通过学案例、比业务、考常识、看效果，提升了机关党建质量，形成党建工作良性循环。4、打造珠晖“五化”建设名片。目前，全区已有49.8%的党支部“五化”建设达标，超市定要求25%。5、村干部待遇提基工作在县市区中率先完成。6、高标准完成省委组织部对我区党政正职思想政治建设考察工作，得到省、市、区三级领导的一致肯定。7、突出关心关怀年轻干部，利用一个多月时间通过实地调研、问卷调查、个别谈话、集中座谈等方式，全面了解近5年新招录年轻干部的有关情况，该项工作走在全市前列。8、部机关荣获全省组织工作先进集体、党员群众教育培训讲习所（点）荣获市委、市政府颁发的2018年我市改革创新优质项目奖以及市委组织部颁发的全市党的建设和组织工作创新项目奖。</w:t>
            </w:r>
          </w:p>
          <w:p>
            <w:pPr>
              <w:bidi w:val="0"/>
              <w:ind w:left="0" w:leftChars="0"/>
              <w:jc w:val="left"/>
              <w:rPr>
                <w:rFonts w:hint="eastAsia"/>
                <w:sz w:val="24"/>
                <w:szCs w:val="24"/>
              </w:rPr>
            </w:pP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826" w:type="dxa"/>
            <w:gridSpan w:val="2"/>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7</w:t>
            </w:r>
            <w:r>
              <w:rPr>
                <w:rFonts w:hint="eastAsia" w:ascii="宋体" w:hAnsi="宋体" w:eastAsia="宋体" w:cs="宋体"/>
                <w:b/>
                <w:bCs/>
                <w:color w:val="000000"/>
                <w:spacing w:val="0"/>
                <w:w w:val="100"/>
                <w:position w:val="0"/>
                <w:sz w:val="24"/>
                <w:szCs w:val="24"/>
              </w:rPr>
              <w:t>年决算数</w:t>
            </w:r>
          </w:p>
        </w:tc>
        <w:tc>
          <w:tcPr>
            <w:tcW w:w="2286" w:type="dxa"/>
            <w:gridSpan w:val="2"/>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8</w:t>
            </w:r>
            <w:r>
              <w:rPr>
                <w:rFonts w:hint="eastAsia" w:ascii="宋体" w:hAnsi="宋体" w:eastAsia="宋体" w:cs="宋体"/>
                <w:b/>
                <w:bCs/>
                <w:color w:val="000000"/>
                <w:spacing w:val="0"/>
                <w:w w:val="100"/>
                <w:position w:val="0"/>
                <w:sz w:val="24"/>
                <w:szCs w:val="24"/>
              </w:rPr>
              <w:t>年预算数</w:t>
            </w:r>
          </w:p>
        </w:tc>
        <w:tc>
          <w:tcPr>
            <w:tcW w:w="2064" w:type="dxa"/>
            <w:gridSpan w:val="2"/>
            <w:tcBorders>
              <w:top w:val="single" w:color="auto" w:sz="4" w:space="0"/>
              <w:left w:val="single" w:color="auto" w:sz="4" w:space="0"/>
              <w:righ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8</w:t>
            </w:r>
            <w:r>
              <w:rPr>
                <w:rFonts w:hint="eastAsia" w:ascii="宋体" w:hAnsi="宋体" w:eastAsia="宋体" w:cs="宋体"/>
                <w:b/>
                <w:bCs/>
                <w:color w:val="000000"/>
                <w:spacing w:val="0"/>
                <w:w w:val="100"/>
                <w:position w:val="0"/>
                <w:sz w:val="24"/>
                <w:szCs w:val="24"/>
              </w:rPr>
              <w:t>年决算数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82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4"/>
                <w:szCs w:val="24"/>
                <w:lang w:val="en-US" w:eastAsia="zh-CN"/>
              </w:rPr>
              <w:t>311.1</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、业务工作专项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297</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、运行维护专项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14.1</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tabs>
                <w:tab w:val="left" w:leader="dot" w:pos="1539"/>
              </w:tabs>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ab/>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82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82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2"/>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82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79</w:t>
            </w: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93.4</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82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19.38</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826" w:type="dxa"/>
            <w:gridSpan w:val="2"/>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楼堂馆所控制情况 </w:t>
            </w:r>
            <w:r>
              <w:rPr>
                <w:rFonts w:hint="eastAsia" w:ascii="宋体" w:hAnsi="宋体" w:eastAsia="宋体" w:cs="宋体"/>
                <w:b/>
                <w:bCs/>
                <w:color w:val="000000"/>
                <w:spacing w:val="0"/>
                <w:w w:val="100"/>
                <w:position w:val="0"/>
                <w:sz w:val="24"/>
                <w:szCs w:val="24"/>
              </w:rPr>
              <w:t>（201</w:t>
            </w:r>
            <w:r>
              <w:rPr>
                <w:rFonts w:hint="eastAsia" w:ascii="宋体" w:hAnsi="宋体" w:eastAsia="宋体" w:cs="宋体"/>
                <w:b/>
                <w:bCs/>
                <w:color w:val="000000"/>
                <w:spacing w:val="0"/>
                <w:w w:val="100"/>
                <w:position w:val="0"/>
                <w:sz w:val="24"/>
                <w:szCs w:val="24"/>
                <w:lang w:val="en-US" w:eastAsia="zh-CN"/>
              </w:rPr>
              <w:t>9</w:t>
            </w:r>
            <w:r>
              <w:rPr>
                <w:rFonts w:hint="eastAsia" w:ascii="宋体" w:hAnsi="宋体" w:eastAsia="宋体" w:cs="宋体"/>
                <w:color w:val="000000"/>
                <w:spacing w:val="0"/>
                <w:w w:val="100"/>
                <w:position w:val="0"/>
                <w:sz w:val="24"/>
                <w:szCs w:val="24"/>
              </w:rPr>
              <w:t>年完工项目）</w:t>
            </w:r>
          </w:p>
        </w:tc>
        <w:tc>
          <w:tcPr>
            <w:tcW w:w="795"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批复 规模 </w:t>
            </w: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1</w:t>
            </w:r>
            <w:r>
              <w:rPr>
                <w:rFonts w:hint="eastAsia" w:ascii="宋体" w:hAnsi="宋体" w:eastAsia="宋体" w:cs="宋体"/>
                <w:color w:val="000000"/>
                <w:spacing w:val="0"/>
                <w:w w:val="100"/>
                <w:position w:val="0"/>
                <w:sz w:val="24"/>
                <w:szCs w:val="24"/>
                <w:lang w:val="en-US" w:eastAsia="en-US" w:bidi="en-US"/>
              </w:rPr>
              <w:t>）</w:t>
            </w:r>
          </w:p>
        </w:tc>
        <w:tc>
          <w:tcPr>
            <w:tcW w:w="1031"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40" w:line="312" w:lineRule="exact"/>
              <w:ind w:left="220" w:right="0" w:firstLine="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 规模</w:t>
            </w:r>
          </w:p>
          <w:p>
            <w:pPr>
              <w:pStyle w:val="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2</w:t>
            </w:r>
            <w:r>
              <w:rPr>
                <w:rFonts w:hint="eastAsia" w:ascii="宋体" w:hAnsi="宋体" w:eastAsia="宋体" w:cs="宋体"/>
                <w:color w:val="000000"/>
                <w:spacing w:val="0"/>
                <w:w w:val="100"/>
                <w:position w:val="0"/>
                <w:sz w:val="24"/>
                <w:szCs w:val="24"/>
                <w:lang w:val="en-US" w:eastAsia="en-US" w:bidi="en-US"/>
              </w:rPr>
              <w:t>）</w:t>
            </w:r>
          </w:p>
        </w:tc>
        <w:tc>
          <w:tcPr>
            <w:tcW w:w="1120"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规模控制率</w:t>
            </w:r>
          </w:p>
        </w:tc>
        <w:tc>
          <w:tcPr>
            <w:tcW w:w="1166"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预算投资 （万元）</w:t>
            </w:r>
          </w:p>
        </w:tc>
        <w:tc>
          <w:tcPr>
            <w:tcW w:w="1013" w:type="dxa"/>
            <w:tcBorders>
              <w:top w:val="single" w:color="auto" w:sz="4" w:space="0"/>
              <w:left w:val="single" w:color="auto" w:sz="4" w:space="0"/>
            </w:tcBorders>
            <w:shd w:val="clear" w:color="auto" w:fill="FFFFFF"/>
            <w:vAlign w:val="center"/>
          </w:tcPr>
          <w:p>
            <w:pPr>
              <w:pStyle w:val="22"/>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2"/>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投资概 算控制 率</w:t>
            </w:r>
          </w:p>
        </w:tc>
      </w:tr>
      <w:tr>
        <w:tblPrEx>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rPr>
                <w:rFonts w:hint="eastAsia" w:ascii="宋体" w:hAnsi="宋体" w:eastAsia="宋体" w:cs="宋体"/>
                <w:sz w:val="24"/>
                <w:szCs w:val="24"/>
              </w:rPr>
            </w:pPr>
          </w:p>
        </w:tc>
        <w:tc>
          <w:tcPr>
            <w:tcW w:w="795"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31"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20"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66"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13" w:type="dxa"/>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51"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2"/>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cs="宋体"/>
                <w:sz w:val="22"/>
                <w:szCs w:val="22"/>
              </w:rPr>
              <w:t>1、提倡节约用水用电，做到人走灯灭，加强电器管理。2、推行无纸化办公，尽力缩减办公经费。3、严格执行上级办公用房有关规定，防止铺张浪费。4、严控培训经费，加强对餐费、授课费管理和使用，尽力节约开支。5、单位职工节日等福利严格按照湖南省工会文件落实</w:t>
            </w:r>
            <w:r>
              <w:rPr>
                <w:rFonts w:hint="eastAsia" w:ascii="宋体" w:hAnsi="宋体" w:cs="宋体"/>
                <w:sz w:val="22"/>
                <w:szCs w:val="22"/>
                <w:lang w:eastAsia="zh-CN"/>
              </w:rPr>
              <w:t>。</w:t>
            </w:r>
          </w:p>
        </w:tc>
      </w:tr>
    </w:tbl>
    <w:p>
      <w:pPr>
        <w:pStyle w:val="24"/>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4"/>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6"/>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4"/>
          <w:szCs w:val="24"/>
        </w:rPr>
      </w:pPr>
      <w:r>
        <w:rPr>
          <w:rFonts w:hint="eastAsia" w:ascii="仿宋" w:hAnsi="仿宋" w:eastAsia="仿宋" w:cs="仿宋"/>
          <w:b w:val="0"/>
          <w:bCs w:val="0"/>
          <w:color w:val="000000"/>
          <w:spacing w:val="0"/>
          <w:w w:val="100"/>
          <w:position w:val="0"/>
          <w:sz w:val="24"/>
          <w:szCs w:val="24"/>
        </w:rPr>
        <w:t>附件</w:t>
      </w:r>
      <w:r>
        <w:rPr>
          <w:rFonts w:hint="eastAsia" w:ascii="仿宋" w:hAnsi="仿宋" w:eastAsia="仿宋" w:cs="仿宋"/>
          <w:color w:val="000000"/>
          <w:spacing w:val="0"/>
          <w:w w:val="100"/>
          <w:position w:val="0"/>
          <w:sz w:val="24"/>
          <w:szCs w:val="24"/>
          <w:lang w:val="en-US" w:eastAsia="zh-CN" w:bidi="en-US"/>
        </w:rPr>
        <w:t>1</w:t>
      </w:r>
      <w:r>
        <w:rPr>
          <w:rFonts w:hint="eastAsia" w:ascii="仿宋" w:hAnsi="仿宋" w:eastAsia="仿宋" w:cs="仿宋"/>
          <w:color w:val="000000"/>
          <w:spacing w:val="0"/>
          <w:w w:val="100"/>
          <w:position w:val="0"/>
          <w:sz w:val="24"/>
          <w:szCs w:val="24"/>
          <w:lang w:val="en-US" w:eastAsia="en-US" w:bidi="en-US"/>
        </w:rPr>
        <w:t>-3</w:t>
      </w:r>
    </w:p>
    <w:p>
      <w:pPr>
        <w:pStyle w:val="20"/>
        <w:keepNext/>
        <w:keepLines/>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sz w:val="32"/>
          <w:szCs w:val="32"/>
          <w:u w:val="none"/>
          <w:shd w:val="clear" w:color="auto" w:fill="auto"/>
          <w:lang w:val="en-US" w:eastAsia="zh-CN" w:bidi="zh-CN"/>
        </w:rPr>
      </w:pPr>
      <w:bookmarkStart w:id="6" w:name="bookmark89"/>
      <w:bookmarkStart w:id="7" w:name="bookmark88"/>
      <w:bookmarkStart w:id="8" w:name="bookmark90"/>
      <w:r>
        <w:rPr>
          <w:rFonts w:hint="eastAsia" w:ascii="宋体" w:hAnsi="宋体" w:eastAsia="宋体" w:cs="宋体"/>
          <w:color w:val="000000"/>
          <w:spacing w:val="0"/>
          <w:w w:val="100"/>
          <w:position w:val="0"/>
          <w:sz w:val="32"/>
          <w:szCs w:val="32"/>
          <w:u w:val="none"/>
          <w:shd w:val="clear" w:color="auto" w:fill="auto"/>
          <w:lang w:val="en-US" w:eastAsia="zh-CN" w:bidi="zh-CN"/>
        </w:rPr>
        <w:t>部门整体支出绩效报告编写参考提纲</w:t>
      </w:r>
      <w:bookmarkEnd w:id="6"/>
      <w:bookmarkEnd w:id="7"/>
      <w:bookmarkEnd w:id="8"/>
    </w:p>
    <w:p>
      <w:pPr>
        <w:pStyle w:val="19"/>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9" w:name="bookmark91"/>
      <w:r>
        <w:rPr>
          <w:rFonts w:hint="eastAsia" w:ascii="宋体" w:hAnsi="宋体" w:eastAsia="宋体" w:cs="宋体"/>
          <w:color w:val="000000"/>
          <w:spacing w:val="0"/>
          <w:w w:val="100"/>
          <w:position w:val="0"/>
          <w:sz w:val="28"/>
          <w:szCs w:val="28"/>
        </w:rPr>
        <w:t>一</w:t>
      </w:r>
      <w:bookmarkEnd w:id="9"/>
      <w:r>
        <w:rPr>
          <w:rFonts w:hint="eastAsia" w:ascii="宋体" w:hAnsi="宋体" w:eastAsia="宋体" w:cs="宋体"/>
          <w:color w:val="000000"/>
          <w:spacing w:val="0"/>
          <w:w w:val="100"/>
          <w:position w:val="0"/>
          <w:sz w:val="28"/>
          <w:szCs w:val="28"/>
        </w:rPr>
        <w:t>、部门概况</w:t>
      </w:r>
    </w:p>
    <w:p>
      <w:pPr>
        <w:pStyle w:val="19"/>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bookmarkStart w:id="10" w:name="bookmark92"/>
      <w:r>
        <w:rPr>
          <w:rFonts w:hint="eastAsia" w:ascii="宋体" w:hAnsi="宋体" w:eastAsia="宋体" w:cs="宋体"/>
          <w:color w:val="000000"/>
          <w:spacing w:val="0"/>
          <w:w w:val="100"/>
          <w:position w:val="0"/>
          <w:sz w:val="28"/>
          <w:szCs w:val="28"/>
        </w:rPr>
        <w:t>（</w:t>
      </w:r>
      <w:bookmarkEnd w:id="10"/>
      <w:r>
        <w:rPr>
          <w:rFonts w:hint="eastAsia" w:ascii="宋体" w:hAnsi="宋体" w:eastAsia="宋体" w:cs="宋体"/>
          <w:color w:val="000000"/>
          <w:spacing w:val="0"/>
          <w:w w:val="100"/>
          <w:position w:val="0"/>
          <w:sz w:val="28"/>
          <w:szCs w:val="28"/>
        </w:rPr>
        <w:t>一）部门基本情况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2018年度</w:t>
      </w:r>
      <w:r>
        <w:rPr>
          <w:rFonts w:hint="eastAsia" w:ascii="仿宋_GB2312" w:hAnsi="仿宋_GB2312" w:eastAsia="仿宋_GB2312" w:cs="仿宋_GB2312"/>
          <w:sz w:val="32"/>
          <w:szCs w:val="32"/>
          <w:lang w:eastAsia="zh-CN"/>
        </w:rPr>
        <w:t>我单位在职人员</w:t>
      </w:r>
      <w:r>
        <w:rPr>
          <w:rFonts w:hint="eastAsia" w:ascii="仿宋_GB2312" w:hAnsi="仿宋_GB2312" w:eastAsia="仿宋_GB2312" w:cs="仿宋_GB2312"/>
          <w:sz w:val="32"/>
          <w:szCs w:val="32"/>
          <w:lang w:val="en-US" w:eastAsia="zh-CN"/>
        </w:rPr>
        <w:t>18人，退休1人，为财政统发全额行政事业单位。</w:t>
      </w:r>
      <w:r>
        <w:rPr>
          <w:rFonts w:hint="eastAsia" w:ascii="仿宋_GB2312" w:hAnsi="仿宋_GB2312" w:eastAsia="仿宋_GB2312" w:cs="仿宋_GB2312"/>
          <w:sz w:val="32"/>
          <w:szCs w:val="32"/>
        </w:rPr>
        <w:t>内设机构包括：办公室、组织组、干部组。主要职责是：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研究和指导党组织建设，制定和加强党的工作制度、党内生活制度建设的规定和意见；对乡镇街道党委和区委管理的企事业单位党委换届选举及单位党委（党组）民主生活会进行指导；研究、指导党的基层组织建设；研究指导党员队伍建设，主管党员管理和发展工作，指导协调党员教育工作；组织和开展新时期党的建设理论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（二）负责干部队伍建设的宏观管理，制订和参与制订干部、人事工作的重要政策、法规、制度，并对典型经验进行总结推介。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街道、乡镇和区直机关各单位以及其他列入区委管理的领导班子调整、配备的意见和建议；负责区委管理的干部考察、任免、待遇、出国（境）、退（离）休审批手续的办理；负责区级领导班子换届选举和届中调整的有关工作；负责全区干部公开选拔工作宏观指导；承办副科级以上干部公开选拔的具体工作；指导国家公务员制度的实施，负责全区党委、人大、政府、政协、群众团体等和民主党派等机关参照国家公务员制度管理的宏观指导；组织落实培养选拔中青年干部、妇女干部、少数民族干部、党外干部的有关规划和方案；指导街道、乡镇党委和区直机关各部门领导班子的思想作风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（四）负责全区干部人事档案、党内统计、干部统计工作的宏观指导以及公务员、参照公务员管理副科级以上干部的人事档案工作。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（五）负责干部监督工作的宏观指导、负责组织工作和干部工作的督促检查，及时向市委组织部和区委反映重要情况；对反映科以下领导班子和领导干部的主要问题进行调查了解和督办。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（六）负责制订干部教育工作的政策、规划、组织、协调区管干部、区委委托组织部管理的干部和部分中青年干部的培训。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抓总，抓好人才资源的开发和管理，做好培养、吸引和用好各方面人才的工作，研究制定人才队伍建设规划、政策、规定、指导、协调、检查全区人才工作；指导各行业的突出人才和学者开展有关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（八）负责离退休干部和副县级以上退休干部的管理。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（九）承办区委和市委组织部交办的其他事项。</w:t>
      </w:r>
    </w:p>
    <w:p>
      <w:pPr>
        <w:pStyle w:val="1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000000"/>
          <w:spacing w:val="0"/>
          <w:w w:val="100"/>
          <w:position w:val="0"/>
          <w:sz w:val="28"/>
          <w:szCs w:val="28"/>
        </w:rPr>
      </w:pPr>
    </w:p>
    <w:p>
      <w:pPr>
        <w:pStyle w:val="19"/>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sz w:val="28"/>
          <w:szCs w:val="28"/>
        </w:rPr>
      </w:pPr>
      <w:bookmarkStart w:id="11" w:name="bookmark94"/>
      <w:r>
        <w:rPr>
          <w:rFonts w:hint="eastAsia" w:ascii="宋体" w:hAnsi="宋体" w:eastAsia="宋体" w:cs="宋体"/>
          <w:color w:val="000000"/>
          <w:spacing w:val="0"/>
          <w:w w:val="100"/>
          <w:position w:val="0"/>
          <w:sz w:val="28"/>
          <w:szCs w:val="28"/>
        </w:rPr>
        <w:t>二</w:t>
      </w:r>
      <w:bookmarkEnd w:id="11"/>
      <w:r>
        <w:rPr>
          <w:rFonts w:hint="eastAsia" w:ascii="宋体" w:hAnsi="宋体" w:eastAsia="宋体" w:cs="宋体"/>
          <w:color w:val="000000"/>
          <w:spacing w:val="0"/>
          <w:w w:val="100"/>
          <w:position w:val="0"/>
          <w:sz w:val="28"/>
          <w:szCs w:val="28"/>
        </w:rPr>
        <w:t>、部门整体支出管理及使用情况</w:t>
      </w:r>
    </w:p>
    <w:p>
      <w:pPr>
        <w:pStyle w:val="19"/>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rPr>
      </w:pPr>
      <w:bookmarkStart w:id="12" w:name="bookmark95"/>
      <w:r>
        <w:rPr>
          <w:rFonts w:hint="eastAsia" w:ascii="宋体" w:hAnsi="宋体" w:eastAsia="宋体" w:cs="宋体"/>
          <w:color w:val="000000"/>
          <w:spacing w:val="0"/>
          <w:w w:val="100"/>
          <w:position w:val="0"/>
          <w:sz w:val="28"/>
          <w:szCs w:val="28"/>
        </w:rPr>
        <w:t>（</w:t>
      </w:r>
      <w:bookmarkEnd w:id="12"/>
      <w:r>
        <w:rPr>
          <w:rFonts w:hint="eastAsia" w:ascii="宋体" w:hAnsi="宋体" w:eastAsia="宋体" w:cs="宋体"/>
          <w:color w:val="000000"/>
          <w:spacing w:val="0"/>
          <w:w w:val="100"/>
          <w:position w:val="0"/>
          <w:sz w:val="28"/>
          <w:szCs w:val="28"/>
        </w:rPr>
        <w:t>一）基本支出</w:t>
      </w:r>
    </w:p>
    <w:p>
      <w:pPr>
        <w:pStyle w:val="19"/>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zh-CN" w:eastAsia="zh-CN" w:bidi="ar-SA"/>
        </w:rPr>
        <w:t>201</w:t>
      </w:r>
      <w:r>
        <w:rPr>
          <w:rFonts w:hint="eastAsia" w:ascii="仿宋_GB2312" w:hAnsi="仿宋_GB2312" w:eastAsia="仿宋_GB2312" w:cs="仿宋_GB2312"/>
          <w:kern w:val="2"/>
          <w:sz w:val="32"/>
          <w:szCs w:val="32"/>
          <w:u w:val="none"/>
          <w:shd w:val="clear"/>
          <w:lang w:val="en-US" w:eastAsia="zh-CN" w:bidi="ar-SA"/>
        </w:rPr>
        <w:t>8</w:t>
      </w:r>
      <w:r>
        <w:rPr>
          <w:rFonts w:hint="eastAsia" w:ascii="仿宋_GB2312" w:hAnsi="仿宋_GB2312" w:eastAsia="仿宋_GB2312" w:cs="仿宋_GB2312"/>
          <w:kern w:val="2"/>
          <w:sz w:val="32"/>
          <w:szCs w:val="32"/>
          <w:u w:val="none"/>
          <w:shd w:val="clear"/>
          <w:lang w:val="zh-CN" w:eastAsia="zh-CN" w:bidi="ar-SA"/>
        </w:rPr>
        <w:t>年总收入</w:t>
      </w:r>
      <w:r>
        <w:rPr>
          <w:rFonts w:hint="eastAsia" w:ascii="仿宋_GB2312" w:hAnsi="仿宋_GB2312" w:eastAsia="仿宋_GB2312" w:cs="仿宋_GB2312"/>
          <w:kern w:val="2"/>
          <w:sz w:val="32"/>
          <w:szCs w:val="32"/>
          <w:u w:val="none"/>
          <w:shd w:val="clear"/>
          <w:lang w:val="en-US" w:eastAsia="zh-CN" w:bidi="ar-SA"/>
        </w:rPr>
        <w:t>727.6万元，总支出358.02万元。一般公共预算财政拨款收入727.6万元，一般公共预算财政拨款支出358.02万元，其中基本支出358.02万元，项目支出0万元。2018年没有发生“三公”经费支出。</w:t>
      </w:r>
    </w:p>
    <w:p>
      <w:pPr>
        <w:pStyle w:val="19"/>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rPr>
      </w:pPr>
      <w:bookmarkStart w:id="13" w:name="bookmark96"/>
      <w:r>
        <w:rPr>
          <w:rFonts w:hint="eastAsia" w:ascii="宋体" w:hAnsi="宋体" w:eastAsia="宋体" w:cs="宋体"/>
          <w:color w:val="000000"/>
          <w:spacing w:val="0"/>
          <w:w w:val="100"/>
          <w:position w:val="0"/>
          <w:sz w:val="28"/>
          <w:szCs w:val="28"/>
        </w:rPr>
        <w:t>（</w:t>
      </w:r>
      <w:bookmarkEnd w:id="13"/>
      <w:r>
        <w:rPr>
          <w:rFonts w:hint="eastAsia" w:ascii="宋体" w:hAnsi="宋体" w:eastAsia="宋体" w:cs="宋体"/>
          <w:color w:val="000000"/>
          <w:spacing w:val="0"/>
          <w:w w:val="100"/>
          <w:position w:val="0"/>
          <w:sz w:val="28"/>
          <w:szCs w:val="28"/>
        </w:rPr>
        <w:t>二）项目支出</w:t>
      </w:r>
    </w:p>
    <w:p>
      <w:pPr>
        <w:pStyle w:val="19"/>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left"/>
        <w:textAlignment w:val="auto"/>
        <w:rPr>
          <w:rFonts w:hint="eastAsia" w:ascii="仿宋_GB2312" w:hAnsi="仿宋_GB2312" w:eastAsia="仿宋_GB2312" w:cs="仿宋_GB2312"/>
          <w:kern w:val="2"/>
          <w:sz w:val="32"/>
          <w:szCs w:val="32"/>
          <w:u w:val="none"/>
          <w:shd w:val="clear"/>
          <w:lang w:val="en-US" w:eastAsia="zh-CN" w:bidi="ar-SA"/>
        </w:rPr>
      </w:pPr>
      <w:bookmarkStart w:id="14" w:name="bookmark100"/>
      <w:r>
        <w:rPr>
          <w:rFonts w:hint="eastAsia" w:ascii="仿宋_GB2312" w:hAnsi="仿宋_GB2312" w:eastAsia="仿宋_GB2312" w:cs="仿宋_GB2312"/>
          <w:kern w:val="2"/>
          <w:sz w:val="32"/>
          <w:szCs w:val="32"/>
          <w:u w:val="none"/>
          <w:shd w:val="clear"/>
          <w:lang w:val="en-US" w:eastAsia="zh-CN" w:bidi="ar-SA"/>
        </w:rPr>
        <w:t>无</w:t>
      </w:r>
    </w:p>
    <w:p>
      <w:pPr>
        <w:pStyle w:val="19"/>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left"/>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三</w:t>
      </w:r>
      <w:bookmarkEnd w:id="14"/>
      <w:r>
        <w:rPr>
          <w:rFonts w:hint="eastAsia" w:ascii="宋体" w:hAnsi="宋体" w:eastAsia="宋体" w:cs="宋体"/>
          <w:color w:val="000000"/>
          <w:spacing w:val="0"/>
          <w:w w:val="100"/>
          <w:position w:val="0"/>
          <w:sz w:val="28"/>
          <w:szCs w:val="28"/>
        </w:rPr>
        <w:t>、部门项目组织实施情况</w:t>
      </w:r>
    </w:p>
    <w:p>
      <w:pPr>
        <w:pStyle w:val="19"/>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仿宋_GB2312" w:hAnsi="仿宋_GB2312" w:eastAsia="仿宋_GB2312" w:cs="仿宋_GB2312"/>
          <w:kern w:val="2"/>
          <w:sz w:val="32"/>
          <w:szCs w:val="32"/>
          <w:u w:val="none"/>
          <w:shd w:val="clear"/>
          <w:lang w:val="en-US" w:eastAsia="zh-CN" w:bidi="ar-SA"/>
        </w:rPr>
      </w:pPr>
      <w:bookmarkStart w:id="15" w:name="bookmark101"/>
      <w:r>
        <w:rPr>
          <w:rFonts w:hint="eastAsia" w:ascii="仿宋_GB2312" w:hAnsi="仿宋_GB2312" w:eastAsia="仿宋_GB2312" w:cs="仿宋_GB2312"/>
          <w:kern w:val="2"/>
          <w:sz w:val="32"/>
          <w:szCs w:val="32"/>
          <w:u w:val="none"/>
          <w:shd w:val="clear"/>
          <w:lang w:val="en-US" w:eastAsia="zh-CN" w:bidi="ar-SA"/>
        </w:rPr>
        <w:t>无</w:t>
      </w:r>
    </w:p>
    <w:p>
      <w:pPr>
        <w:pStyle w:val="19"/>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color w:val="000000"/>
          <w:spacing w:val="0"/>
          <w:w w:val="100"/>
          <w:position w:val="0"/>
          <w:sz w:val="28"/>
          <w:szCs w:val="28"/>
        </w:rPr>
        <w:t>四</w:t>
      </w:r>
      <w:bookmarkEnd w:id="15"/>
      <w:r>
        <w:rPr>
          <w:rFonts w:hint="eastAsia" w:ascii="宋体" w:hAnsi="宋体" w:eastAsia="宋体" w:cs="宋体"/>
          <w:color w:val="000000"/>
          <w:spacing w:val="0"/>
          <w:w w:val="100"/>
          <w:position w:val="0"/>
          <w:sz w:val="28"/>
          <w:szCs w:val="28"/>
        </w:rPr>
        <w:t>、资产管理情况</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sz w:val="28"/>
          <w:szCs w:val="28"/>
          <w:lang w:eastAsia="zh-CN"/>
        </w:rPr>
      </w:pPr>
      <w:r>
        <w:rPr>
          <w:rFonts w:hint="eastAsia" w:ascii="仿宋_GB2312" w:hAnsi="仿宋_GB2312" w:eastAsia="仿宋_GB2312" w:cs="仿宋_GB2312"/>
          <w:kern w:val="2"/>
          <w:sz w:val="32"/>
          <w:szCs w:val="32"/>
          <w:u w:val="none"/>
          <w:shd w:val="clear"/>
          <w:lang w:val="en-US" w:eastAsia="zh-CN" w:bidi="ar-SA"/>
        </w:rPr>
        <w:t>部门资产的配置、管理、处置等都需经过分管领导同意后方可执行，并制定部机关财务制度，对固定资产进行登记造册管理。</w:t>
      </w:r>
    </w:p>
    <w:p>
      <w:pPr>
        <w:pStyle w:val="19"/>
        <w:keepNext w:val="0"/>
        <w:keepLines w:val="0"/>
        <w:pageBreakBefore w:val="0"/>
        <w:widowControl w:val="0"/>
        <w:numPr>
          <w:ilvl w:val="0"/>
          <w:numId w:val="2"/>
        </w:numPr>
        <w:shd w:val="clear" w:color="auto" w:fill="auto"/>
        <w:tabs>
          <w:tab w:val="left" w:pos="886"/>
        </w:tabs>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部门整体支出绩效情况</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kern w:val="0"/>
          <w:sz w:val="32"/>
          <w:szCs w:val="32"/>
        </w:rPr>
        <w:t>一是突出学习教育重点。</w:t>
      </w:r>
      <w:r>
        <w:rPr>
          <w:rFonts w:hint="eastAsia" w:ascii="仿宋_GB2312" w:hAnsi="仿宋_GB2312" w:eastAsia="仿宋_GB2312" w:cs="仿宋_GB2312"/>
          <w:sz w:val="32"/>
          <w:szCs w:val="32"/>
        </w:rPr>
        <w:t>分3个批次组织全区正科实职干部、部分优秀年轻干部等共计230余名干部赴深圳市经理进修学院学习培训，覆盖面广，针对性强。扎实开展全区科级领导干部</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十九大专题集中培训，并组织全区2000多名党员干部进行</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十九大精神学习集中考试，确保了</w:t>
      </w:r>
      <w:r>
        <w:rPr>
          <w:rFonts w:hint="eastAsia" w:ascii="仿宋_GB2312" w:hAnsi="仿宋_GB2312" w:eastAsia="仿宋_GB2312" w:cs="仿宋_GB2312"/>
          <w:sz w:val="32"/>
          <w:szCs w:val="32"/>
          <w:lang w:val="en-US" w:eastAsia="zh-CN"/>
        </w:rPr>
        <w:t>党的</w:t>
      </w:r>
      <w:bookmarkStart w:id="16" w:name="_GoBack"/>
      <w:bookmarkEnd w:id="16"/>
      <w:r>
        <w:rPr>
          <w:rFonts w:hint="eastAsia" w:ascii="仿宋_GB2312" w:hAnsi="仿宋_GB2312" w:eastAsia="仿宋_GB2312" w:cs="仿宋_GB2312"/>
          <w:sz w:val="32"/>
          <w:szCs w:val="32"/>
        </w:rPr>
        <w:t>十九大精神深入人心，落地生根。</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rPr>
        <w:t>二是全面提升学习效果。</w:t>
      </w:r>
      <w:r>
        <w:rPr>
          <w:rFonts w:hint="eastAsia" w:ascii="仿宋_GB2312" w:hAnsi="仿宋_GB2312" w:eastAsia="仿宋_GB2312" w:cs="仿宋_GB2312"/>
          <w:sz w:val="32"/>
          <w:szCs w:val="32"/>
        </w:rPr>
        <w:t>注重年轻干部、女干部和党外干部及后备干部的培训密度和培训质量。选送了8名副处级干部、60余名科级干部参加市委党校举办的各类培训班。省委、市委两级调训到位率达100%；对全区党务干部分行业、分系统的开展精准培训，</w:t>
      </w:r>
      <w:r>
        <w:rPr>
          <w:rFonts w:hint="eastAsia" w:ascii="仿宋" w:hAnsi="仿宋" w:eastAsia="仿宋"/>
          <w:sz w:val="32"/>
          <w:szCs w:val="32"/>
        </w:rPr>
        <w:t>对全区237名社区工作者进行了为期2天的集中培训，并高规格举办村“两委”成员培训班，对162名村干部分两批开展了为期5天的集中学习，有效提升了综合素质。</w:t>
      </w:r>
    </w:p>
    <w:p>
      <w:pPr>
        <w:spacing w:line="560" w:lineRule="exact"/>
        <w:ind w:firstLine="643" w:firstLineChars="200"/>
        <w:rPr>
          <w:rFonts w:hint="eastAsia" w:ascii="仿宋" w:hAnsi="仿宋" w:eastAsia="仿宋"/>
          <w:sz w:val="32"/>
          <w:szCs w:val="32"/>
        </w:rPr>
      </w:pPr>
      <w:r>
        <w:rPr>
          <w:rFonts w:hint="eastAsia" w:ascii="楷体_GB2312" w:hAnsi="仿宋_GB2312" w:eastAsia="楷体_GB2312" w:cs="仿宋_GB2312"/>
          <w:b/>
          <w:kern w:val="0"/>
          <w:sz w:val="32"/>
          <w:szCs w:val="32"/>
          <w:lang w:eastAsia="zh-CN"/>
        </w:rPr>
        <w:t>三</w:t>
      </w:r>
      <w:r>
        <w:rPr>
          <w:rFonts w:hint="eastAsia" w:ascii="楷体_GB2312" w:hAnsi="仿宋_GB2312" w:eastAsia="楷体_GB2312" w:cs="仿宋_GB2312"/>
          <w:b/>
          <w:kern w:val="0"/>
          <w:sz w:val="32"/>
          <w:szCs w:val="32"/>
        </w:rPr>
        <w:t>是狠抓党员教育，党员干部队伍素质大提升。</w:t>
      </w:r>
      <w:r>
        <w:rPr>
          <w:rFonts w:hint="eastAsia" w:ascii="仿宋_GB2312" w:hAnsi="楷体_GB2312" w:eastAsia="仿宋_GB2312" w:cs="楷体_GB2312"/>
          <w:b/>
          <w:color w:val="000000"/>
          <w:kern w:val="0"/>
          <w:sz w:val="32"/>
          <w:szCs w:val="32"/>
        </w:rPr>
        <w:t>突破创新党员群众教育培训工作。</w:t>
      </w:r>
      <w:r>
        <w:rPr>
          <w:rFonts w:hint="eastAsia" w:ascii="仿宋_GB2312" w:hAnsi="楷体_GB2312" w:eastAsia="仿宋_GB2312" w:cs="楷体_GB2312"/>
          <w:color w:val="000000"/>
          <w:kern w:val="0"/>
          <w:sz w:val="32"/>
          <w:szCs w:val="32"/>
        </w:rPr>
        <w:t>建立</w:t>
      </w:r>
      <w:r>
        <w:rPr>
          <w:rFonts w:ascii="仿宋_GB2312" w:hAnsi="楷体_GB2312" w:eastAsia="仿宋_GB2312" w:cs="楷体_GB2312"/>
          <w:color w:val="000000"/>
          <w:kern w:val="0"/>
          <w:sz w:val="32"/>
          <w:szCs w:val="32"/>
        </w:rPr>
        <w:t>全省首家党员群众教育培训</w:t>
      </w:r>
      <w:r>
        <w:rPr>
          <w:rFonts w:hint="eastAsia" w:ascii="仿宋_GB2312" w:hAnsi="楷体_GB2312" w:eastAsia="仿宋_GB2312" w:cs="楷体_GB2312"/>
          <w:color w:val="000000"/>
          <w:kern w:val="0"/>
          <w:sz w:val="32"/>
          <w:szCs w:val="32"/>
        </w:rPr>
        <w:t>讲习所</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在</w:t>
      </w:r>
      <w:r>
        <w:rPr>
          <w:rFonts w:ascii="仿宋_GB2312" w:hAnsi="楷体_GB2312" w:eastAsia="仿宋_GB2312" w:cs="楷体_GB2312"/>
          <w:color w:val="000000"/>
          <w:kern w:val="0"/>
          <w:sz w:val="32"/>
          <w:szCs w:val="32"/>
        </w:rPr>
        <w:t>全区范围内建立讲习所（</w:t>
      </w:r>
      <w:r>
        <w:rPr>
          <w:rFonts w:hint="eastAsia" w:ascii="仿宋_GB2312" w:hAnsi="楷体_GB2312" w:eastAsia="仿宋_GB2312" w:cs="楷体_GB2312"/>
          <w:color w:val="000000"/>
          <w:kern w:val="0"/>
          <w:sz w:val="32"/>
          <w:szCs w:val="32"/>
        </w:rPr>
        <w:t>点</w:t>
      </w:r>
      <w:r>
        <w:rPr>
          <w:rFonts w:ascii="仿宋_GB2312" w:hAnsi="楷体_GB2312" w:eastAsia="仿宋_GB2312" w:cs="楷体_GB2312"/>
          <w:color w:val="000000"/>
          <w:kern w:val="0"/>
          <w:sz w:val="32"/>
          <w:szCs w:val="32"/>
        </w:rPr>
        <w:t>）</w:t>
      </w:r>
      <w:r>
        <w:rPr>
          <w:rFonts w:hint="eastAsia" w:ascii="仿宋_GB2312" w:hAnsi="楷体_GB2312" w:eastAsia="仿宋_GB2312" w:cs="楷体_GB2312"/>
          <w:color w:val="000000"/>
          <w:kern w:val="0"/>
          <w:sz w:val="32"/>
          <w:szCs w:val="32"/>
        </w:rPr>
        <w:t>213个</w:t>
      </w:r>
      <w:r>
        <w:rPr>
          <w:rFonts w:ascii="仿宋_GB2312" w:hAnsi="楷体_GB2312" w:eastAsia="仿宋_GB2312" w:cs="楷体_GB2312"/>
          <w:color w:val="000000"/>
          <w:kern w:val="0"/>
          <w:sz w:val="32"/>
          <w:szCs w:val="32"/>
        </w:rPr>
        <w:t>，讲习实践体验基地</w:t>
      </w:r>
      <w:r>
        <w:rPr>
          <w:rFonts w:hint="eastAsia" w:ascii="仿宋_GB2312" w:hAnsi="楷体_GB2312" w:eastAsia="仿宋_GB2312" w:cs="楷体_GB2312"/>
          <w:color w:val="000000"/>
          <w:kern w:val="0"/>
          <w:sz w:val="32"/>
          <w:szCs w:val="32"/>
        </w:rPr>
        <w:t>15个</w:t>
      </w:r>
      <w:r>
        <w:rPr>
          <w:rFonts w:ascii="仿宋_GB2312" w:hAnsi="楷体_GB2312" w:eastAsia="仿宋_GB2312" w:cs="楷体_GB2312"/>
          <w:color w:val="000000"/>
          <w:kern w:val="0"/>
          <w:sz w:val="32"/>
          <w:szCs w:val="32"/>
        </w:rPr>
        <w:t>，讲习广场、长廊等</w:t>
      </w:r>
      <w:r>
        <w:rPr>
          <w:rFonts w:hint="eastAsia" w:ascii="仿宋_GB2312" w:hAnsi="楷体_GB2312" w:eastAsia="仿宋_GB2312" w:cs="楷体_GB2312"/>
          <w:color w:val="000000"/>
          <w:kern w:val="0"/>
          <w:sz w:val="32"/>
          <w:szCs w:val="32"/>
        </w:rPr>
        <w:t>20个</w:t>
      </w:r>
      <w:r>
        <w:rPr>
          <w:rFonts w:ascii="仿宋_GB2312" w:hAnsi="楷体_GB2312" w:eastAsia="仿宋_GB2312" w:cs="楷体_GB2312"/>
          <w:color w:val="000000"/>
          <w:kern w:val="0"/>
          <w:sz w:val="32"/>
          <w:szCs w:val="32"/>
        </w:rPr>
        <w:t>，开展各类讲习活动</w:t>
      </w:r>
      <w:r>
        <w:rPr>
          <w:rFonts w:hint="eastAsia" w:ascii="仿宋_GB2312" w:hAnsi="楷体_GB2312" w:eastAsia="仿宋_GB2312" w:cs="楷体_GB2312"/>
          <w:color w:val="000000"/>
          <w:kern w:val="0"/>
          <w:sz w:val="32"/>
          <w:szCs w:val="32"/>
        </w:rPr>
        <w:t>1087场次。</w:t>
      </w:r>
      <w:r>
        <w:rPr>
          <w:rFonts w:hint="eastAsia" w:ascii="仿宋_GB2312" w:hAnsi="仿宋_GB2312" w:eastAsia="仿宋_GB2312" w:cs="仿宋_GB2312"/>
          <w:b/>
          <w:bCs/>
          <w:sz w:val="32"/>
          <w:szCs w:val="32"/>
        </w:rPr>
        <w:t>分类提高党务干部业务水平</w:t>
      </w:r>
      <w:r>
        <w:rPr>
          <w:rFonts w:hint="eastAsia" w:ascii="楷体_GB2312" w:hAnsi="华文中宋" w:eastAsia="楷体_GB2312" w:cs="华文中宋"/>
          <w:b/>
          <w:bCs/>
          <w:sz w:val="32"/>
          <w:szCs w:val="32"/>
        </w:rPr>
        <w:t>。</w:t>
      </w:r>
      <w:r>
        <w:rPr>
          <w:rFonts w:hint="eastAsia" w:ascii="仿宋" w:hAnsi="仿宋" w:eastAsia="仿宋"/>
          <w:sz w:val="32"/>
          <w:szCs w:val="32"/>
        </w:rPr>
        <w:t>对全区党务干部分行业</w:t>
      </w:r>
      <w:r>
        <w:rPr>
          <w:rFonts w:ascii="仿宋" w:hAnsi="仿宋" w:eastAsia="仿宋"/>
          <w:sz w:val="32"/>
          <w:szCs w:val="32"/>
        </w:rPr>
        <w:t>、分系统</w:t>
      </w:r>
      <w:r>
        <w:rPr>
          <w:rFonts w:hint="eastAsia" w:ascii="仿宋" w:hAnsi="仿宋" w:eastAsia="仿宋"/>
          <w:sz w:val="32"/>
          <w:szCs w:val="32"/>
        </w:rPr>
        <w:t>的开展精准培训。针对机关党建突出问题，启动“大培训、大比武、大提质、大循环”活动，党建质量全面提升，形成党建工作良性循环。</w:t>
      </w:r>
      <w:r>
        <w:rPr>
          <w:rFonts w:hint="eastAsia" w:ascii="仿宋_GB2312" w:hAnsi="华文中宋" w:eastAsia="仿宋_GB2312" w:cs="华文中宋"/>
          <w:b/>
          <w:bCs/>
          <w:sz w:val="32"/>
          <w:szCs w:val="32"/>
        </w:rPr>
        <w:t>全面开展党支部“五化”建设工作。</w:t>
      </w:r>
      <w:r>
        <w:rPr>
          <w:rFonts w:hint="eastAsia" w:ascii="仿宋" w:hAnsi="仿宋" w:eastAsia="仿宋"/>
          <w:sz w:val="32"/>
          <w:szCs w:val="32"/>
        </w:rPr>
        <w:t>全面摸排党支部阵地建设情况，召开</w:t>
      </w:r>
      <w:r>
        <w:rPr>
          <w:rFonts w:ascii="仿宋" w:hAnsi="仿宋" w:eastAsia="仿宋"/>
          <w:sz w:val="32"/>
          <w:szCs w:val="32"/>
        </w:rPr>
        <w:t>专题会议</w:t>
      </w:r>
      <w:r>
        <w:rPr>
          <w:rFonts w:hint="eastAsia" w:ascii="仿宋" w:hAnsi="仿宋" w:eastAsia="仿宋"/>
          <w:sz w:val="32"/>
          <w:szCs w:val="32"/>
        </w:rPr>
        <w:t>5次</w:t>
      </w:r>
      <w:r>
        <w:rPr>
          <w:rFonts w:ascii="仿宋" w:hAnsi="仿宋" w:eastAsia="仿宋"/>
          <w:sz w:val="32"/>
          <w:szCs w:val="32"/>
        </w:rPr>
        <w:t>，</w:t>
      </w:r>
      <w:r>
        <w:rPr>
          <w:rFonts w:hint="eastAsia" w:ascii="仿宋" w:hAnsi="仿宋" w:eastAsia="仿宋"/>
          <w:sz w:val="32"/>
          <w:szCs w:val="32"/>
        </w:rPr>
        <w:t>统筹规范七大类基层党组织工作制度，统一制作标示标牌，</w:t>
      </w:r>
      <w:r>
        <w:rPr>
          <w:rFonts w:ascii="仿宋" w:hAnsi="仿宋" w:eastAsia="仿宋"/>
          <w:sz w:val="32"/>
          <w:szCs w:val="32"/>
        </w:rPr>
        <w:t>打造珠晖“</w:t>
      </w:r>
      <w:r>
        <w:rPr>
          <w:rFonts w:hint="eastAsia" w:ascii="仿宋" w:hAnsi="仿宋" w:eastAsia="仿宋"/>
          <w:sz w:val="32"/>
          <w:szCs w:val="32"/>
        </w:rPr>
        <w:t>五化</w:t>
      </w:r>
      <w:r>
        <w:rPr>
          <w:rFonts w:ascii="仿宋" w:hAnsi="仿宋" w:eastAsia="仿宋"/>
          <w:sz w:val="32"/>
          <w:szCs w:val="32"/>
        </w:rPr>
        <w:t>”</w:t>
      </w:r>
      <w:r>
        <w:rPr>
          <w:rFonts w:hint="eastAsia" w:ascii="仿宋" w:hAnsi="仿宋" w:eastAsia="仿宋"/>
          <w:sz w:val="32"/>
          <w:szCs w:val="32"/>
        </w:rPr>
        <w:t>建设</w:t>
      </w:r>
      <w:r>
        <w:rPr>
          <w:rFonts w:ascii="仿宋" w:hAnsi="仿宋" w:eastAsia="仿宋"/>
          <w:sz w:val="32"/>
          <w:szCs w:val="32"/>
        </w:rPr>
        <w:t>名片</w:t>
      </w:r>
      <w:r>
        <w:rPr>
          <w:rFonts w:hint="eastAsia" w:ascii="仿宋" w:hAnsi="仿宋" w:eastAsia="仿宋"/>
          <w:sz w:val="32"/>
          <w:szCs w:val="32"/>
        </w:rPr>
        <w:t>。目前，全区已有4</w:t>
      </w:r>
      <w:r>
        <w:rPr>
          <w:rFonts w:ascii="仿宋" w:hAnsi="仿宋" w:eastAsia="仿宋"/>
          <w:sz w:val="32"/>
          <w:szCs w:val="32"/>
        </w:rPr>
        <w:t>9.8</w:t>
      </w:r>
      <w:r>
        <w:rPr>
          <w:rFonts w:hint="eastAsia" w:ascii="仿宋" w:hAnsi="仿宋" w:eastAsia="仿宋"/>
          <w:sz w:val="32"/>
          <w:szCs w:val="32"/>
        </w:rPr>
        <w:t>%的党支部“五化”建设达标，超</w:t>
      </w:r>
      <w:r>
        <w:rPr>
          <w:rFonts w:ascii="仿宋" w:hAnsi="仿宋" w:eastAsia="仿宋"/>
          <w:sz w:val="32"/>
          <w:szCs w:val="32"/>
        </w:rPr>
        <w:t>市</w:t>
      </w:r>
      <w:r>
        <w:rPr>
          <w:rFonts w:hint="eastAsia" w:ascii="仿宋" w:hAnsi="仿宋" w:eastAsia="仿宋"/>
          <w:sz w:val="32"/>
          <w:szCs w:val="32"/>
        </w:rPr>
        <w:t>定</w:t>
      </w:r>
      <w:r>
        <w:rPr>
          <w:rFonts w:ascii="仿宋" w:hAnsi="仿宋" w:eastAsia="仿宋"/>
          <w:sz w:val="32"/>
          <w:szCs w:val="32"/>
        </w:rPr>
        <w:t>要求</w:t>
      </w:r>
      <w:r>
        <w:rPr>
          <w:rFonts w:hint="eastAsia" w:ascii="仿宋" w:hAnsi="仿宋" w:eastAsia="仿宋"/>
          <w:sz w:val="32"/>
          <w:szCs w:val="32"/>
        </w:rPr>
        <w:t>25</w:t>
      </w:r>
      <w:r>
        <w:rPr>
          <w:rFonts w:ascii="仿宋" w:hAnsi="仿宋" w:eastAsia="仿宋"/>
          <w:sz w:val="32"/>
          <w:szCs w:val="32"/>
        </w:rPr>
        <w:t>%</w:t>
      </w:r>
      <w:r>
        <w:rPr>
          <w:rFonts w:hint="eastAsia" w:ascii="仿宋" w:hAnsi="仿宋" w:eastAsia="仿宋"/>
          <w:sz w:val="32"/>
          <w:szCs w:val="32"/>
        </w:rPr>
        <w:t>。</w:t>
      </w:r>
    </w:p>
    <w:p>
      <w:pPr>
        <w:spacing w:line="1" w:lineRule="exact"/>
        <w:jc w:val="center"/>
        <w:rPr>
          <w:rFonts w:hint="eastAsia" w:ascii="宋体" w:hAnsi="宋体" w:eastAsia="宋体" w:cs="宋体"/>
          <w:sz w:val="18"/>
          <w:szCs w:val="18"/>
          <w:lang w:eastAsia="zh-CN"/>
        </w:rPr>
      </w:pPr>
      <w:r>
        <w:rPr>
          <w:rFonts w:hint="eastAsia" w:cs="宋体"/>
          <w:color w:val="000000"/>
          <w:spacing w:val="0"/>
          <w:w w:val="100"/>
          <w:position w:val="0"/>
          <w:sz w:val="28"/>
          <w:szCs w:val="28"/>
          <w:lang w:eastAsia="zh-CN"/>
        </w:rPr>
        <w:t>1、根据“五化”建设要求，高标准完成基层党组织优化建设工作。2.加强全区特困党员的帮扶工作，用活用足党内关怀帮扶资金，做好七一帮扶慰问工作。3、加强农村党员远教站点建设，大力推进“农民大学生培养计划”，提升了农民文化水平和创业能力。积极开展党代表活动，引导党代表发挥作用。4.按照全年干部培训计划，科学安排，完成乡村干部培训工作。5.完成相关部门的协调工作、办理区委和区委领导交办的工作</w:t>
      </w: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abstractNum w:abstractNumId="1">
    <w:nsid w:val="34CFA289"/>
    <w:multiLevelType w:val="singleLevel"/>
    <w:tmpl w:val="34CFA28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ZjhkOGQzOTg4Yzc0YWZkMWZmNzhjMWJkZWMzMDgifQ=="/>
  </w:docVars>
  <w:rsids>
    <w:rsidRoot w:val="00172A27"/>
    <w:rsid w:val="02312FDE"/>
    <w:rsid w:val="030A3C3B"/>
    <w:rsid w:val="03737E75"/>
    <w:rsid w:val="0C505A2A"/>
    <w:rsid w:val="0F28291D"/>
    <w:rsid w:val="10F94AFE"/>
    <w:rsid w:val="15224E9F"/>
    <w:rsid w:val="1810076A"/>
    <w:rsid w:val="1CB55F50"/>
    <w:rsid w:val="1F6E185C"/>
    <w:rsid w:val="205265F0"/>
    <w:rsid w:val="236639AE"/>
    <w:rsid w:val="290A0FAD"/>
    <w:rsid w:val="2C8F18D7"/>
    <w:rsid w:val="33B015AE"/>
    <w:rsid w:val="3BE645DA"/>
    <w:rsid w:val="3F577654"/>
    <w:rsid w:val="423B1DB6"/>
    <w:rsid w:val="4999703E"/>
    <w:rsid w:val="4D301426"/>
    <w:rsid w:val="4D625F91"/>
    <w:rsid w:val="527541A2"/>
    <w:rsid w:val="52E51199"/>
    <w:rsid w:val="56C81120"/>
    <w:rsid w:val="56F073BC"/>
    <w:rsid w:val="5B8E7E9F"/>
    <w:rsid w:val="62513BD9"/>
    <w:rsid w:val="688268EC"/>
    <w:rsid w:val="7E944751"/>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basedOn w:val="6"/>
    <w:unhideWhenUsed/>
    <w:uiPriority w:val="0"/>
    <w:rPr>
      <w:rFonts w:hint="default"/>
      <w:sz w:val="24"/>
      <w:szCs w:val="24"/>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20">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21">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2">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3">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4">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6">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7">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歪脖子小树</cp:lastModifiedBy>
  <cp:lastPrinted>2020-05-18T02:11:00Z</cp:lastPrinted>
  <dcterms:modified xsi:type="dcterms:W3CDTF">2023-09-19T06:30:06Z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195EBE4A83D846C5952EB21A89AFEAA0_13</vt:lpwstr>
  </property>
</Properties>
</file>