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bidi w:val="0"/>
        <w:spacing w:before="0" w:after="0" w:line="240" w:lineRule="auto"/>
        <w:ind w:right="0"/>
        <w:jc w:val="both"/>
        <w:rPr>
          <w:rFonts w:hint="eastAsia" w:eastAsiaTheme="minorEastAsia"/>
          <w:lang w:eastAsia="zh-CN"/>
        </w:rPr>
      </w:pPr>
    </w:p>
    <w:p>
      <w:pPr>
        <w:pStyle w:val="20"/>
        <w:keepNext/>
        <w:keepLines/>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sz w:val="32"/>
          <w:szCs w:val="32"/>
          <w:u w:val="none"/>
          <w:shd w:val="clear" w:color="auto" w:fill="auto"/>
          <w:lang w:val="en-US" w:eastAsia="zh-CN" w:bidi="zh-CN"/>
        </w:rPr>
      </w:pPr>
      <w:bookmarkStart w:id="0" w:name="bookmark88"/>
      <w:bookmarkStart w:id="1" w:name="bookmark89"/>
      <w:bookmarkStart w:id="2" w:name="bookmark90"/>
      <w:r>
        <w:rPr>
          <w:rFonts w:hint="eastAsia" w:cs="宋体"/>
          <w:color w:val="000000"/>
          <w:spacing w:val="0"/>
          <w:w w:val="100"/>
          <w:position w:val="0"/>
          <w:sz w:val="32"/>
          <w:szCs w:val="32"/>
          <w:u w:val="none"/>
          <w:shd w:val="clear" w:color="auto" w:fill="auto"/>
          <w:lang w:val="en-US" w:eastAsia="zh-CN" w:bidi="zh-CN"/>
        </w:rPr>
        <w:t>区组织部</w:t>
      </w:r>
      <w:r>
        <w:rPr>
          <w:rFonts w:hint="eastAsia" w:ascii="宋体" w:hAnsi="宋体" w:eastAsia="宋体" w:cs="宋体"/>
          <w:color w:val="000000"/>
          <w:spacing w:val="0"/>
          <w:w w:val="100"/>
          <w:position w:val="0"/>
          <w:sz w:val="32"/>
          <w:szCs w:val="32"/>
          <w:u w:val="none"/>
          <w:shd w:val="clear" w:color="auto" w:fill="auto"/>
          <w:lang w:val="en-US" w:eastAsia="zh-CN" w:bidi="zh-CN"/>
        </w:rPr>
        <w:t>部门整体支出绩效报告编写参考提纲</w:t>
      </w:r>
      <w:bookmarkEnd w:id="0"/>
      <w:bookmarkEnd w:id="1"/>
      <w:bookmarkEnd w:id="2"/>
    </w:p>
    <w:p>
      <w:pPr>
        <w:pStyle w:val="19"/>
        <w:tabs>
          <w:tab w:val="left" w:pos="867"/>
        </w:tabs>
        <w:spacing w:line="360" w:lineRule="auto"/>
        <w:rPr>
          <w:rFonts w:ascii="黑体" w:hAnsi="黑体" w:eastAsia="黑体" w:cs="黑体"/>
          <w:sz w:val="32"/>
          <w:szCs w:val="32"/>
        </w:rPr>
      </w:pPr>
      <w:r>
        <w:rPr>
          <w:rFonts w:hint="eastAsia" w:ascii="黑体" w:hAnsi="黑体" w:eastAsia="黑体" w:cs="黑体"/>
          <w:color w:val="000000"/>
          <w:sz w:val="32"/>
          <w:szCs w:val="32"/>
        </w:rPr>
        <w:t>一、部门概况</w:t>
      </w:r>
    </w:p>
    <w:p>
      <w:pPr>
        <w:pStyle w:val="19"/>
        <w:tabs>
          <w:tab w:val="left" w:pos="1113"/>
        </w:tabs>
        <w:spacing w:line="360" w:lineRule="auto"/>
        <w:ind w:firstLine="500"/>
        <w:rPr>
          <w:rFonts w:ascii="楷体" w:hAnsi="楷体" w:eastAsia="楷体" w:cs="楷体"/>
          <w:b/>
          <w:bCs/>
          <w:color w:val="000000"/>
          <w:sz w:val="32"/>
          <w:szCs w:val="32"/>
        </w:rPr>
      </w:pPr>
      <w:bookmarkStart w:id="3" w:name="bookmark92"/>
      <w:r>
        <w:rPr>
          <w:rFonts w:hint="eastAsia" w:ascii="楷体" w:hAnsi="楷体" w:eastAsia="楷体" w:cs="楷体"/>
          <w:b/>
          <w:bCs/>
          <w:color w:val="000000"/>
          <w:sz w:val="32"/>
          <w:szCs w:val="32"/>
        </w:rPr>
        <w:t>（</w:t>
      </w:r>
      <w:bookmarkEnd w:id="3"/>
      <w:r>
        <w:rPr>
          <w:rFonts w:hint="eastAsia" w:ascii="楷体" w:hAnsi="楷体" w:eastAsia="楷体" w:cs="楷体"/>
          <w:b/>
          <w:bCs/>
          <w:color w:val="000000"/>
          <w:sz w:val="32"/>
          <w:szCs w:val="32"/>
        </w:rPr>
        <w:t>一）部门基本情况</w:t>
      </w:r>
    </w:p>
    <w:p>
      <w:pPr>
        <w:ind w:firstLine="643" w:firstLineChars="200"/>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1.机构设置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内设机构包括：办公室、组织组、干部组。</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华文中宋" w:eastAsia="仿宋_GB2312"/>
          <w:sz w:val="32"/>
          <w:szCs w:val="32"/>
        </w:rPr>
        <w:t>决算单位构成:</w:t>
      </w:r>
      <w:r>
        <w:rPr>
          <w:rFonts w:hint="eastAsia" w:ascii="仿宋" w:hAnsi="仿宋" w:eastAsia="仿宋" w:cs="仿宋_GB2312"/>
          <w:color w:val="333333"/>
          <w:kern w:val="0"/>
          <w:sz w:val="32"/>
          <w:szCs w:val="32"/>
          <w:lang w:eastAsia="zh-CN"/>
        </w:rPr>
        <w:t>包含单位本级</w:t>
      </w:r>
      <w:r>
        <w:rPr>
          <w:rFonts w:hint="eastAsia" w:ascii="仿宋" w:hAnsi="仿宋" w:eastAsia="仿宋" w:cs="仿宋_GB2312"/>
          <w:color w:val="333333"/>
          <w:kern w:val="0"/>
          <w:sz w:val="32"/>
          <w:szCs w:val="32"/>
        </w:rPr>
        <w:t>。</w:t>
      </w:r>
    </w:p>
    <w:p>
      <w:pPr>
        <w:ind w:firstLine="643" w:firstLineChars="200"/>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2.职能职责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（一）负责研究和指导党组织建设，制定和加强党的工作制度、党内生活制度建设</w:t>
      </w:r>
      <w:bookmarkStart w:id="7" w:name="_GoBack"/>
      <w:bookmarkEnd w:id="7"/>
      <w:r>
        <w:rPr>
          <w:rFonts w:hint="eastAsia" w:ascii="仿宋_GB2312" w:hAnsi="仿宋_GB2312" w:eastAsia="仿宋_GB2312" w:cs="仿宋_GB2312"/>
          <w:sz w:val="32"/>
          <w:szCs w:val="32"/>
        </w:rPr>
        <w:t>的规定和意见；对乡镇街道党委和区委管理的企事业单位党委换届选举及单位党委（党组）民主生活会进行指导；研究、指导党的基层组织建设；研究指导党员队伍建设，主管党员管理和发展工作，指导协调党员教育工作；组织和开展新时期党的建设理论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（二）负责干部队伍建设的宏观管理，制订和参与制订干部、人事工作的重要政策、法规、制度，并对典型经验进行总结推介。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街道、乡镇和区直机关各单位以及其他列入区委管理的领导班子调整、配备的意见和建议；负责区委管理的干部考察、任免、待遇、出国（境）、退（离）休审批手续的办理；负责区级领导班子换届选举和届中调整的有关工作；负责全区干部公开选拔工作宏观指导；承办副科级以上干部公开选拔的具体工作；指导国家公务员制度的实施，负责全区党委、人大、政府、政协、群众团体等和民主党派等机关参照国家公务员制度管理的宏观指导；组织落实培养选拔中青年干部、妇女干部、少数民族干部、党外干部的有关规划和方案；指导街道、乡镇党委和区直机关各部门领导班子的思想作风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（四）负责全区干部人事档案、党内统计、干部统计工作的宏观指导以及公务员、参照公务员管理副科级以上干部的人事档案工作。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（五）负责干部监督工作的宏观指导、负责组织工作和干部工作的督促检查，及时向市委组织部和区委反映重要情况；对反映科以下领导班子和领导干部的主要问题进行调查了解和督办。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（六）负责制订干部教育工作的政策、规划、组织、协调区管干部、区委委托组织部管理的干部和部分中青年干部的培训。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头抓总，抓好人才资源的开发和管理，做好培养、吸引和用好各方面人才的工作，研究制定人才队伍建设规划、政策、规定、指导、协调、检查全区人才工作；指导各行业的突出人才和学者开展有关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（八）负责离退休干部和副县级以上退休干部的管理。</w:t>
      </w:r>
    </w:p>
    <w:p>
      <w:pPr>
        <w:spacing w:line="560" w:lineRule="exact"/>
        <w:ind w:firstLine="640" w:firstLineChars="200"/>
        <w:rPr>
          <w:rFonts w:hint="eastAsia" w:ascii="宋体" w:hAnsi="宋体" w:eastAsia="宋体" w:cs="宋体"/>
          <w:color w:val="000000"/>
          <w:spacing w:val="0"/>
          <w:w w:val="100"/>
          <w:position w:val="0"/>
          <w:sz w:val="28"/>
          <w:szCs w:val="28"/>
        </w:rPr>
      </w:pPr>
      <w:r>
        <w:rPr>
          <w:rFonts w:hint="eastAsia" w:ascii="仿宋_GB2312" w:hAnsi="仿宋_GB2312" w:eastAsia="仿宋_GB2312" w:cs="仿宋_GB2312"/>
          <w:sz w:val="32"/>
          <w:szCs w:val="32"/>
        </w:rPr>
        <w:t>（九）承办区委和市委组织部交办的其他事项。</w:t>
      </w:r>
    </w:p>
    <w:p>
      <w:pPr>
        <w:pStyle w:val="19"/>
        <w:tabs>
          <w:tab w:val="left" w:pos="1113"/>
        </w:tabs>
        <w:spacing w:line="360" w:lineRule="auto"/>
        <w:ind w:firstLine="500"/>
        <w:rPr>
          <w:rFonts w:hint="eastAsia" w:ascii="楷体" w:hAnsi="楷体" w:eastAsia="楷体" w:cs="楷体"/>
          <w:b/>
          <w:bCs/>
          <w:color w:val="000000"/>
          <w:sz w:val="32"/>
          <w:szCs w:val="32"/>
        </w:rPr>
      </w:pPr>
      <w:bookmarkStart w:id="4" w:name="bookmark95"/>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val="en-US"/>
        </w:rPr>
        <w:t>二）</w:t>
      </w:r>
      <w:r>
        <w:rPr>
          <w:rFonts w:hint="eastAsia" w:ascii="楷体" w:hAnsi="楷体" w:eastAsia="楷体" w:cs="楷体"/>
          <w:b/>
          <w:bCs/>
          <w:color w:val="000000"/>
          <w:sz w:val="32"/>
          <w:szCs w:val="32"/>
        </w:rPr>
        <w:t>部门整体支出规模、使用方向和主要内容、涉及范围等。</w:t>
      </w:r>
    </w:p>
    <w:p>
      <w:pPr>
        <w:ind w:firstLine="640" w:firstLineChars="200"/>
        <w:rPr>
          <w:rFonts w:ascii="仿宋" w:hAnsi="仿宋" w:eastAsia="仿宋" w:cs="仿宋_GB2312"/>
          <w:color w:val="333333"/>
          <w:kern w:val="0"/>
          <w:sz w:val="32"/>
          <w:szCs w:val="32"/>
        </w:rPr>
      </w:pPr>
      <w:r>
        <w:rPr>
          <w:rFonts w:ascii="仿宋" w:hAnsi="仿宋" w:eastAsia="仿宋" w:cs="仿宋_GB2312"/>
          <w:color w:val="333333"/>
          <w:kern w:val="0"/>
          <w:sz w:val="32"/>
          <w:szCs w:val="32"/>
        </w:rPr>
        <w:t>2020度收入总计</w:t>
      </w:r>
      <w:r>
        <w:rPr>
          <w:rFonts w:hint="eastAsia" w:ascii="宋体" w:hAnsi="宋体" w:eastAsia="宋体" w:cs="宋体"/>
          <w:color w:val="000000"/>
          <w:sz w:val="32"/>
          <w:szCs w:val="32"/>
        </w:rPr>
        <w:t>752.98</w:t>
      </w:r>
      <w:r>
        <w:rPr>
          <w:rFonts w:ascii="仿宋" w:hAnsi="仿宋" w:eastAsia="仿宋" w:cs="仿宋_GB2312"/>
          <w:color w:val="333333"/>
          <w:kern w:val="0"/>
          <w:sz w:val="32"/>
          <w:szCs w:val="32"/>
        </w:rPr>
        <w:t>万元，其中财政拨款收入</w:t>
      </w:r>
      <w:r>
        <w:rPr>
          <w:rFonts w:hint="eastAsia" w:ascii="宋体" w:hAnsi="宋体" w:eastAsia="宋体" w:cs="宋体"/>
          <w:color w:val="000000"/>
          <w:sz w:val="32"/>
          <w:szCs w:val="32"/>
        </w:rPr>
        <w:t>752.98</w:t>
      </w:r>
      <w:r>
        <w:rPr>
          <w:rFonts w:ascii="仿宋" w:hAnsi="仿宋" w:eastAsia="仿宋" w:cs="仿宋_GB2312"/>
          <w:color w:val="333333"/>
          <w:kern w:val="0"/>
          <w:sz w:val="32"/>
          <w:szCs w:val="32"/>
        </w:rPr>
        <w:t>万元，占本年收入</w:t>
      </w:r>
      <w:r>
        <w:rPr>
          <w:rFonts w:hint="eastAsia" w:ascii="仿宋" w:hAnsi="仿宋" w:eastAsia="仿宋" w:cs="仿宋_GB2312"/>
          <w:color w:val="333333"/>
          <w:kern w:val="0"/>
          <w:sz w:val="32"/>
          <w:szCs w:val="32"/>
          <w:lang w:val="en-US" w:eastAsia="zh-CN"/>
        </w:rPr>
        <w:t>100</w:t>
      </w:r>
      <w:r>
        <w:rPr>
          <w:rFonts w:ascii="仿宋" w:hAnsi="仿宋" w:eastAsia="仿宋" w:cs="仿宋_GB2312"/>
          <w:color w:val="333333"/>
          <w:kern w:val="0"/>
          <w:sz w:val="32"/>
          <w:szCs w:val="32"/>
        </w:rPr>
        <w:t>%；其他收入</w:t>
      </w:r>
      <w:r>
        <w:rPr>
          <w:rFonts w:hint="eastAsia" w:ascii="仿宋" w:hAnsi="仿宋" w:eastAsia="仿宋" w:cs="仿宋_GB2312"/>
          <w:color w:val="333333"/>
          <w:kern w:val="0"/>
          <w:sz w:val="32"/>
          <w:szCs w:val="32"/>
          <w:lang w:val="en-US" w:eastAsia="zh-CN"/>
        </w:rPr>
        <w:t>0</w:t>
      </w:r>
      <w:r>
        <w:rPr>
          <w:rFonts w:ascii="仿宋" w:hAnsi="仿宋" w:eastAsia="仿宋" w:cs="仿宋_GB2312"/>
          <w:color w:val="333333"/>
          <w:kern w:val="0"/>
          <w:sz w:val="32"/>
          <w:szCs w:val="32"/>
        </w:rPr>
        <w:t>万元，占本年收入</w:t>
      </w:r>
      <w:r>
        <w:rPr>
          <w:rFonts w:hint="eastAsia" w:ascii="仿宋" w:hAnsi="仿宋" w:eastAsia="仿宋" w:cs="仿宋_GB2312"/>
          <w:color w:val="333333"/>
          <w:kern w:val="0"/>
          <w:sz w:val="32"/>
          <w:szCs w:val="32"/>
          <w:lang w:val="en-US" w:eastAsia="zh-CN"/>
        </w:rPr>
        <w:t>0</w:t>
      </w:r>
      <w:r>
        <w:rPr>
          <w:rFonts w:ascii="仿宋" w:hAnsi="仿宋" w:eastAsia="仿宋" w:cs="仿宋_GB2312"/>
          <w:color w:val="333333"/>
          <w:kern w:val="0"/>
          <w:sz w:val="32"/>
          <w:szCs w:val="32"/>
        </w:rPr>
        <w:t>%。本年支出总计</w:t>
      </w:r>
      <w:r>
        <w:rPr>
          <w:rFonts w:hint="eastAsia" w:ascii="宋体" w:hAnsi="宋体" w:eastAsia="宋体" w:cs="宋体"/>
          <w:color w:val="000000"/>
          <w:sz w:val="32"/>
          <w:szCs w:val="32"/>
        </w:rPr>
        <w:t>631.4</w:t>
      </w:r>
      <w:r>
        <w:rPr>
          <w:rFonts w:ascii="仿宋" w:hAnsi="仿宋" w:eastAsia="仿宋" w:cs="仿宋_GB2312"/>
          <w:color w:val="333333"/>
          <w:kern w:val="0"/>
          <w:sz w:val="32"/>
          <w:szCs w:val="32"/>
        </w:rPr>
        <w:t>万元，其中：</w:t>
      </w:r>
      <w:r>
        <w:rPr>
          <w:rFonts w:hint="eastAsia" w:ascii="仿宋" w:hAnsi="仿宋" w:eastAsia="仿宋" w:cs="仿宋_GB2312"/>
          <w:color w:val="333333"/>
          <w:kern w:val="0"/>
          <w:sz w:val="32"/>
          <w:szCs w:val="32"/>
        </w:rPr>
        <w:t>财政拨款</w:t>
      </w:r>
      <w:r>
        <w:rPr>
          <w:rFonts w:ascii="仿宋" w:hAnsi="仿宋" w:eastAsia="仿宋" w:cs="仿宋_GB2312"/>
          <w:color w:val="333333"/>
          <w:kern w:val="0"/>
          <w:sz w:val="32"/>
          <w:szCs w:val="32"/>
        </w:rPr>
        <w:t>支出</w:t>
      </w:r>
      <w:r>
        <w:rPr>
          <w:rFonts w:hint="eastAsia" w:ascii="宋体" w:hAnsi="宋体" w:eastAsia="宋体" w:cs="宋体"/>
          <w:color w:val="000000"/>
          <w:sz w:val="32"/>
          <w:szCs w:val="32"/>
        </w:rPr>
        <w:t>631.4</w:t>
      </w:r>
      <w:r>
        <w:rPr>
          <w:rFonts w:ascii="仿宋" w:hAnsi="仿宋" w:eastAsia="仿宋" w:cs="仿宋_GB2312"/>
          <w:color w:val="333333"/>
          <w:kern w:val="0"/>
          <w:sz w:val="32"/>
          <w:szCs w:val="32"/>
        </w:rPr>
        <w:t>万元，占本年支出的</w:t>
      </w:r>
      <w:r>
        <w:rPr>
          <w:rFonts w:hint="eastAsia" w:ascii="仿宋" w:hAnsi="仿宋" w:eastAsia="仿宋" w:cs="仿宋_GB2312"/>
          <w:color w:val="333333"/>
          <w:kern w:val="0"/>
          <w:sz w:val="32"/>
          <w:szCs w:val="32"/>
          <w:lang w:val="en-US" w:eastAsia="zh-CN"/>
        </w:rPr>
        <w:t>100</w:t>
      </w:r>
      <w:r>
        <w:rPr>
          <w:rFonts w:ascii="仿宋" w:hAnsi="仿宋" w:eastAsia="仿宋" w:cs="仿宋_GB2312"/>
          <w:color w:val="333333"/>
          <w:kern w:val="0"/>
          <w:sz w:val="32"/>
          <w:szCs w:val="32"/>
        </w:rPr>
        <w:t>%；</w:t>
      </w:r>
      <w:r>
        <w:rPr>
          <w:rFonts w:hint="eastAsia" w:ascii="仿宋" w:hAnsi="仿宋" w:eastAsia="仿宋" w:cs="仿宋_GB2312"/>
          <w:color w:val="333333"/>
          <w:kern w:val="0"/>
          <w:sz w:val="32"/>
          <w:szCs w:val="32"/>
        </w:rPr>
        <w:t>其他资金</w:t>
      </w:r>
      <w:r>
        <w:rPr>
          <w:rFonts w:ascii="仿宋" w:hAnsi="仿宋" w:eastAsia="仿宋" w:cs="仿宋_GB2312"/>
          <w:color w:val="333333"/>
          <w:kern w:val="0"/>
          <w:sz w:val="32"/>
          <w:szCs w:val="32"/>
        </w:rPr>
        <w:t>支出</w:t>
      </w:r>
      <w:r>
        <w:rPr>
          <w:rFonts w:hint="eastAsia" w:ascii="仿宋" w:hAnsi="仿宋" w:eastAsia="仿宋" w:cs="仿宋_GB2312"/>
          <w:color w:val="333333"/>
          <w:kern w:val="0"/>
          <w:sz w:val="32"/>
          <w:szCs w:val="32"/>
          <w:lang w:val="en-US" w:eastAsia="zh-CN"/>
        </w:rPr>
        <w:t>0</w:t>
      </w:r>
      <w:r>
        <w:rPr>
          <w:rFonts w:ascii="仿宋" w:hAnsi="仿宋" w:eastAsia="仿宋" w:cs="仿宋_GB2312"/>
          <w:color w:val="333333"/>
          <w:kern w:val="0"/>
          <w:sz w:val="32"/>
          <w:szCs w:val="32"/>
        </w:rPr>
        <w:t>万元，占本年支出的</w:t>
      </w:r>
      <w:r>
        <w:rPr>
          <w:rFonts w:hint="eastAsia" w:ascii="仿宋" w:hAnsi="仿宋" w:eastAsia="仿宋" w:cs="仿宋_GB2312"/>
          <w:color w:val="333333"/>
          <w:kern w:val="0"/>
          <w:sz w:val="32"/>
          <w:szCs w:val="32"/>
          <w:lang w:val="en-US" w:eastAsia="zh-CN"/>
        </w:rPr>
        <w:t>0</w:t>
      </w:r>
      <w:r>
        <w:rPr>
          <w:rFonts w:ascii="仿宋" w:hAnsi="仿宋" w:eastAsia="仿宋" w:cs="仿宋_GB2312"/>
          <w:color w:val="333333"/>
          <w:kern w:val="0"/>
          <w:sz w:val="32"/>
          <w:szCs w:val="32"/>
        </w:rPr>
        <w:t>%</w:t>
      </w:r>
      <w:r>
        <w:rPr>
          <w:rFonts w:hint="eastAsia" w:ascii="仿宋" w:hAnsi="仿宋" w:eastAsia="仿宋" w:cs="仿宋_GB2312"/>
          <w:color w:val="333333"/>
          <w:kern w:val="0"/>
          <w:sz w:val="32"/>
          <w:szCs w:val="32"/>
        </w:rPr>
        <w:t>。</w:t>
      </w:r>
    </w:p>
    <w:bookmarkEnd w:id="4"/>
    <w:p>
      <w:pPr>
        <w:pStyle w:val="19"/>
        <w:tabs>
          <w:tab w:val="left" w:pos="867"/>
        </w:tabs>
        <w:spacing w:line="360" w:lineRule="auto"/>
        <w:rPr>
          <w:rFonts w:ascii="Calibri" w:hAnsi="Calibri" w:eastAsia="仿宋_GB2312" w:cs="Times New Roman"/>
          <w:b/>
          <w:bCs/>
          <w:sz w:val="28"/>
          <w:szCs w:val="28"/>
          <w:lang w:val="en-US" w:bidi="ar-SA"/>
        </w:rPr>
      </w:pPr>
      <w:r>
        <w:rPr>
          <w:rFonts w:hint="eastAsia" w:ascii="Calibri" w:hAnsi="Calibri" w:eastAsia="仿宋_GB2312" w:cs="Times New Roman"/>
          <w:b/>
          <w:bCs/>
          <w:sz w:val="28"/>
          <w:szCs w:val="28"/>
          <w:lang w:val="en-US" w:bidi="ar-SA"/>
        </w:rPr>
        <w:t>二、部门整体支出管理及使用情况</w:t>
      </w:r>
    </w:p>
    <w:p>
      <w:pPr>
        <w:ind w:firstLine="645"/>
        <w:rPr>
          <w:rFonts w:eastAsia="仿宋_GB2312"/>
          <w:b/>
          <w:bCs/>
          <w:sz w:val="28"/>
          <w:szCs w:val="28"/>
        </w:rPr>
      </w:pPr>
      <w:r>
        <w:rPr>
          <w:rFonts w:hint="eastAsia" w:eastAsia="仿宋_GB2312"/>
          <w:b/>
          <w:bCs/>
          <w:sz w:val="28"/>
          <w:szCs w:val="28"/>
        </w:rPr>
        <w:t>（一）基本支出</w:t>
      </w:r>
    </w:p>
    <w:p>
      <w:pPr>
        <w:ind w:firstLine="640" w:firstLineChars="200"/>
        <w:rPr>
          <w:rFonts w:ascii="仿宋" w:hAnsi="仿宋" w:eastAsia="仿宋" w:cs="仿宋_GB2312"/>
          <w:color w:val="333333"/>
          <w:kern w:val="0"/>
          <w:sz w:val="32"/>
          <w:szCs w:val="32"/>
        </w:rPr>
      </w:pPr>
      <w:bookmarkStart w:id="5" w:name="bookmark96"/>
      <w:r>
        <w:rPr>
          <w:rFonts w:ascii="仿宋" w:hAnsi="仿宋" w:eastAsia="仿宋" w:cs="仿宋_GB2312"/>
          <w:color w:val="333333"/>
          <w:kern w:val="0"/>
          <w:sz w:val="32"/>
          <w:szCs w:val="32"/>
        </w:rPr>
        <w:t>2020年度基本支出</w:t>
      </w:r>
      <w:r>
        <w:rPr>
          <w:rFonts w:hint="eastAsia" w:ascii="宋体" w:hAnsi="宋体" w:eastAsia="宋体" w:cs="宋体"/>
          <w:color w:val="000000"/>
          <w:sz w:val="32"/>
          <w:szCs w:val="32"/>
        </w:rPr>
        <w:t>387.47</w:t>
      </w:r>
      <w:r>
        <w:rPr>
          <w:rFonts w:ascii="仿宋" w:hAnsi="仿宋" w:eastAsia="仿宋" w:cs="仿宋_GB2312"/>
          <w:color w:val="333333"/>
          <w:kern w:val="0"/>
          <w:sz w:val="32"/>
          <w:szCs w:val="32"/>
        </w:rPr>
        <w:t>万元，</w:t>
      </w:r>
      <w:r>
        <w:rPr>
          <w:rFonts w:hint="eastAsia" w:ascii="仿宋" w:hAnsi="仿宋" w:eastAsia="仿宋" w:cs="仿宋_GB2312"/>
          <w:color w:val="333333"/>
          <w:kern w:val="0"/>
          <w:sz w:val="32"/>
          <w:szCs w:val="32"/>
        </w:rPr>
        <w:t>包含</w:t>
      </w:r>
      <w:r>
        <w:rPr>
          <w:rFonts w:ascii="仿宋" w:hAnsi="仿宋" w:eastAsia="仿宋" w:cs="仿宋_GB2312"/>
          <w:color w:val="333333"/>
          <w:kern w:val="0"/>
          <w:sz w:val="32"/>
          <w:szCs w:val="32"/>
        </w:rPr>
        <w:t>人员经费支出</w:t>
      </w:r>
      <w:r>
        <w:rPr>
          <w:rFonts w:hint="eastAsia" w:ascii="仿宋" w:hAnsi="仿宋" w:eastAsia="仿宋" w:cs="仿宋_GB2312"/>
          <w:color w:val="333333"/>
          <w:kern w:val="0"/>
          <w:sz w:val="32"/>
          <w:szCs w:val="32"/>
        </w:rPr>
        <w:t>、</w:t>
      </w:r>
      <w:r>
        <w:rPr>
          <w:rFonts w:ascii="仿宋" w:hAnsi="仿宋" w:eastAsia="仿宋" w:cs="仿宋_GB2312"/>
          <w:color w:val="333333"/>
          <w:kern w:val="0"/>
          <w:sz w:val="32"/>
          <w:szCs w:val="32"/>
        </w:rPr>
        <w:t>公用支出</w:t>
      </w:r>
      <w:r>
        <w:rPr>
          <w:rFonts w:hint="eastAsia" w:ascii="仿宋" w:hAnsi="仿宋" w:eastAsia="仿宋" w:cs="仿宋_GB2312"/>
          <w:color w:val="333333"/>
          <w:kern w:val="0"/>
          <w:sz w:val="32"/>
          <w:szCs w:val="32"/>
        </w:rPr>
        <w:t>、对</w:t>
      </w:r>
      <w:r>
        <w:rPr>
          <w:rFonts w:ascii="仿宋" w:hAnsi="仿宋" w:eastAsia="仿宋" w:cs="仿宋_GB2312"/>
          <w:color w:val="333333"/>
          <w:kern w:val="0"/>
          <w:sz w:val="32"/>
          <w:szCs w:val="32"/>
        </w:rPr>
        <w:t>个</w:t>
      </w:r>
      <w:r>
        <w:rPr>
          <w:rFonts w:hint="eastAsia" w:ascii="仿宋" w:hAnsi="仿宋" w:eastAsia="仿宋" w:cs="仿宋_GB2312"/>
          <w:color w:val="333333"/>
          <w:kern w:val="0"/>
          <w:sz w:val="32"/>
          <w:szCs w:val="32"/>
        </w:rPr>
        <w:t>人</w:t>
      </w:r>
      <w:r>
        <w:rPr>
          <w:rFonts w:ascii="仿宋" w:hAnsi="仿宋" w:eastAsia="仿宋" w:cs="仿宋_GB2312"/>
          <w:color w:val="333333"/>
          <w:kern w:val="0"/>
          <w:sz w:val="32"/>
          <w:szCs w:val="32"/>
        </w:rPr>
        <w:t>和家庭的</w:t>
      </w:r>
      <w:r>
        <w:rPr>
          <w:rFonts w:hint="eastAsia" w:ascii="仿宋" w:hAnsi="仿宋" w:eastAsia="仿宋" w:cs="仿宋_GB2312"/>
          <w:color w:val="333333"/>
          <w:kern w:val="0"/>
          <w:sz w:val="32"/>
          <w:szCs w:val="32"/>
        </w:rPr>
        <w:t>补助</w:t>
      </w:r>
      <w:r>
        <w:rPr>
          <w:rFonts w:ascii="仿宋" w:hAnsi="仿宋" w:eastAsia="仿宋" w:cs="仿宋_GB2312"/>
          <w:color w:val="333333"/>
          <w:kern w:val="0"/>
          <w:sz w:val="32"/>
          <w:szCs w:val="32"/>
        </w:rPr>
        <w:t>支出</w:t>
      </w:r>
      <w:r>
        <w:rPr>
          <w:rFonts w:hint="eastAsia" w:ascii="仿宋" w:hAnsi="仿宋" w:eastAsia="仿宋" w:cs="仿宋_GB2312"/>
          <w:color w:val="333333"/>
          <w:kern w:val="0"/>
          <w:sz w:val="32"/>
          <w:szCs w:val="32"/>
        </w:rPr>
        <w:t>。</w:t>
      </w:r>
    </w:p>
    <w:p>
      <w:pPr>
        <w:ind w:firstLine="645"/>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“三公”经费支出为零。</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（二）项目支出</w:t>
      </w:r>
    </w:p>
    <w:p>
      <w:pPr>
        <w:pStyle w:val="19"/>
        <w:tabs>
          <w:tab w:val="left" w:pos="867"/>
        </w:tabs>
        <w:spacing w:line="360" w:lineRule="auto"/>
        <w:jc w:val="left"/>
        <w:rPr>
          <w:rFonts w:ascii="仿宋" w:hAnsi="仿宋" w:eastAsia="仿宋" w:cs="仿宋_GB2312"/>
          <w:color w:val="333333"/>
          <w:kern w:val="0"/>
          <w:sz w:val="32"/>
          <w:szCs w:val="32"/>
          <w:u w:val="none"/>
          <w:shd w:val="clear"/>
          <w:lang w:val="en-US" w:eastAsia="zh-CN" w:bidi="ar-SA"/>
        </w:rPr>
      </w:pPr>
      <w:r>
        <w:rPr>
          <w:rFonts w:ascii="仿宋" w:hAnsi="仿宋" w:eastAsia="仿宋" w:cs="仿宋_GB2312"/>
          <w:color w:val="333333"/>
          <w:kern w:val="0"/>
          <w:sz w:val="32"/>
          <w:szCs w:val="32"/>
          <w:u w:val="none"/>
          <w:shd w:val="clear"/>
          <w:lang w:val="en-US" w:eastAsia="zh-CN" w:bidi="ar-SA"/>
        </w:rPr>
        <w:t>2020年度</w:t>
      </w:r>
      <w:r>
        <w:rPr>
          <w:rFonts w:hint="eastAsia" w:ascii="仿宋" w:hAnsi="仿宋" w:eastAsia="仿宋" w:cs="仿宋_GB2312"/>
          <w:color w:val="333333"/>
          <w:kern w:val="0"/>
          <w:sz w:val="32"/>
          <w:szCs w:val="32"/>
          <w:u w:val="none"/>
          <w:shd w:val="clear"/>
          <w:lang w:val="en-US" w:eastAsia="zh-CN" w:bidi="ar-SA"/>
        </w:rPr>
        <w:t>项目</w:t>
      </w:r>
      <w:r>
        <w:rPr>
          <w:rFonts w:ascii="仿宋" w:hAnsi="仿宋" w:eastAsia="仿宋" w:cs="仿宋_GB2312"/>
          <w:color w:val="333333"/>
          <w:kern w:val="0"/>
          <w:sz w:val="32"/>
          <w:szCs w:val="32"/>
          <w:u w:val="none"/>
          <w:shd w:val="clear"/>
          <w:lang w:val="en-US" w:eastAsia="zh-CN" w:bidi="ar-SA"/>
        </w:rPr>
        <w:t>支出</w:t>
      </w:r>
      <w:r>
        <w:rPr>
          <w:rFonts w:hint="eastAsia" w:ascii="仿宋" w:hAnsi="仿宋" w:eastAsia="仿宋" w:cs="仿宋_GB2312"/>
          <w:color w:val="333333"/>
          <w:kern w:val="0"/>
          <w:sz w:val="32"/>
          <w:szCs w:val="32"/>
          <w:u w:val="none"/>
          <w:shd w:val="clear"/>
          <w:lang w:val="en-US" w:eastAsia="zh-CN" w:bidi="ar-SA"/>
        </w:rPr>
        <w:t>243.94万</w:t>
      </w:r>
      <w:r>
        <w:rPr>
          <w:rFonts w:ascii="仿宋" w:hAnsi="仿宋" w:eastAsia="仿宋" w:cs="仿宋_GB2312"/>
          <w:color w:val="333333"/>
          <w:kern w:val="0"/>
          <w:sz w:val="32"/>
          <w:szCs w:val="32"/>
          <w:u w:val="none"/>
          <w:shd w:val="clear"/>
          <w:lang w:val="en-US" w:eastAsia="zh-CN" w:bidi="ar-SA"/>
        </w:rPr>
        <w:t>元，</w:t>
      </w:r>
      <w:r>
        <w:rPr>
          <w:rFonts w:hint="eastAsia" w:ascii="仿宋" w:hAnsi="仿宋" w:eastAsia="仿宋" w:cs="仿宋_GB2312"/>
          <w:color w:val="333333"/>
          <w:kern w:val="0"/>
          <w:sz w:val="32"/>
          <w:szCs w:val="32"/>
          <w:u w:val="none"/>
          <w:shd w:val="clear"/>
          <w:lang w:val="en-US" w:eastAsia="zh-CN" w:bidi="ar-SA"/>
        </w:rPr>
        <w:t>，主要是指单位为完成特定行政工作任务或事业发展目标而发生的支出，用于一般行政管理事务经费支出。</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三、部门项目组织实施情况</w:t>
      </w:r>
    </w:p>
    <w:bookmarkEnd w:id="5"/>
    <w:p>
      <w:pPr>
        <w:pStyle w:val="19"/>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仿宋_GB2312" w:hAnsi="仿宋_GB2312" w:eastAsia="仿宋_GB2312" w:cs="仿宋_GB2312"/>
          <w:kern w:val="2"/>
          <w:sz w:val="32"/>
          <w:szCs w:val="32"/>
          <w:u w:val="none"/>
          <w:shd w:val="clear"/>
          <w:lang w:val="en-US" w:eastAsia="zh-CN" w:bidi="ar-SA"/>
        </w:rPr>
      </w:pPr>
      <w:bookmarkStart w:id="6" w:name="bookmark101"/>
      <w:r>
        <w:rPr>
          <w:rFonts w:hint="eastAsia" w:ascii="仿宋" w:hAnsi="仿宋" w:eastAsia="仿宋" w:cs="仿宋_GB2312"/>
          <w:color w:val="333333"/>
          <w:kern w:val="0"/>
          <w:sz w:val="32"/>
          <w:szCs w:val="32"/>
        </w:rPr>
        <w:t>无建设性项目支出</w:t>
      </w:r>
    </w:p>
    <w:bookmarkEnd w:id="6"/>
    <w:p>
      <w:pPr>
        <w:widowControl/>
        <w:spacing w:line="600" w:lineRule="exact"/>
        <w:ind w:firstLine="551" w:firstLineChars="196"/>
        <w:jc w:val="left"/>
        <w:rPr>
          <w:rFonts w:eastAsia="仿宋_GB2312"/>
          <w:b/>
          <w:bCs/>
          <w:sz w:val="28"/>
          <w:szCs w:val="28"/>
        </w:rPr>
      </w:pPr>
      <w:r>
        <w:rPr>
          <w:rFonts w:hint="eastAsia" w:eastAsia="仿宋_GB2312"/>
          <w:b/>
          <w:bCs/>
          <w:sz w:val="28"/>
          <w:szCs w:val="28"/>
        </w:rPr>
        <w:t>四、资产管理情况</w:t>
      </w:r>
    </w:p>
    <w:p>
      <w:pPr>
        <w:spacing w:line="600" w:lineRule="exact"/>
        <w:ind w:firstLine="640" w:firstLineChars="200"/>
        <w:rPr>
          <w:rFonts w:ascii="仿宋" w:hAnsi="仿宋" w:eastAsia="仿宋" w:cs="仿宋_GB2312"/>
          <w:color w:val="333333"/>
          <w:kern w:val="0"/>
          <w:sz w:val="32"/>
          <w:szCs w:val="32"/>
        </w:rPr>
      </w:pPr>
      <w:r>
        <w:rPr>
          <w:rFonts w:ascii="仿宋" w:hAnsi="仿宋" w:eastAsia="仿宋" w:cs="仿宋_GB2312"/>
          <w:color w:val="333333"/>
          <w:kern w:val="0"/>
          <w:sz w:val="32"/>
          <w:szCs w:val="32"/>
        </w:rPr>
        <w:t>截至2020年12月31日，本单位共有车辆</w:t>
      </w:r>
      <w:r>
        <w:rPr>
          <w:rFonts w:hint="eastAsia" w:ascii="仿宋" w:hAnsi="仿宋" w:eastAsia="仿宋" w:cs="仿宋_GB2312"/>
          <w:color w:val="333333"/>
          <w:kern w:val="0"/>
          <w:sz w:val="32"/>
          <w:szCs w:val="32"/>
        </w:rPr>
        <w:t>1</w:t>
      </w:r>
      <w:r>
        <w:rPr>
          <w:rFonts w:ascii="仿宋" w:hAnsi="仿宋" w:eastAsia="仿宋" w:cs="仿宋_GB2312"/>
          <w:color w:val="333333"/>
          <w:kern w:val="0"/>
          <w:sz w:val="32"/>
          <w:szCs w:val="32"/>
        </w:rPr>
        <w:t>辆，其中，领导干部用车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辆、机要通信用车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辆、应急保障用车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辆、执法执勤用车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辆、特种专业技术用车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辆、其他用车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辆，其他用车主要是</w:t>
      </w:r>
      <w:r>
        <w:rPr>
          <w:rFonts w:hint="eastAsia" w:ascii="仿宋" w:hAnsi="仿宋" w:eastAsia="仿宋" w:cs="仿宋_GB2312"/>
          <w:color w:val="333333"/>
          <w:kern w:val="0"/>
          <w:sz w:val="32"/>
          <w:szCs w:val="32"/>
        </w:rPr>
        <w:t>无</w:t>
      </w:r>
      <w:r>
        <w:rPr>
          <w:rFonts w:ascii="仿宋" w:hAnsi="仿宋" w:eastAsia="仿宋" w:cs="仿宋_GB2312"/>
          <w:color w:val="333333"/>
          <w:kern w:val="0"/>
          <w:sz w:val="32"/>
          <w:szCs w:val="32"/>
        </w:rPr>
        <w:t>；单位价值50万元以上通用设备</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台（套）；单位价值100万元以上专用设备</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台（套）。</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五、部门整体支出绩效情况</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kern w:val="0"/>
          <w:sz w:val="32"/>
          <w:szCs w:val="32"/>
        </w:rPr>
        <w:t>一是突出学习教育重点。</w:t>
      </w:r>
      <w:r>
        <w:rPr>
          <w:rFonts w:hint="eastAsia" w:ascii="仿宋_GB2312" w:hAnsi="仿宋_GB2312" w:eastAsia="仿宋_GB2312" w:cs="仿宋_GB2312"/>
          <w:sz w:val="32"/>
          <w:szCs w:val="32"/>
        </w:rPr>
        <w:t>分3个批次组织全区正科实职干部、部分优秀年轻干部等共计230余名干部赴深圳市经理进修学院学习培训，覆盖面广，针对性强。扎实开展全区科级领导干部</w:t>
      </w:r>
      <w:r>
        <w:rPr>
          <w:rFonts w:hint="eastAsia" w:ascii="仿宋_GB2312" w:hAnsi="仿宋_GB2312" w:eastAsia="仿宋_GB2312" w:cs="仿宋_GB2312"/>
          <w:sz w:val="32"/>
          <w:szCs w:val="32"/>
          <w:lang w:eastAsia="zh-CN"/>
        </w:rPr>
        <w:t>党的十九大</w:t>
      </w:r>
      <w:r>
        <w:rPr>
          <w:rFonts w:hint="eastAsia" w:ascii="仿宋_GB2312" w:hAnsi="仿宋_GB2312" w:eastAsia="仿宋_GB2312" w:cs="仿宋_GB2312"/>
          <w:sz w:val="32"/>
          <w:szCs w:val="32"/>
        </w:rPr>
        <w:t>专题集中培训，并组织全区2000多名党员干部进行</w:t>
      </w:r>
      <w:r>
        <w:rPr>
          <w:rFonts w:hint="eastAsia" w:ascii="仿宋_GB2312" w:hAnsi="仿宋_GB2312" w:eastAsia="仿宋_GB2312" w:cs="仿宋_GB2312"/>
          <w:sz w:val="32"/>
          <w:szCs w:val="32"/>
          <w:lang w:eastAsia="zh-CN"/>
        </w:rPr>
        <w:t>党的十九大</w:t>
      </w:r>
      <w:r>
        <w:rPr>
          <w:rFonts w:hint="eastAsia" w:ascii="仿宋_GB2312" w:hAnsi="仿宋_GB2312" w:eastAsia="仿宋_GB2312" w:cs="仿宋_GB2312"/>
          <w:sz w:val="32"/>
          <w:szCs w:val="32"/>
        </w:rPr>
        <w:t>精神学习集中考试，确保了</w:t>
      </w:r>
      <w:r>
        <w:rPr>
          <w:rFonts w:hint="eastAsia" w:ascii="仿宋_GB2312" w:hAnsi="仿宋_GB2312" w:eastAsia="仿宋_GB2312" w:cs="仿宋_GB2312"/>
          <w:sz w:val="32"/>
          <w:szCs w:val="32"/>
          <w:lang w:eastAsia="zh-CN"/>
        </w:rPr>
        <w:t>党的十九大</w:t>
      </w:r>
      <w:r>
        <w:rPr>
          <w:rFonts w:hint="eastAsia" w:ascii="仿宋_GB2312" w:hAnsi="仿宋_GB2312" w:eastAsia="仿宋_GB2312" w:cs="仿宋_GB2312"/>
          <w:sz w:val="32"/>
          <w:szCs w:val="32"/>
        </w:rPr>
        <w:t>精神深入人心，落地生根。</w:t>
      </w:r>
    </w:p>
    <w:p>
      <w:pPr>
        <w:spacing w:line="560" w:lineRule="exact"/>
        <w:ind w:firstLine="643" w:firstLineChars="200"/>
        <w:rPr>
          <w:rFonts w:hint="eastAsia" w:ascii="仿宋" w:hAnsi="仿宋" w:eastAsia="仿宋"/>
          <w:sz w:val="32"/>
          <w:szCs w:val="32"/>
        </w:rPr>
      </w:pPr>
      <w:r>
        <w:rPr>
          <w:rFonts w:hint="eastAsia" w:ascii="楷体_GB2312" w:hAnsi="仿宋_GB2312" w:eastAsia="楷体_GB2312" w:cs="仿宋_GB2312"/>
          <w:b/>
          <w:kern w:val="0"/>
          <w:sz w:val="32"/>
          <w:szCs w:val="32"/>
        </w:rPr>
        <w:t>二是全面提升学习效果。</w:t>
      </w:r>
      <w:r>
        <w:rPr>
          <w:rFonts w:hint="eastAsia" w:ascii="仿宋_GB2312" w:hAnsi="仿宋_GB2312" w:eastAsia="仿宋_GB2312" w:cs="仿宋_GB2312"/>
          <w:sz w:val="32"/>
          <w:szCs w:val="32"/>
        </w:rPr>
        <w:t>注重年轻干部、女干部和党外干部及后备干部的培训密度和培训质量。选送了8名副处级干部、60余名科级干部参加市委党校举办的各类培训班。省委、市委两级调训到位率达100%；对全区党务干部分行业、分系统的开展精准培训，</w:t>
      </w:r>
      <w:r>
        <w:rPr>
          <w:rFonts w:hint="eastAsia" w:ascii="仿宋" w:hAnsi="仿宋" w:eastAsia="仿宋"/>
          <w:sz w:val="32"/>
          <w:szCs w:val="32"/>
        </w:rPr>
        <w:t>对全区237名社区工作者进行了为期2天的集中培训，并高规格举办村“两委”成员培训班，对162名村干部分两批开展了为期5天的集中学习，有效提升了综合素质。</w:t>
      </w:r>
    </w:p>
    <w:p>
      <w:pPr>
        <w:spacing w:line="560" w:lineRule="exact"/>
        <w:ind w:firstLine="643" w:firstLineChars="200"/>
        <w:rPr>
          <w:rFonts w:hint="eastAsia" w:ascii="仿宋" w:hAnsi="仿宋" w:eastAsia="仿宋"/>
          <w:sz w:val="32"/>
          <w:szCs w:val="32"/>
        </w:rPr>
      </w:pPr>
      <w:r>
        <w:rPr>
          <w:rFonts w:hint="eastAsia" w:ascii="楷体_GB2312" w:hAnsi="仿宋_GB2312" w:eastAsia="楷体_GB2312" w:cs="仿宋_GB2312"/>
          <w:b/>
          <w:kern w:val="0"/>
          <w:sz w:val="32"/>
          <w:szCs w:val="32"/>
          <w:lang w:eastAsia="zh-CN"/>
        </w:rPr>
        <w:t>三</w:t>
      </w:r>
      <w:r>
        <w:rPr>
          <w:rFonts w:hint="eastAsia" w:ascii="楷体_GB2312" w:hAnsi="仿宋_GB2312" w:eastAsia="楷体_GB2312" w:cs="仿宋_GB2312"/>
          <w:b/>
          <w:kern w:val="0"/>
          <w:sz w:val="32"/>
          <w:szCs w:val="32"/>
        </w:rPr>
        <w:t>是狠抓党员教育，党员干部队伍素质大提升。</w:t>
      </w:r>
      <w:r>
        <w:rPr>
          <w:rFonts w:hint="eastAsia" w:ascii="仿宋_GB2312" w:hAnsi="楷体_GB2312" w:eastAsia="仿宋_GB2312" w:cs="楷体_GB2312"/>
          <w:b/>
          <w:color w:val="000000"/>
          <w:kern w:val="0"/>
          <w:sz w:val="32"/>
          <w:szCs w:val="32"/>
        </w:rPr>
        <w:t>突破创新党员群众教育培训工作。</w:t>
      </w:r>
      <w:r>
        <w:rPr>
          <w:rFonts w:hint="eastAsia" w:ascii="仿宋_GB2312" w:hAnsi="楷体_GB2312" w:eastAsia="仿宋_GB2312" w:cs="楷体_GB2312"/>
          <w:color w:val="000000"/>
          <w:kern w:val="0"/>
          <w:sz w:val="32"/>
          <w:szCs w:val="32"/>
        </w:rPr>
        <w:t>建立</w:t>
      </w:r>
      <w:r>
        <w:rPr>
          <w:rFonts w:ascii="仿宋_GB2312" w:hAnsi="楷体_GB2312" w:eastAsia="仿宋_GB2312" w:cs="楷体_GB2312"/>
          <w:color w:val="000000"/>
          <w:kern w:val="0"/>
          <w:sz w:val="32"/>
          <w:szCs w:val="32"/>
        </w:rPr>
        <w:t>全省首家党员群众教育培训</w:t>
      </w:r>
      <w:r>
        <w:rPr>
          <w:rFonts w:hint="eastAsia" w:ascii="仿宋_GB2312" w:hAnsi="楷体_GB2312" w:eastAsia="仿宋_GB2312" w:cs="楷体_GB2312"/>
          <w:color w:val="000000"/>
          <w:kern w:val="0"/>
          <w:sz w:val="32"/>
          <w:szCs w:val="32"/>
        </w:rPr>
        <w:t>讲习所</w:t>
      </w:r>
      <w:r>
        <w:rPr>
          <w:rFonts w:ascii="仿宋_GB2312" w:hAnsi="楷体_GB2312" w:eastAsia="仿宋_GB2312" w:cs="楷体_GB2312"/>
          <w:color w:val="000000"/>
          <w:kern w:val="0"/>
          <w:sz w:val="32"/>
          <w:szCs w:val="32"/>
        </w:rPr>
        <w:t>，</w:t>
      </w:r>
      <w:r>
        <w:rPr>
          <w:rFonts w:hint="eastAsia" w:ascii="仿宋_GB2312" w:hAnsi="楷体_GB2312" w:eastAsia="仿宋_GB2312" w:cs="楷体_GB2312"/>
          <w:color w:val="000000"/>
          <w:kern w:val="0"/>
          <w:sz w:val="32"/>
          <w:szCs w:val="32"/>
        </w:rPr>
        <w:t>在</w:t>
      </w:r>
      <w:r>
        <w:rPr>
          <w:rFonts w:ascii="仿宋_GB2312" w:hAnsi="楷体_GB2312" w:eastAsia="仿宋_GB2312" w:cs="楷体_GB2312"/>
          <w:color w:val="000000"/>
          <w:kern w:val="0"/>
          <w:sz w:val="32"/>
          <w:szCs w:val="32"/>
        </w:rPr>
        <w:t>全区范围内建立讲习所（</w:t>
      </w:r>
      <w:r>
        <w:rPr>
          <w:rFonts w:hint="eastAsia" w:ascii="仿宋_GB2312" w:hAnsi="楷体_GB2312" w:eastAsia="仿宋_GB2312" w:cs="楷体_GB2312"/>
          <w:color w:val="000000"/>
          <w:kern w:val="0"/>
          <w:sz w:val="32"/>
          <w:szCs w:val="32"/>
        </w:rPr>
        <w:t>点</w:t>
      </w:r>
      <w:r>
        <w:rPr>
          <w:rFonts w:ascii="仿宋_GB2312" w:hAnsi="楷体_GB2312" w:eastAsia="仿宋_GB2312" w:cs="楷体_GB2312"/>
          <w:color w:val="000000"/>
          <w:kern w:val="0"/>
          <w:sz w:val="32"/>
          <w:szCs w:val="32"/>
        </w:rPr>
        <w:t>）</w:t>
      </w:r>
      <w:r>
        <w:rPr>
          <w:rFonts w:hint="eastAsia" w:ascii="仿宋_GB2312" w:hAnsi="楷体_GB2312" w:eastAsia="仿宋_GB2312" w:cs="楷体_GB2312"/>
          <w:color w:val="000000"/>
          <w:kern w:val="0"/>
          <w:sz w:val="32"/>
          <w:szCs w:val="32"/>
        </w:rPr>
        <w:t>213个</w:t>
      </w:r>
      <w:r>
        <w:rPr>
          <w:rFonts w:ascii="仿宋_GB2312" w:hAnsi="楷体_GB2312" w:eastAsia="仿宋_GB2312" w:cs="楷体_GB2312"/>
          <w:color w:val="000000"/>
          <w:kern w:val="0"/>
          <w:sz w:val="32"/>
          <w:szCs w:val="32"/>
        </w:rPr>
        <w:t>，讲习实践体验基地</w:t>
      </w:r>
      <w:r>
        <w:rPr>
          <w:rFonts w:hint="eastAsia" w:ascii="仿宋_GB2312" w:hAnsi="楷体_GB2312" w:eastAsia="仿宋_GB2312" w:cs="楷体_GB2312"/>
          <w:color w:val="000000"/>
          <w:kern w:val="0"/>
          <w:sz w:val="32"/>
          <w:szCs w:val="32"/>
        </w:rPr>
        <w:t>15个</w:t>
      </w:r>
      <w:r>
        <w:rPr>
          <w:rFonts w:ascii="仿宋_GB2312" w:hAnsi="楷体_GB2312" w:eastAsia="仿宋_GB2312" w:cs="楷体_GB2312"/>
          <w:color w:val="000000"/>
          <w:kern w:val="0"/>
          <w:sz w:val="32"/>
          <w:szCs w:val="32"/>
        </w:rPr>
        <w:t>，讲习广场、长廊等</w:t>
      </w:r>
      <w:r>
        <w:rPr>
          <w:rFonts w:hint="eastAsia" w:ascii="仿宋_GB2312" w:hAnsi="楷体_GB2312" w:eastAsia="仿宋_GB2312" w:cs="楷体_GB2312"/>
          <w:color w:val="000000"/>
          <w:kern w:val="0"/>
          <w:sz w:val="32"/>
          <w:szCs w:val="32"/>
        </w:rPr>
        <w:t>20个</w:t>
      </w:r>
      <w:r>
        <w:rPr>
          <w:rFonts w:ascii="仿宋_GB2312" w:hAnsi="楷体_GB2312" w:eastAsia="仿宋_GB2312" w:cs="楷体_GB2312"/>
          <w:color w:val="000000"/>
          <w:kern w:val="0"/>
          <w:sz w:val="32"/>
          <w:szCs w:val="32"/>
        </w:rPr>
        <w:t>，开展各类讲习活动</w:t>
      </w:r>
      <w:r>
        <w:rPr>
          <w:rFonts w:hint="eastAsia" w:ascii="仿宋_GB2312" w:hAnsi="楷体_GB2312" w:eastAsia="仿宋_GB2312" w:cs="楷体_GB2312"/>
          <w:color w:val="000000"/>
          <w:kern w:val="0"/>
          <w:sz w:val="32"/>
          <w:szCs w:val="32"/>
        </w:rPr>
        <w:t>1087场次。</w:t>
      </w:r>
      <w:r>
        <w:rPr>
          <w:rFonts w:hint="eastAsia" w:ascii="仿宋_GB2312" w:hAnsi="仿宋_GB2312" w:eastAsia="仿宋_GB2312" w:cs="仿宋_GB2312"/>
          <w:b/>
          <w:bCs/>
          <w:sz w:val="32"/>
          <w:szCs w:val="32"/>
        </w:rPr>
        <w:t>分类提高党务干部业务水平</w:t>
      </w:r>
      <w:r>
        <w:rPr>
          <w:rFonts w:hint="eastAsia" w:ascii="楷体_GB2312" w:hAnsi="华文中宋" w:eastAsia="楷体_GB2312" w:cs="华文中宋"/>
          <w:b/>
          <w:bCs/>
          <w:sz w:val="32"/>
          <w:szCs w:val="32"/>
        </w:rPr>
        <w:t>。</w:t>
      </w:r>
      <w:r>
        <w:rPr>
          <w:rFonts w:hint="eastAsia" w:ascii="仿宋" w:hAnsi="仿宋" w:eastAsia="仿宋"/>
          <w:sz w:val="32"/>
          <w:szCs w:val="32"/>
        </w:rPr>
        <w:t>对全区党务干部分行业</w:t>
      </w:r>
      <w:r>
        <w:rPr>
          <w:rFonts w:ascii="仿宋" w:hAnsi="仿宋" w:eastAsia="仿宋"/>
          <w:sz w:val="32"/>
          <w:szCs w:val="32"/>
        </w:rPr>
        <w:t>、分系统</w:t>
      </w:r>
      <w:r>
        <w:rPr>
          <w:rFonts w:hint="eastAsia" w:ascii="仿宋" w:hAnsi="仿宋" w:eastAsia="仿宋"/>
          <w:sz w:val="32"/>
          <w:szCs w:val="32"/>
        </w:rPr>
        <w:t>的开展精准培训。针对机关党建突出问题，启动“大培训、大比武、大提质、大循环”活动，党建质量全面提升，形成党建工作良性循环。</w:t>
      </w:r>
      <w:r>
        <w:rPr>
          <w:rFonts w:hint="eastAsia" w:ascii="仿宋_GB2312" w:hAnsi="华文中宋" w:eastAsia="仿宋_GB2312" w:cs="华文中宋"/>
          <w:b/>
          <w:bCs/>
          <w:sz w:val="32"/>
          <w:szCs w:val="32"/>
        </w:rPr>
        <w:t>全面开展党支部“五化”建设工作。</w:t>
      </w:r>
      <w:r>
        <w:rPr>
          <w:rFonts w:hint="eastAsia" w:ascii="仿宋" w:hAnsi="仿宋" w:eastAsia="仿宋"/>
          <w:sz w:val="32"/>
          <w:szCs w:val="32"/>
        </w:rPr>
        <w:t>全面摸排党支部阵地建设情况，召开</w:t>
      </w:r>
      <w:r>
        <w:rPr>
          <w:rFonts w:ascii="仿宋" w:hAnsi="仿宋" w:eastAsia="仿宋"/>
          <w:sz w:val="32"/>
          <w:szCs w:val="32"/>
        </w:rPr>
        <w:t>专题会议</w:t>
      </w:r>
      <w:r>
        <w:rPr>
          <w:rFonts w:hint="eastAsia" w:ascii="仿宋" w:hAnsi="仿宋" w:eastAsia="仿宋"/>
          <w:sz w:val="32"/>
          <w:szCs w:val="32"/>
        </w:rPr>
        <w:t>5次</w:t>
      </w:r>
      <w:r>
        <w:rPr>
          <w:rFonts w:ascii="仿宋" w:hAnsi="仿宋" w:eastAsia="仿宋"/>
          <w:sz w:val="32"/>
          <w:szCs w:val="32"/>
        </w:rPr>
        <w:t>，</w:t>
      </w:r>
      <w:r>
        <w:rPr>
          <w:rFonts w:hint="eastAsia" w:ascii="仿宋" w:hAnsi="仿宋" w:eastAsia="仿宋"/>
          <w:sz w:val="32"/>
          <w:szCs w:val="32"/>
        </w:rPr>
        <w:t>统筹规范七大类基层党组织工作制度，统一制作标示标牌，</w:t>
      </w:r>
      <w:r>
        <w:rPr>
          <w:rFonts w:ascii="仿宋" w:hAnsi="仿宋" w:eastAsia="仿宋"/>
          <w:sz w:val="32"/>
          <w:szCs w:val="32"/>
        </w:rPr>
        <w:t>打造珠晖“</w:t>
      </w:r>
      <w:r>
        <w:rPr>
          <w:rFonts w:hint="eastAsia" w:ascii="仿宋" w:hAnsi="仿宋" w:eastAsia="仿宋"/>
          <w:sz w:val="32"/>
          <w:szCs w:val="32"/>
        </w:rPr>
        <w:t>五化</w:t>
      </w:r>
      <w:r>
        <w:rPr>
          <w:rFonts w:ascii="仿宋" w:hAnsi="仿宋" w:eastAsia="仿宋"/>
          <w:sz w:val="32"/>
          <w:szCs w:val="32"/>
        </w:rPr>
        <w:t>”</w:t>
      </w:r>
      <w:r>
        <w:rPr>
          <w:rFonts w:hint="eastAsia" w:ascii="仿宋" w:hAnsi="仿宋" w:eastAsia="仿宋"/>
          <w:sz w:val="32"/>
          <w:szCs w:val="32"/>
        </w:rPr>
        <w:t>建设</w:t>
      </w:r>
      <w:r>
        <w:rPr>
          <w:rFonts w:ascii="仿宋" w:hAnsi="仿宋" w:eastAsia="仿宋"/>
          <w:sz w:val="32"/>
          <w:szCs w:val="32"/>
        </w:rPr>
        <w:t>名片</w:t>
      </w:r>
      <w:r>
        <w:rPr>
          <w:rFonts w:hint="eastAsia" w:ascii="仿宋" w:hAnsi="仿宋" w:eastAsia="仿宋"/>
          <w:sz w:val="32"/>
          <w:szCs w:val="32"/>
        </w:rPr>
        <w:t>。</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六、存在的主要问题</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1、业务经费年初预算安排不足。由于预算安排不足，缺口资金只能调剂其他资金使用。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2、年初预算编制不够精细。预算编制不够明确和细化，预算编制的合理性需要提高。</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七、改进措施和有关建议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建立长效机制，把绩效评价作为本局的日常性工作，建立绩效评价管理工作考核的长效机制。</w:t>
      </w:r>
    </w:p>
    <w:p>
      <w:pPr>
        <w:spacing w:line="560" w:lineRule="exact"/>
        <w:ind w:firstLine="640" w:firstLineChars="200"/>
        <w:rPr>
          <w:rFonts w:hint="eastAsia" w:ascii="仿宋" w:hAnsi="仿宋" w:eastAsia="仿宋"/>
          <w:sz w:val="32"/>
          <w:szCs w:val="32"/>
        </w:rPr>
      </w:pPr>
    </w:p>
    <w:p>
      <w:pPr>
        <w:spacing w:line="1" w:lineRule="exact"/>
        <w:jc w:val="center"/>
        <w:rPr>
          <w:rFonts w:hint="eastAsia" w:ascii="宋体" w:hAnsi="宋体" w:eastAsia="宋体" w:cs="宋体"/>
          <w:sz w:val="18"/>
          <w:szCs w:val="18"/>
          <w:lang w:eastAsia="zh-CN"/>
        </w:rPr>
      </w:pPr>
      <w:r>
        <w:rPr>
          <w:rFonts w:hint="eastAsia" w:cs="宋体"/>
          <w:color w:val="000000"/>
          <w:spacing w:val="0"/>
          <w:w w:val="100"/>
          <w:position w:val="0"/>
          <w:sz w:val="28"/>
          <w:szCs w:val="28"/>
          <w:lang w:eastAsia="zh-CN"/>
        </w:rPr>
        <w:t>1、根据“五化”建设要求，高标准完成基层党组织优化建设工作。2.加强全区特困党员的帮扶工作，用活用足党内关怀帮扶资金，做好七一帮扶慰问工作。3、加强农村党员远教站点建设，大力推进“农民大学生培养计划”，提升了农民文化水平和创业能力。积极开展党代表活动，引导党代表发挥作用。4.按照全年干部培训计划，科学安排，完成乡村干部培训工作。5.完成相关部门的协调工作、办理区委和区委领导交办的工作</w:t>
      </w: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ZjhkOGQzOTg4Yzc0YWZkMWZmNzhjMWJkZWMzMDgifQ=="/>
  </w:docVars>
  <w:rsids>
    <w:rsidRoot w:val="00172A27"/>
    <w:rsid w:val="02312FDE"/>
    <w:rsid w:val="030A3C3B"/>
    <w:rsid w:val="03737E75"/>
    <w:rsid w:val="0C505A2A"/>
    <w:rsid w:val="0F28291D"/>
    <w:rsid w:val="15224E9F"/>
    <w:rsid w:val="1810076A"/>
    <w:rsid w:val="19D038C4"/>
    <w:rsid w:val="1CB55F50"/>
    <w:rsid w:val="1F6E185C"/>
    <w:rsid w:val="205265F0"/>
    <w:rsid w:val="209C3810"/>
    <w:rsid w:val="236639AE"/>
    <w:rsid w:val="240B5B1C"/>
    <w:rsid w:val="290A0FAD"/>
    <w:rsid w:val="2C8F18D7"/>
    <w:rsid w:val="33B015AE"/>
    <w:rsid w:val="34567E76"/>
    <w:rsid w:val="3BE645DA"/>
    <w:rsid w:val="3F577654"/>
    <w:rsid w:val="423B1DB6"/>
    <w:rsid w:val="4999703E"/>
    <w:rsid w:val="4D301426"/>
    <w:rsid w:val="4D625F91"/>
    <w:rsid w:val="527541A2"/>
    <w:rsid w:val="52E51199"/>
    <w:rsid w:val="56C81120"/>
    <w:rsid w:val="56F073BC"/>
    <w:rsid w:val="571868EC"/>
    <w:rsid w:val="5B8E7E9F"/>
    <w:rsid w:val="62513BD9"/>
    <w:rsid w:val="688268EC"/>
    <w:rsid w:val="6F325C1B"/>
    <w:rsid w:val="7080699B"/>
    <w:rsid w:val="79941A63"/>
    <w:rsid w:val="799D53EE"/>
    <w:rsid w:val="7E944751"/>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7">
    <w:name w:val="page number"/>
    <w:basedOn w:val="6"/>
    <w:unhideWhenUsed/>
    <w:uiPriority w:val="0"/>
    <w:rPr>
      <w:rFonts w:hint="default"/>
      <w:sz w:val="24"/>
      <w:szCs w:val="24"/>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20">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21">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2">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3">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4">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5">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6">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7">
    <w:name w:val="bshare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歪脖子小树</cp:lastModifiedBy>
  <cp:lastPrinted>2020-05-18T02:11:00Z</cp:lastPrinted>
  <dcterms:modified xsi:type="dcterms:W3CDTF">2023-09-18T03:07:42Z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8DC61CCE1A5243D3A43F06A4D349B889_13</vt:lpwstr>
  </property>
</Properties>
</file>