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atLeast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附件1：</w:t>
      </w:r>
    </w:p>
    <w:p>
      <w:pPr>
        <w:adjustRightInd w:val="0"/>
        <w:snapToGrid w:val="0"/>
        <w:spacing w:line="400" w:lineRule="atLeast"/>
        <w:rPr>
          <w:rFonts w:hint="eastAsia"/>
          <w:sz w:val="32"/>
          <w:szCs w:val="32"/>
        </w:rPr>
      </w:pPr>
    </w:p>
    <w:p>
      <w:pPr>
        <w:pStyle w:val="4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珠晖区中小微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企业招用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毕业年度高校毕业生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享受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一次性吸纳就业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补贴申报审批表</w:t>
      </w:r>
    </w:p>
    <w:tbl>
      <w:tblPr>
        <w:tblStyle w:val="6"/>
        <w:tblpPr w:leftFromText="180" w:rightFromText="180" w:vertAnchor="text" w:horzAnchor="margin" w:tblpY="404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8"/>
        <w:gridCol w:w="1620"/>
        <w:gridCol w:w="2415"/>
        <w:gridCol w:w="574"/>
        <w:gridCol w:w="1343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申请单位名称（全称）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缴费所在地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   位   类   型</w:t>
            </w:r>
          </w:p>
        </w:tc>
        <w:tc>
          <w:tcPr>
            <w:tcW w:w="651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企业□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事业单位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申请单位联系地址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邮政编码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社会保险登记证号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组织机构代码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主管部门或总机构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隶属关系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0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法定代表人或负责人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    名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经办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人员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    名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身份证号码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工作部门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联系电话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联系电话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</w:rPr>
              <w:t>招用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lang w:eastAsia="zh-CN"/>
              </w:rPr>
              <w:t>毕业年度高校毕业生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</w:rPr>
              <w:t>人数</w:t>
            </w:r>
          </w:p>
        </w:tc>
        <w:tc>
          <w:tcPr>
            <w:tcW w:w="651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开户银行</w:t>
            </w:r>
          </w:p>
        </w:tc>
        <w:tc>
          <w:tcPr>
            <w:tcW w:w="651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户    名</w:t>
            </w:r>
          </w:p>
        </w:tc>
        <w:tc>
          <w:tcPr>
            <w:tcW w:w="651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银行基本帐号</w:t>
            </w:r>
          </w:p>
        </w:tc>
        <w:tc>
          <w:tcPr>
            <w:tcW w:w="651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4" w:hRule="atLeast"/>
        </w:trPr>
        <w:tc>
          <w:tcPr>
            <w:tcW w:w="960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人社部门审核意见</w:t>
            </w:r>
          </w:p>
        </w:tc>
        <w:tc>
          <w:tcPr>
            <w:tcW w:w="8178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经审核，该企业（单位）从     年  月起至     年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月招用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毕业年度高校毕业生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人，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共享受一次性吸纳就业补贴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元。</w:t>
            </w:r>
          </w:p>
          <w:p>
            <w:pPr>
              <w:spacing w:line="360" w:lineRule="exact"/>
              <w:ind w:firstLine="840" w:firstLineChars="3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ind w:firstLine="840" w:firstLineChars="35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经办人（章）           处（科、股）室负责人（章）  </w:t>
            </w:r>
          </w:p>
          <w:p>
            <w:pPr>
              <w:spacing w:line="360" w:lineRule="exact"/>
              <w:ind w:firstLine="840" w:firstLineChars="3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ind w:firstLine="840" w:firstLineChars="3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年    月    日（盖章）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注：此表一式三份。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珠晖区一次性吸纳就业补贴人员花名册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申报单位：（盖章）</w:t>
      </w:r>
    </w:p>
    <w:tbl>
      <w:tblPr>
        <w:tblStyle w:val="7"/>
        <w:tblW w:w="9360" w:type="dxa"/>
        <w:tblInd w:w="-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58"/>
        <w:gridCol w:w="852"/>
        <w:gridCol w:w="1329"/>
        <w:gridCol w:w="872"/>
        <w:gridCol w:w="967"/>
        <w:gridCol w:w="852"/>
        <w:gridCol w:w="1127"/>
        <w:gridCol w:w="742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9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58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329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872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毕业证年月日</w:t>
            </w:r>
          </w:p>
        </w:tc>
        <w:tc>
          <w:tcPr>
            <w:tcW w:w="96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劳动合同起止年月</w:t>
            </w:r>
          </w:p>
        </w:tc>
        <w:tc>
          <w:tcPr>
            <w:tcW w:w="852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2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上岗时间xxxx年x月）</w:t>
            </w:r>
          </w:p>
        </w:tc>
        <w:tc>
          <w:tcPr>
            <w:tcW w:w="742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连续在岗月数</w:t>
            </w:r>
          </w:p>
        </w:tc>
        <w:tc>
          <w:tcPr>
            <w:tcW w:w="752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09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58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29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96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52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0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0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0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4160" w:firstLineChars="13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NDExNDE0OTNkYTBlNGNmZjQ4Njg1ZWVhYzQ0MmMifQ=="/>
  </w:docVars>
  <w:rsids>
    <w:rsidRoot w:val="6A714A79"/>
    <w:rsid w:val="04020FC6"/>
    <w:rsid w:val="1D013957"/>
    <w:rsid w:val="32624194"/>
    <w:rsid w:val="34CC33F4"/>
    <w:rsid w:val="3B0C7A12"/>
    <w:rsid w:val="472F50B0"/>
    <w:rsid w:val="5220385A"/>
    <w:rsid w:val="5D6E3C82"/>
    <w:rsid w:val="61FA1D3A"/>
    <w:rsid w:val="6A714A79"/>
    <w:rsid w:val="6C487917"/>
    <w:rsid w:val="70CC58EB"/>
    <w:rsid w:val="72F60BBF"/>
    <w:rsid w:val="73FC2301"/>
    <w:rsid w:val="74BF59D0"/>
    <w:rsid w:val="7ACD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center"/>
    </w:pPr>
    <w:rPr>
      <w:rFonts w:eastAsia="创艺简标宋"/>
      <w:sz w:val="44"/>
      <w:szCs w:val="36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982</Words>
  <Characters>1015</Characters>
  <Lines>0</Lines>
  <Paragraphs>0</Paragraphs>
  <TotalTime>5</TotalTime>
  <ScaleCrop>false</ScaleCrop>
  <LinksUpToDate>false</LinksUpToDate>
  <CharactersWithSpaces>1158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2022-07-22T08:10:00Z</dcterms:created>
  <dc:creator>Administrator</dc:creator>
  <cp:lastModifiedBy>别哭我在.</cp:lastModifiedBy>
  <dcterms:modified xsi:type="dcterms:W3CDTF">2022-08-15T02:31:34Z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56D7E86719834627BBA1303181F18198</vt:lpwstr>
  </property>
</Properties>
</file>