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bookmarkStart w:id="0" w:name="bookmark9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w:t>
      </w:r>
      <w:r>
        <w:rPr>
          <w:rFonts w:hint="eastAsia" w:ascii="宋体" w:hAnsi="宋体" w:cs="宋体"/>
          <w:b/>
          <w:bCs/>
          <w:sz w:val="44"/>
          <w:szCs w:val="44"/>
          <w:lang w:eastAsia="zh-CN"/>
        </w:rPr>
        <w:t>珠晖区医疗保障局</w:t>
      </w:r>
      <w:r>
        <w:rPr>
          <w:rFonts w:hint="eastAsia" w:ascii="宋体" w:hAnsi="宋体" w:eastAsia="宋体" w:cs="宋体"/>
          <w:b/>
          <w:bCs/>
          <w:sz w:val="44"/>
          <w:szCs w:val="44"/>
        </w:rPr>
        <w:t>部门整体支出绩效自评报告</w:t>
      </w:r>
      <w:bookmarkStart w:id="5" w:name="_GoBack"/>
      <w:bookmarkEnd w:id="5"/>
    </w:p>
    <w:p>
      <w:pPr>
        <w:pStyle w:val="17"/>
        <w:tabs>
          <w:tab w:val="left" w:pos="867"/>
        </w:tabs>
        <w:spacing w:line="360" w:lineRule="auto"/>
        <w:ind w:firstLine="643" w:firstLineChars="200"/>
        <w:rPr>
          <w:rFonts w:hint="eastAsia" w:ascii="仿宋_GB2312" w:hAnsi="仿宋_GB2312" w:eastAsia="仿宋_GB2312" w:cs="仿宋_GB2312"/>
          <w:b/>
          <w:bCs/>
          <w:color w:val="000000"/>
          <w:sz w:val="32"/>
          <w:szCs w:val="32"/>
        </w:rPr>
      </w:pPr>
    </w:p>
    <w:p>
      <w:pPr>
        <w:pStyle w:val="17"/>
        <w:tabs>
          <w:tab w:val="left" w:pos="867"/>
        </w:tabs>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w:t>
      </w:r>
      <w:bookmarkEnd w:id="0"/>
      <w:r>
        <w:rPr>
          <w:rFonts w:hint="eastAsia" w:ascii="仿宋_GB2312" w:hAnsi="仿宋_GB2312" w:eastAsia="仿宋_GB2312" w:cs="仿宋_GB2312"/>
          <w:b/>
          <w:bCs/>
          <w:color w:val="000000"/>
          <w:sz w:val="32"/>
          <w:szCs w:val="32"/>
        </w:rPr>
        <w:t>、部门概况</w:t>
      </w:r>
    </w:p>
    <w:p>
      <w:pPr>
        <w:pStyle w:val="17"/>
        <w:tabs>
          <w:tab w:val="left" w:pos="1113"/>
        </w:tabs>
        <w:spacing w:line="360" w:lineRule="auto"/>
        <w:ind w:firstLine="500"/>
        <w:rPr>
          <w:color w:val="000000"/>
          <w:sz w:val="28"/>
          <w:szCs w:val="28"/>
          <w:lang w:val="en-US"/>
        </w:rPr>
      </w:pPr>
      <w:r>
        <w:rPr>
          <w:rFonts w:hint="eastAsia"/>
          <w:color w:val="000000"/>
          <w:sz w:val="28"/>
          <w:szCs w:val="28"/>
          <w:lang w:val="en-US"/>
        </w:rPr>
        <w:t>20</w:t>
      </w:r>
      <w:r>
        <w:rPr>
          <w:color w:val="000000"/>
          <w:sz w:val="28"/>
          <w:szCs w:val="28"/>
          <w:lang w:val="en-US"/>
        </w:rPr>
        <w:t>20</w:t>
      </w:r>
      <w:r>
        <w:rPr>
          <w:rFonts w:hint="eastAsia"/>
          <w:color w:val="000000"/>
          <w:sz w:val="28"/>
          <w:szCs w:val="28"/>
          <w:lang w:val="en-US"/>
        </w:rPr>
        <w:t>年度</w:t>
      </w:r>
      <w:r>
        <w:rPr>
          <w:rFonts w:hint="eastAsia"/>
          <w:color w:val="000000"/>
          <w:sz w:val="28"/>
          <w:szCs w:val="28"/>
        </w:rPr>
        <w:t>我局在职人员</w:t>
      </w:r>
      <w:r>
        <w:rPr>
          <w:rFonts w:hint="eastAsia"/>
          <w:color w:val="000000"/>
          <w:sz w:val="28"/>
          <w:szCs w:val="28"/>
          <w:lang w:val="en-US"/>
        </w:rPr>
        <w:t>1</w:t>
      </w:r>
      <w:r>
        <w:rPr>
          <w:color w:val="000000"/>
          <w:sz w:val="28"/>
          <w:szCs w:val="28"/>
          <w:lang w:val="en-US"/>
        </w:rPr>
        <w:t>4</w:t>
      </w:r>
      <w:r>
        <w:rPr>
          <w:rFonts w:hint="eastAsia"/>
          <w:color w:val="000000"/>
          <w:sz w:val="28"/>
          <w:szCs w:val="28"/>
          <w:lang w:val="en-US"/>
        </w:rPr>
        <w:t>人，下属财政全额事业单位一个，局机关设行政编制2名，局机关设办公室、待遇保障股、财务股、医药服务股、基金监管股。负责负责本区城镇职工医疗保险经办业务以及城乡居民医疗保险业务，管理医疗保险基金。</w:t>
      </w:r>
    </w:p>
    <w:p>
      <w:pPr>
        <w:pStyle w:val="17"/>
        <w:tabs>
          <w:tab w:val="left" w:pos="867"/>
        </w:tabs>
        <w:spacing w:line="360" w:lineRule="auto"/>
        <w:ind w:firstLine="643" w:firstLineChars="200"/>
        <w:rPr>
          <w:rFonts w:ascii="仿宋_GB2312" w:hAnsi="仿宋_GB2312" w:eastAsia="仿宋_GB2312" w:cs="仿宋_GB2312"/>
          <w:b/>
          <w:bCs/>
          <w:sz w:val="32"/>
          <w:szCs w:val="32"/>
        </w:rPr>
      </w:pPr>
      <w:bookmarkStart w:id="1" w:name="bookmark94"/>
      <w:r>
        <w:rPr>
          <w:rFonts w:hint="eastAsia" w:ascii="仿宋_GB2312" w:hAnsi="仿宋_GB2312" w:eastAsia="仿宋_GB2312" w:cs="仿宋_GB2312"/>
          <w:b/>
          <w:bCs/>
          <w:color w:val="000000"/>
          <w:sz w:val="32"/>
          <w:szCs w:val="32"/>
        </w:rPr>
        <w:t>二</w:t>
      </w:r>
      <w:bookmarkEnd w:id="1"/>
      <w:r>
        <w:rPr>
          <w:rFonts w:hint="eastAsia" w:ascii="仿宋_GB2312" w:hAnsi="仿宋_GB2312" w:eastAsia="仿宋_GB2312" w:cs="仿宋_GB2312"/>
          <w:b/>
          <w:bCs/>
          <w:color w:val="000000"/>
          <w:sz w:val="32"/>
          <w:szCs w:val="32"/>
        </w:rPr>
        <w:t>、部门整体支出管理及使用情况</w:t>
      </w:r>
    </w:p>
    <w:p>
      <w:pPr>
        <w:ind w:firstLine="560" w:firstLineChars="200"/>
        <w:rPr>
          <w:rFonts w:ascii="宋体" w:hAnsi="宋体" w:cs="宋体"/>
          <w:color w:val="000000"/>
          <w:sz w:val="28"/>
          <w:szCs w:val="28"/>
          <w:lang w:bidi="zh-CN"/>
        </w:rPr>
      </w:pPr>
      <w:bookmarkStart w:id="2" w:name="bookmark100"/>
      <w:r>
        <w:rPr>
          <w:rFonts w:hint="eastAsia" w:ascii="宋体" w:hAnsi="宋体" w:cs="宋体"/>
          <w:color w:val="000000"/>
          <w:sz w:val="28"/>
          <w:szCs w:val="28"/>
          <w:lang w:bidi="zh-CN"/>
        </w:rPr>
        <w:t>2</w:t>
      </w:r>
      <w:r>
        <w:rPr>
          <w:rFonts w:ascii="宋体" w:hAnsi="宋体" w:cs="宋体"/>
          <w:color w:val="000000"/>
          <w:sz w:val="28"/>
          <w:szCs w:val="28"/>
          <w:lang w:bidi="zh-CN"/>
        </w:rPr>
        <w:t>020</w:t>
      </w:r>
      <w:r>
        <w:rPr>
          <w:rFonts w:hint="eastAsia" w:ascii="宋体" w:hAnsi="宋体" w:cs="宋体"/>
          <w:color w:val="000000"/>
          <w:sz w:val="28"/>
          <w:szCs w:val="28"/>
          <w:lang w:bidi="zh-CN"/>
        </w:rPr>
        <w:t>年总收入</w:t>
      </w:r>
      <w:r>
        <w:rPr>
          <w:rFonts w:ascii="宋体" w:hAnsi="宋体" w:cs="宋体"/>
          <w:color w:val="000000"/>
          <w:sz w:val="28"/>
          <w:szCs w:val="28"/>
          <w:lang w:bidi="zh-CN"/>
        </w:rPr>
        <w:t>11970.9</w:t>
      </w:r>
      <w:r>
        <w:rPr>
          <w:rFonts w:hint="eastAsia" w:ascii="宋体" w:hAnsi="宋体" w:cs="宋体"/>
          <w:color w:val="000000"/>
          <w:sz w:val="28"/>
          <w:szCs w:val="28"/>
          <w:lang w:bidi="zh-CN"/>
        </w:rPr>
        <w:t>万元，总支出</w:t>
      </w:r>
      <w:r>
        <w:rPr>
          <w:rFonts w:ascii="宋体" w:hAnsi="宋体" w:cs="宋体"/>
          <w:color w:val="000000"/>
          <w:sz w:val="28"/>
          <w:szCs w:val="28"/>
          <w:lang w:bidi="zh-CN"/>
        </w:rPr>
        <w:t>12278.6</w:t>
      </w:r>
      <w:r>
        <w:rPr>
          <w:rFonts w:hint="eastAsia" w:ascii="宋体" w:hAnsi="宋体" w:cs="宋体"/>
          <w:color w:val="000000"/>
          <w:sz w:val="28"/>
          <w:szCs w:val="28"/>
          <w:lang w:bidi="zh-CN"/>
        </w:rPr>
        <w:t>万元。一般公共预算财政拨款收入</w:t>
      </w:r>
      <w:r>
        <w:rPr>
          <w:rFonts w:ascii="宋体" w:hAnsi="宋体" w:cs="宋体"/>
          <w:color w:val="000000"/>
          <w:sz w:val="28"/>
          <w:szCs w:val="28"/>
          <w:lang w:bidi="zh-CN"/>
        </w:rPr>
        <w:t>11929.1</w:t>
      </w:r>
      <w:r>
        <w:rPr>
          <w:rFonts w:hint="eastAsia" w:ascii="宋体" w:hAnsi="宋体" w:cs="宋体"/>
          <w:color w:val="000000"/>
          <w:sz w:val="28"/>
          <w:szCs w:val="28"/>
          <w:lang w:bidi="zh-CN"/>
        </w:rPr>
        <w:t>万元，一般公共预算财政拨款支出</w:t>
      </w:r>
      <w:r>
        <w:rPr>
          <w:rFonts w:ascii="宋体" w:hAnsi="宋体" w:cs="宋体"/>
          <w:color w:val="000000"/>
          <w:sz w:val="28"/>
          <w:szCs w:val="28"/>
          <w:lang w:bidi="zh-CN"/>
        </w:rPr>
        <w:t>12218.4</w:t>
      </w:r>
      <w:r>
        <w:rPr>
          <w:rFonts w:hint="eastAsia" w:ascii="宋体" w:hAnsi="宋体" w:cs="宋体"/>
          <w:color w:val="000000"/>
          <w:sz w:val="28"/>
          <w:szCs w:val="28"/>
          <w:lang w:bidi="zh-CN"/>
        </w:rPr>
        <w:t>万元，其中基本支出</w:t>
      </w:r>
      <w:r>
        <w:rPr>
          <w:rFonts w:ascii="宋体" w:hAnsi="宋体" w:cs="宋体"/>
          <w:color w:val="000000"/>
          <w:sz w:val="28"/>
          <w:szCs w:val="28"/>
          <w:lang w:bidi="zh-CN"/>
        </w:rPr>
        <w:t>282.08</w:t>
      </w:r>
      <w:r>
        <w:rPr>
          <w:rFonts w:hint="eastAsia" w:ascii="宋体" w:hAnsi="宋体" w:cs="宋体"/>
          <w:color w:val="000000"/>
          <w:sz w:val="28"/>
          <w:szCs w:val="28"/>
          <w:lang w:bidi="zh-CN"/>
        </w:rPr>
        <w:t>万元（人员经费支出</w:t>
      </w:r>
      <w:r>
        <w:rPr>
          <w:rFonts w:ascii="宋体" w:hAnsi="宋体" w:cs="宋体"/>
          <w:color w:val="000000"/>
          <w:sz w:val="28"/>
          <w:szCs w:val="28"/>
          <w:lang w:bidi="zh-CN"/>
        </w:rPr>
        <w:t>249.7</w:t>
      </w:r>
      <w:r>
        <w:rPr>
          <w:rFonts w:hint="eastAsia" w:ascii="宋体" w:hAnsi="宋体" w:cs="宋体"/>
          <w:color w:val="000000"/>
          <w:sz w:val="28"/>
          <w:szCs w:val="28"/>
          <w:lang w:bidi="zh-CN"/>
        </w:rPr>
        <w:t>万元，公用经费支出</w:t>
      </w:r>
      <w:r>
        <w:rPr>
          <w:rFonts w:ascii="宋体" w:hAnsi="宋体" w:cs="宋体"/>
          <w:color w:val="000000"/>
          <w:sz w:val="28"/>
          <w:szCs w:val="28"/>
          <w:lang w:bidi="zh-CN"/>
        </w:rPr>
        <w:t>32.38</w:t>
      </w:r>
      <w:r>
        <w:rPr>
          <w:rFonts w:hint="eastAsia" w:ascii="宋体" w:hAnsi="宋体" w:cs="宋体"/>
          <w:color w:val="000000"/>
          <w:sz w:val="28"/>
          <w:szCs w:val="28"/>
          <w:lang w:bidi="zh-CN"/>
        </w:rPr>
        <w:t>万元），项目支出</w:t>
      </w:r>
      <w:r>
        <w:rPr>
          <w:rFonts w:ascii="宋体" w:hAnsi="宋体" w:cs="宋体"/>
          <w:color w:val="000000"/>
          <w:sz w:val="28"/>
          <w:szCs w:val="28"/>
          <w:lang w:bidi="zh-CN"/>
        </w:rPr>
        <w:t>11936.3</w:t>
      </w:r>
      <w:r>
        <w:rPr>
          <w:rFonts w:hint="eastAsia" w:ascii="宋体" w:hAnsi="宋体" w:cs="宋体"/>
          <w:color w:val="000000"/>
          <w:sz w:val="28"/>
          <w:szCs w:val="28"/>
          <w:lang w:bidi="zh-CN"/>
        </w:rPr>
        <w:t>万元。</w:t>
      </w:r>
    </w:p>
    <w:p>
      <w:pPr>
        <w:pStyle w:val="17"/>
        <w:tabs>
          <w:tab w:val="left" w:pos="770"/>
        </w:tabs>
        <w:spacing w:line="360" w:lineRule="auto"/>
        <w:rPr>
          <w:color w:val="000000"/>
          <w:sz w:val="28"/>
          <w:szCs w:val="28"/>
          <w:lang w:val="en-US"/>
        </w:rPr>
      </w:pPr>
      <w:r>
        <w:rPr>
          <w:rFonts w:hint="eastAsia"/>
          <w:color w:val="000000"/>
          <w:sz w:val="28"/>
          <w:szCs w:val="28"/>
          <w:lang w:val="en-US"/>
        </w:rPr>
        <w:t>20</w:t>
      </w:r>
      <w:r>
        <w:rPr>
          <w:color w:val="000000"/>
          <w:sz w:val="28"/>
          <w:szCs w:val="28"/>
          <w:lang w:val="en-US"/>
        </w:rPr>
        <w:t>20</w:t>
      </w:r>
      <w:r>
        <w:rPr>
          <w:rFonts w:hint="eastAsia"/>
          <w:color w:val="000000"/>
          <w:sz w:val="28"/>
          <w:szCs w:val="28"/>
          <w:lang w:val="en-US"/>
        </w:rPr>
        <w:t>年没有发生“三公”经费支出。</w:t>
      </w:r>
    </w:p>
    <w:p>
      <w:pPr>
        <w:pStyle w:val="17"/>
        <w:tabs>
          <w:tab w:val="left" w:pos="867"/>
        </w:tabs>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w:t>
      </w:r>
      <w:bookmarkEnd w:id="2"/>
      <w:r>
        <w:rPr>
          <w:rFonts w:hint="eastAsia" w:ascii="仿宋_GB2312" w:hAnsi="仿宋_GB2312" w:eastAsia="仿宋_GB2312" w:cs="仿宋_GB2312"/>
          <w:b/>
          <w:bCs/>
          <w:color w:val="000000"/>
          <w:sz w:val="32"/>
          <w:szCs w:val="32"/>
        </w:rPr>
        <w:t>、部门项目组织实施情况</w:t>
      </w:r>
    </w:p>
    <w:p>
      <w:pPr>
        <w:pStyle w:val="17"/>
        <w:tabs>
          <w:tab w:val="left" w:pos="770"/>
        </w:tabs>
        <w:spacing w:line="360" w:lineRule="auto"/>
        <w:rPr>
          <w:color w:val="000000"/>
          <w:sz w:val="28"/>
          <w:szCs w:val="28"/>
        </w:rPr>
      </w:pPr>
      <w:bookmarkStart w:id="3" w:name="bookmark101"/>
      <w:r>
        <w:rPr>
          <w:rFonts w:hint="eastAsia"/>
          <w:color w:val="000000"/>
          <w:sz w:val="28"/>
          <w:szCs w:val="28"/>
          <w:lang w:val="en-US"/>
        </w:rPr>
        <w:t>完善按照单病种、按该月、按人头、按床位等多元化支付方式。针对定点医药机构的监管，主要采取协议管理、广泛宣传、自查自纠、日常监管、专项整治等方式进行。一是严格按照协议对定点医药机构进行规范和管理，建立动态准入退出机制，协议每年一签，对不符合要求和违反协议规定的机构可以立即暂停协议或者取消协议。二是加强监管政策宣传，通过举办大型宣传活动、张贴海报、医药机构电子显示屏、主干道横幅、发放宣传单等多种形式开展宣传活动，把国家医保政策和“打击欺诈骗保”宣传做到家喻户晓。</w:t>
      </w:r>
    </w:p>
    <w:bookmarkEnd w:id="3"/>
    <w:p>
      <w:pPr>
        <w:pStyle w:val="17"/>
        <w:tabs>
          <w:tab w:val="left" w:pos="886"/>
        </w:tabs>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四、部门整体支出绩效情况</w:t>
      </w:r>
    </w:p>
    <w:p>
      <w:pPr>
        <w:pStyle w:val="17"/>
        <w:tabs>
          <w:tab w:val="left" w:pos="886"/>
        </w:tabs>
        <w:spacing w:line="360" w:lineRule="auto"/>
        <w:ind w:firstLine="560" w:firstLineChars="200"/>
        <w:rPr>
          <w:color w:val="000000"/>
          <w:sz w:val="28"/>
          <w:szCs w:val="28"/>
          <w:lang w:val="en-US"/>
        </w:rPr>
      </w:pPr>
      <w:bookmarkStart w:id="4" w:name="bookmark103"/>
      <w:r>
        <w:rPr>
          <w:rFonts w:hint="eastAsia"/>
          <w:color w:val="000000"/>
          <w:sz w:val="28"/>
          <w:szCs w:val="28"/>
          <w:lang w:val="en-US"/>
        </w:rPr>
        <w:t>医疗保障工作是民生工程，事关人民群众的切身利益。按照“保基本，可持续，全覆盖，兜底线”的原则，不断强化医疗保障工作，发挥医保基金作用，有效地解决人民群众看病贵看病难的问题，初步实现了人民群众得实惠，社会得好评，政府得民生的良好效果。</w:t>
      </w:r>
    </w:p>
    <w:p>
      <w:pPr>
        <w:pStyle w:val="17"/>
        <w:tabs>
          <w:tab w:val="left" w:pos="886"/>
        </w:tabs>
        <w:spacing w:line="360" w:lineRule="auto"/>
        <w:ind w:firstLine="560" w:firstLineChars="200"/>
        <w:jc w:val="left"/>
        <w:rPr>
          <w:color w:val="000000"/>
          <w:sz w:val="28"/>
          <w:szCs w:val="28"/>
          <w:lang w:val="en-US"/>
        </w:rPr>
      </w:pPr>
      <w:r>
        <w:rPr>
          <w:rFonts w:hint="eastAsia"/>
          <w:color w:val="000000"/>
          <w:sz w:val="28"/>
          <w:szCs w:val="28"/>
          <w:lang w:val="en-US"/>
        </w:rPr>
        <w:t>（一）医保扶贫情况。全面落实“三保障”中的医疗扶贫，统筹基本医疗、大病保险、医疗救助、扶贫特惠保、医院减免、财政兜底六重保障。</w:t>
      </w:r>
    </w:p>
    <w:p>
      <w:pPr>
        <w:pStyle w:val="17"/>
        <w:tabs>
          <w:tab w:val="left" w:pos="886"/>
        </w:tabs>
        <w:spacing w:line="360" w:lineRule="auto"/>
        <w:ind w:firstLine="560" w:firstLineChars="200"/>
        <w:jc w:val="left"/>
        <w:rPr>
          <w:color w:val="000000"/>
          <w:sz w:val="28"/>
          <w:szCs w:val="28"/>
          <w:lang w:val="en-US"/>
        </w:rPr>
      </w:pPr>
      <w:r>
        <w:rPr>
          <w:rFonts w:hint="eastAsia"/>
          <w:color w:val="000000"/>
          <w:sz w:val="28"/>
          <w:szCs w:val="28"/>
          <w:lang w:val="en-US"/>
        </w:rPr>
        <w:t>（二）基金监管情况。我区目前共有定点医疗机构74家、（其中三级医院8家、二级医院32家、一级医院23家、乡镇卫生院4家、社区卫生服务中心7家）。定点药店74家。针对定点医药机构的监管，主要采取协议管理、广泛宣传、自查自纠、日常监管、专项整治等方式进行。一是严格按照协议对定点医药机构进行规范和管理，建立动态准入退出机制，协议每年一签，对不符合要求和违反协议规定的机构可以立即暂停协议或者取消协议。二是加强监管政策宣传，通过举办大型宣传活动、张贴海报、医药机构电子显示屏、主干道横幅、发放宣传单等多种形式开展宣传活动，把国家医保政策和“打击欺诈骗保”宣传做到家喻户晓。三是发动医药机构自查自纠，按照监管的要求将违规乱收的款项主动退至基金监管账户。四是开展专项整治打击“欺诈骗保”行为，从住院审批、现场查房、突击查房、电话随访等全方位监管，建立责任追究制度，情节严重的进行行政处罚或移交司法机关。</w:t>
      </w:r>
    </w:p>
    <w:bookmarkEnd w:id="4"/>
    <w:p>
      <w:pPr>
        <w:spacing w:line="1" w:lineRule="exact"/>
        <w:ind w:firstLine="200"/>
        <w:jc w:val="center"/>
        <w:rPr>
          <w:rFonts w:ascii="宋体" w:hAnsi="宋体" w:cs="宋体"/>
          <w:sz w:val="18"/>
          <w:szCs w:val="18"/>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C81120"/>
    <w:rsid w:val="000C344B"/>
    <w:rsid w:val="00281073"/>
    <w:rsid w:val="002D314E"/>
    <w:rsid w:val="004A0E4C"/>
    <w:rsid w:val="00527DB0"/>
    <w:rsid w:val="00563FB6"/>
    <w:rsid w:val="00790429"/>
    <w:rsid w:val="007F0D48"/>
    <w:rsid w:val="00903D36"/>
    <w:rsid w:val="009C5AD6"/>
    <w:rsid w:val="00AF20F3"/>
    <w:rsid w:val="00BE1C17"/>
    <w:rsid w:val="00CD6DAC"/>
    <w:rsid w:val="00D14279"/>
    <w:rsid w:val="00D6303C"/>
    <w:rsid w:val="00EE62A4"/>
    <w:rsid w:val="02312FDE"/>
    <w:rsid w:val="030A3C3B"/>
    <w:rsid w:val="03737E75"/>
    <w:rsid w:val="0B35631C"/>
    <w:rsid w:val="0C505A2A"/>
    <w:rsid w:val="0CEA10DF"/>
    <w:rsid w:val="0DCF742F"/>
    <w:rsid w:val="12B4074E"/>
    <w:rsid w:val="15224E9F"/>
    <w:rsid w:val="1810076A"/>
    <w:rsid w:val="1A185B0D"/>
    <w:rsid w:val="1CB55F50"/>
    <w:rsid w:val="1F6E185C"/>
    <w:rsid w:val="205265F0"/>
    <w:rsid w:val="236639AE"/>
    <w:rsid w:val="281F749A"/>
    <w:rsid w:val="290A0FAD"/>
    <w:rsid w:val="2A0222CB"/>
    <w:rsid w:val="2C8F18D7"/>
    <w:rsid w:val="33B015AE"/>
    <w:rsid w:val="39FE7598"/>
    <w:rsid w:val="3A970F0F"/>
    <w:rsid w:val="3BE645DA"/>
    <w:rsid w:val="3F577654"/>
    <w:rsid w:val="40902688"/>
    <w:rsid w:val="423B1DB6"/>
    <w:rsid w:val="4999703E"/>
    <w:rsid w:val="4D301426"/>
    <w:rsid w:val="4D625F91"/>
    <w:rsid w:val="527541A2"/>
    <w:rsid w:val="52E51199"/>
    <w:rsid w:val="56C81120"/>
    <w:rsid w:val="56F073BC"/>
    <w:rsid w:val="583238DB"/>
    <w:rsid w:val="5B8E7E9F"/>
    <w:rsid w:val="5C222FD4"/>
    <w:rsid w:val="62513BD9"/>
    <w:rsid w:val="67356573"/>
    <w:rsid w:val="688268EC"/>
    <w:rsid w:val="72962742"/>
    <w:rsid w:val="75227E34"/>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jc w:val="left"/>
    </w:pPr>
    <w:rPr>
      <w:kern w:val="0"/>
      <w:sz w:val="24"/>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8">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9">
    <w:name w:val="Body text|3"/>
    <w:basedOn w:val="1"/>
    <w:qFormat/>
    <w:uiPriority w:val="0"/>
    <w:pPr>
      <w:spacing w:before="220" w:after="720"/>
      <w:ind w:firstLine="520"/>
    </w:pPr>
    <w:rPr>
      <w:sz w:val="32"/>
      <w:szCs w:val="32"/>
    </w:rPr>
  </w:style>
  <w:style w:type="paragraph" w:customStyle="1" w:styleId="20">
    <w:name w:val="Other|1"/>
    <w:basedOn w:val="1"/>
    <w:qFormat/>
    <w:uiPriority w:val="0"/>
    <w:pPr>
      <w:spacing w:line="302" w:lineRule="exact"/>
    </w:pPr>
    <w:rPr>
      <w:rFonts w:ascii="宋体" w:hAnsi="宋体" w:cs="宋体"/>
      <w:sz w:val="19"/>
      <w:szCs w:val="19"/>
      <w:lang w:val="zh-CN" w:bidi="zh-CN"/>
    </w:rPr>
  </w:style>
  <w:style w:type="paragraph" w:customStyle="1" w:styleId="21">
    <w:name w:val="Body text|4"/>
    <w:basedOn w:val="1"/>
    <w:qFormat/>
    <w:uiPriority w:val="0"/>
    <w:pPr>
      <w:spacing w:after="60"/>
      <w:ind w:firstLine="320"/>
    </w:pPr>
    <w:rPr>
      <w:rFonts w:ascii="宋体" w:hAnsi="宋体" w:cs="宋体"/>
      <w:lang w:val="zh-CN" w:bidi="zh-CN"/>
    </w:rPr>
  </w:style>
  <w:style w:type="paragraph" w:customStyle="1" w:styleId="22">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3">
    <w:name w:val="Header or footer|2"/>
    <w:basedOn w:val="1"/>
    <w:qFormat/>
    <w:uiPriority w:val="0"/>
    <w:rPr>
      <w:sz w:val="20"/>
      <w:szCs w:val="20"/>
      <w:lang w:val="zh-CN" w:bidi="zh-CN"/>
    </w:rPr>
  </w:style>
  <w:style w:type="paragraph" w:customStyle="1" w:styleId="24">
    <w:name w:val="Body text|2"/>
    <w:basedOn w:val="1"/>
    <w:qFormat/>
    <w:uiPriority w:val="0"/>
    <w:pPr>
      <w:spacing w:after="470"/>
    </w:pPr>
    <w:rPr>
      <w:b/>
      <w:bCs/>
      <w:sz w:val="19"/>
      <w:szCs w:val="19"/>
      <w:lang w:val="zh-CN" w:bidi="zh-CN"/>
    </w:rPr>
  </w:style>
  <w:style w:type="character" w:customStyle="1" w:styleId="25">
    <w:name w:val="bsharetext"/>
    <w:basedOn w:val="5"/>
    <w:qFormat/>
    <w:uiPriority w:val="0"/>
  </w:style>
  <w:style w:type="paragraph" w:customStyle="1" w:styleId="2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3638</Words>
  <Characters>798</Characters>
  <Lines>6</Lines>
  <Paragraphs>8</Paragraphs>
  <TotalTime>3</TotalTime>
  <ScaleCrop>false</ScaleCrop>
  <LinksUpToDate>false</LinksUpToDate>
  <CharactersWithSpaces>4428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2021-06-21T07:35:00Z</dcterms:created>
  <dc:creator></dc:creator>
  <cp:lastModifiedBy>李皓</cp:lastModifiedBy>
  <cp:lastPrinted>2020-05-18T02:11:00Z</cp:lastPrinted>
  <dcterms:modified xsi:type="dcterms:W3CDTF">2021-12-09T09:41:32Z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B3D4108A64AD4921AACCEA9FDE9AC439</vt:lpwstr>
  </property>
</Properties>
</file>