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before="180" w:after="480"/>
        <w:jc w:val="left"/>
        <w:rPr>
          <w:rFonts w:ascii="仿宋" w:hAnsi="仿宋" w:eastAsia="仿宋" w:cs="仿宋"/>
          <w:sz w:val="24"/>
          <w:szCs w:val="24"/>
        </w:rPr>
      </w:pPr>
      <w:r>
        <w:rPr>
          <w:rFonts w:hint="eastAsia" w:ascii="仿宋" w:hAnsi="仿宋" w:eastAsia="仿宋" w:cs="仿宋"/>
          <w:b w:val="0"/>
          <w:bCs w:val="0"/>
          <w:color w:val="000000"/>
          <w:sz w:val="24"/>
          <w:szCs w:val="24"/>
        </w:rPr>
        <w:t>附件</w:t>
      </w:r>
      <w:r>
        <w:rPr>
          <w:rFonts w:hint="eastAsia" w:ascii="仿宋" w:hAnsi="仿宋" w:eastAsia="仿宋" w:cs="仿宋"/>
          <w:color w:val="000000"/>
          <w:sz w:val="24"/>
          <w:szCs w:val="24"/>
          <w:lang w:val="en-US" w:bidi="en-US"/>
        </w:rPr>
        <w:t>1-3</w:t>
      </w:r>
    </w:p>
    <w:p>
      <w:pPr>
        <w:pStyle w:val="20"/>
        <w:keepNext/>
        <w:keepLines/>
        <w:spacing w:after="260"/>
        <w:rPr>
          <w:color w:val="000000"/>
          <w:sz w:val="32"/>
          <w:szCs w:val="32"/>
          <w:lang w:val="en-US"/>
        </w:rPr>
      </w:pPr>
      <w:bookmarkStart w:id="0" w:name="bookmark90"/>
      <w:bookmarkStart w:id="1" w:name="bookmark88"/>
      <w:bookmarkStart w:id="2" w:name="bookmark89"/>
      <w:r>
        <w:rPr>
          <w:rFonts w:hint="eastAsia"/>
          <w:color w:val="000000"/>
          <w:sz w:val="32"/>
          <w:szCs w:val="32"/>
          <w:lang w:val="en-US"/>
        </w:rPr>
        <w:t>珠晖区人力资源服务中心</w:t>
      </w:r>
      <w:r>
        <w:rPr>
          <w:rFonts w:hint="eastAsia"/>
          <w:color w:val="000000"/>
          <w:sz w:val="32"/>
          <w:szCs w:val="32"/>
          <w:lang w:val="en-US" w:eastAsia="zh-CN"/>
        </w:rPr>
        <w:t>2020</w:t>
      </w:r>
      <w:r>
        <w:rPr>
          <w:rFonts w:hint="eastAsia"/>
          <w:color w:val="000000"/>
          <w:sz w:val="32"/>
          <w:szCs w:val="32"/>
          <w:lang w:val="en-US"/>
        </w:rPr>
        <w:t>年部门整体支出绩效报告</w:t>
      </w:r>
      <w:bookmarkEnd w:id="0"/>
      <w:bookmarkEnd w:id="1"/>
      <w:bookmarkEnd w:id="2"/>
    </w:p>
    <w:p>
      <w:pPr>
        <w:pStyle w:val="19"/>
        <w:tabs>
          <w:tab w:val="left" w:pos="867"/>
        </w:tabs>
        <w:spacing w:line="360" w:lineRule="auto"/>
        <w:rPr>
          <w:sz w:val="28"/>
          <w:szCs w:val="28"/>
        </w:rPr>
      </w:pPr>
      <w:bookmarkStart w:id="3" w:name="bookmark91"/>
      <w:r>
        <w:rPr>
          <w:rFonts w:hint="eastAsia"/>
          <w:color w:val="000000"/>
          <w:sz w:val="28"/>
          <w:szCs w:val="28"/>
        </w:rPr>
        <w:t>一</w:t>
      </w:r>
      <w:bookmarkEnd w:id="3"/>
      <w:r>
        <w:rPr>
          <w:rFonts w:hint="eastAsia"/>
          <w:color w:val="000000"/>
          <w:sz w:val="28"/>
          <w:szCs w:val="28"/>
        </w:rPr>
        <w:t>、部门概况</w:t>
      </w:r>
    </w:p>
    <w:p>
      <w:pPr>
        <w:pStyle w:val="19"/>
        <w:tabs>
          <w:tab w:val="left" w:pos="1113"/>
        </w:tabs>
        <w:spacing w:line="360" w:lineRule="auto"/>
        <w:ind w:firstLine="500"/>
        <w:rPr>
          <w:color w:val="000000"/>
          <w:sz w:val="28"/>
          <w:szCs w:val="28"/>
        </w:rPr>
      </w:pPr>
      <w:bookmarkStart w:id="4" w:name="bookmark92"/>
      <w:r>
        <w:rPr>
          <w:rFonts w:hint="eastAsia"/>
          <w:color w:val="000000"/>
          <w:sz w:val="28"/>
          <w:szCs w:val="28"/>
        </w:rPr>
        <w:t>（</w:t>
      </w:r>
      <w:bookmarkEnd w:id="4"/>
      <w:r>
        <w:rPr>
          <w:rFonts w:hint="eastAsia"/>
          <w:color w:val="000000"/>
          <w:sz w:val="28"/>
          <w:szCs w:val="28"/>
        </w:rPr>
        <w:t>一）部门基本情况</w:t>
      </w:r>
    </w:p>
    <w:p>
      <w:pPr>
        <w:ind w:firstLine="560" w:firstLineChars="200"/>
        <w:jc w:val="left"/>
        <w:rPr>
          <w:rFonts w:ascii="宋体" w:hAnsi="宋体" w:cs="宋体"/>
          <w:color w:val="000000"/>
          <w:sz w:val="28"/>
          <w:szCs w:val="28"/>
          <w:lang w:val="zh-CN" w:bidi="zh-CN"/>
        </w:rPr>
      </w:pPr>
      <w:r>
        <w:rPr>
          <w:rFonts w:hint="eastAsia" w:ascii="宋体" w:hAnsi="宋体" w:cs="宋体"/>
          <w:color w:val="000000"/>
          <w:sz w:val="28"/>
          <w:szCs w:val="28"/>
          <w:lang w:val="zh-CN" w:bidi="zh-CN"/>
        </w:rPr>
        <w:t>珠晖区人力资源服务中心有编制数7人，2020年末实际在职人数4人。</w:t>
      </w:r>
      <w:r>
        <w:rPr>
          <w:rFonts w:ascii="宋体" w:hAnsi="宋体" w:cs="宋体"/>
          <w:color w:val="000000"/>
          <w:sz w:val="28"/>
          <w:szCs w:val="28"/>
          <w:lang w:val="zh-CN" w:bidi="zh-CN"/>
        </w:rPr>
        <w:t>珠晖区人力资源服务中心是隶属于人力资源和社会保障局的事业单位，承担</w:t>
      </w:r>
      <w:r>
        <w:rPr>
          <w:rFonts w:hint="eastAsia" w:ascii="宋体" w:hAnsi="宋体" w:cs="宋体"/>
          <w:color w:val="000000"/>
          <w:sz w:val="28"/>
          <w:szCs w:val="28"/>
          <w:lang w:val="zh-CN" w:bidi="zh-CN"/>
        </w:rPr>
        <w:t>珠晖区</w:t>
      </w:r>
      <w:r>
        <w:rPr>
          <w:rFonts w:ascii="宋体" w:hAnsi="宋体" w:cs="宋体"/>
          <w:color w:val="000000"/>
          <w:sz w:val="28"/>
          <w:szCs w:val="28"/>
          <w:lang w:val="zh-CN" w:bidi="zh-CN"/>
        </w:rPr>
        <w:t>人力资源和社会保障局授权委托的指导开展</w:t>
      </w:r>
      <w:r>
        <w:rPr>
          <w:rFonts w:hint="eastAsia" w:ascii="宋体" w:hAnsi="宋体" w:cs="宋体"/>
          <w:color w:val="000000"/>
          <w:sz w:val="28"/>
          <w:szCs w:val="28"/>
          <w:lang w:val="zh-CN" w:bidi="zh-CN"/>
        </w:rPr>
        <w:t>全区人力资源引进和交流工作</w:t>
      </w:r>
      <w:r>
        <w:rPr>
          <w:rFonts w:ascii="宋体" w:hAnsi="宋体" w:cs="宋体"/>
          <w:color w:val="000000"/>
          <w:sz w:val="28"/>
          <w:szCs w:val="28"/>
          <w:lang w:val="zh-CN" w:bidi="zh-CN"/>
        </w:rPr>
        <w:t>。</w:t>
      </w:r>
      <w:r>
        <w:rPr>
          <w:rFonts w:hint="eastAsia" w:ascii="宋体" w:hAnsi="宋体" w:cs="宋体"/>
          <w:color w:val="000000"/>
          <w:sz w:val="28"/>
          <w:szCs w:val="28"/>
          <w:lang w:val="zh-CN" w:bidi="zh-CN"/>
        </w:rPr>
        <w:t>主要职能：</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1、宣传、贯彻执行党和国家有关人力资源服务工作的方针、政策、法律、法规。</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2、拟定全县人力资源服务工作规划并组织实施；管理、监督、指导全县人力资源开发服务与人力资源市场建设工作。</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3、负责全县人力资源引进和交流工作；组织实施全县专业技术骨干人才出国（境）和国外机构在全县招聘专业技能骨干人才的管理工作；开展国际人才交流与合作。</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4、负责全县劳动用工管理，指导并组织剩余劳动力跨地区流动，组织劳务交流，开展劳务输出。</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5、负责人事代理、人事档案管理工作；按照有关规定办理全县事业编制新进人员的聘用手续。</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6、负责收集全县人力资源和公共就业信息，建立和完善全县人力资源信息库；收集、发布用工和求职信息，为用工单位和求职者提供招聘和就业服务。</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7、负责组织和管理人力资源业务范围内的培训工作，开展人才测评服务。</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8、承办上级主管部门交办的其他事项。</w:t>
      </w:r>
    </w:p>
    <w:p>
      <w:pPr>
        <w:pStyle w:val="19"/>
        <w:tabs>
          <w:tab w:val="left" w:pos="1113"/>
        </w:tabs>
        <w:spacing w:line="360" w:lineRule="auto"/>
        <w:ind w:firstLine="500"/>
        <w:rPr>
          <w:color w:val="000000"/>
          <w:sz w:val="28"/>
          <w:szCs w:val="28"/>
          <w:lang w:val="en-US"/>
        </w:rPr>
      </w:pPr>
    </w:p>
    <w:p>
      <w:pPr>
        <w:pStyle w:val="19"/>
        <w:tabs>
          <w:tab w:val="left" w:pos="1101"/>
        </w:tabs>
        <w:spacing w:line="360" w:lineRule="auto"/>
        <w:ind w:firstLine="500"/>
        <w:rPr>
          <w:color w:val="000000"/>
          <w:sz w:val="28"/>
          <w:szCs w:val="28"/>
        </w:rPr>
      </w:pPr>
      <w:bookmarkStart w:id="5" w:name="bookmark93"/>
      <w:r>
        <w:rPr>
          <w:rFonts w:hint="eastAsia"/>
          <w:color w:val="000000"/>
          <w:sz w:val="28"/>
          <w:szCs w:val="28"/>
        </w:rPr>
        <w:t>（</w:t>
      </w:r>
      <w:bookmarkEnd w:id="5"/>
      <w:r>
        <w:rPr>
          <w:rFonts w:hint="eastAsia"/>
          <w:color w:val="000000"/>
          <w:sz w:val="28"/>
          <w:szCs w:val="28"/>
        </w:rPr>
        <w:t>二）部门整体支出规模</w:t>
      </w:r>
    </w:p>
    <w:p>
      <w:pPr>
        <w:pStyle w:val="19"/>
        <w:tabs>
          <w:tab w:val="left" w:pos="1101"/>
        </w:tabs>
        <w:spacing w:line="360" w:lineRule="auto"/>
        <w:ind w:firstLine="500"/>
        <w:rPr>
          <w:sz w:val="28"/>
          <w:szCs w:val="28"/>
        </w:rPr>
      </w:pPr>
      <w:r>
        <w:rPr>
          <w:rFonts w:hint="eastAsia"/>
          <w:color w:val="000000"/>
          <w:sz w:val="28"/>
          <w:szCs w:val="28"/>
          <w:lang w:eastAsia="zh-CN"/>
        </w:rPr>
        <w:t>2020</w:t>
      </w:r>
      <w:r>
        <w:rPr>
          <w:rFonts w:hint="eastAsia"/>
          <w:color w:val="000000"/>
          <w:sz w:val="28"/>
          <w:szCs w:val="28"/>
        </w:rPr>
        <w:t>年全年支出</w:t>
      </w:r>
      <w:r>
        <w:rPr>
          <w:rFonts w:hint="eastAsia"/>
          <w:color w:val="000000"/>
          <w:sz w:val="28"/>
          <w:szCs w:val="28"/>
          <w:lang w:val="en-US" w:eastAsia="zh-CN"/>
        </w:rPr>
        <w:t>25.01</w:t>
      </w:r>
      <w:r>
        <w:rPr>
          <w:rFonts w:hint="eastAsia"/>
          <w:color w:val="000000"/>
          <w:sz w:val="28"/>
          <w:szCs w:val="28"/>
        </w:rPr>
        <w:t>万，人员经费</w:t>
      </w:r>
      <w:r>
        <w:rPr>
          <w:rFonts w:hint="eastAsia"/>
          <w:color w:val="000000"/>
          <w:sz w:val="28"/>
          <w:szCs w:val="28"/>
          <w:lang w:val="en-US" w:eastAsia="zh-CN"/>
        </w:rPr>
        <w:t>17.4</w:t>
      </w:r>
      <w:r>
        <w:rPr>
          <w:rFonts w:hint="eastAsia"/>
          <w:color w:val="000000"/>
          <w:sz w:val="28"/>
          <w:szCs w:val="28"/>
        </w:rPr>
        <w:t>万元，</w:t>
      </w:r>
      <w:r>
        <w:rPr>
          <w:rFonts w:hint="eastAsia"/>
          <w:color w:val="000000"/>
          <w:sz w:val="28"/>
          <w:szCs w:val="28"/>
          <w:lang w:val="en-US" w:eastAsia="zh-CN"/>
        </w:rPr>
        <w:t>包括基本工资、奖金、机关养老保险缴费、住房公积金和医疗费；</w:t>
      </w:r>
      <w:r>
        <w:rPr>
          <w:rFonts w:hint="eastAsia"/>
          <w:color w:val="000000"/>
          <w:sz w:val="28"/>
          <w:szCs w:val="28"/>
        </w:rPr>
        <w:t>日常公用经费</w:t>
      </w:r>
      <w:r>
        <w:rPr>
          <w:rFonts w:hint="eastAsia"/>
          <w:color w:val="000000"/>
          <w:sz w:val="28"/>
          <w:szCs w:val="28"/>
          <w:lang w:val="en-US" w:eastAsia="zh-CN"/>
        </w:rPr>
        <w:t>7.61</w:t>
      </w:r>
      <w:r>
        <w:rPr>
          <w:rFonts w:hint="eastAsia"/>
          <w:color w:val="000000"/>
          <w:sz w:val="28"/>
          <w:szCs w:val="28"/>
        </w:rPr>
        <w:t>元</w:t>
      </w:r>
      <w:r>
        <w:rPr>
          <w:rFonts w:hint="eastAsia"/>
          <w:color w:val="000000"/>
          <w:sz w:val="28"/>
          <w:szCs w:val="28"/>
          <w:lang w:eastAsia="zh-CN"/>
        </w:rPr>
        <w:t>，</w:t>
      </w:r>
      <w:r>
        <w:rPr>
          <w:rFonts w:hint="eastAsia"/>
          <w:color w:val="000000"/>
          <w:sz w:val="28"/>
          <w:szCs w:val="28"/>
          <w:lang w:val="en-US" w:eastAsia="zh-CN"/>
        </w:rPr>
        <w:t>包括劳务费和其他交通费</w:t>
      </w:r>
      <w:r>
        <w:rPr>
          <w:rFonts w:hint="eastAsia"/>
          <w:color w:val="000000"/>
          <w:sz w:val="28"/>
          <w:szCs w:val="28"/>
        </w:rPr>
        <w:t>。</w:t>
      </w:r>
    </w:p>
    <w:p>
      <w:pPr>
        <w:pStyle w:val="19"/>
        <w:tabs>
          <w:tab w:val="left" w:pos="867"/>
        </w:tabs>
        <w:spacing w:line="360" w:lineRule="auto"/>
        <w:rPr>
          <w:sz w:val="28"/>
          <w:szCs w:val="28"/>
        </w:rPr>
      </w:pPr>
      <w:bookmarkStart w:id="6" w:name="bookmark94"/>
      <w:r>
        <w:rPr>
          <w:rFonts w:hint="eastAsia"/>
          <w:color w:val="000000"/>
          <w:sz w:val="28"/>
          <w:szCs w:val="28"/>
        </w:rPr>
        <w:t>二</w:t>
      </w:r>
      <w:bookmarkEnd w:id="6"/>
      <w:r>
        <w:rPr>
          <w:rFonts w:hint="eastAsia"/>
          <w:color w:val="000000"/>
          <w:sz w:val="28"/>
          <w:szCs w:val="28"/>
        </w:rPr>
        <w:t>、部门整体支出管理及使用情况</w:t>
      </w:r>
    </w:p>
    <w:p>
      <w:pPr>
        <w:pStyle w:val="19"/>
        <w:tabs>
          <w:tab w:val="left" w:pos="1111"/>
        </w:tabs>
        <w:spacing w:line="360" w:lineRule="auto"/>
        <w:ind w:firstLine="500"/>
        <w:jc w:val="left"/>
        <w:rPr>
          <w:sz w:val="28"/>
          <w:szCs w:val="28"/>
        </w:rPr>
      </w:pPr>
      <w:bookmarkStart w:id="7" w:name="bookmark95"/>
      <w:r>
        <w:rPr>
          <w:rFonts w:hint="eastAsia"/>
          <w:color w:val="000000"/>
          <w:sz w:val="28"/>
          <w:szCs w:val="28"/>
        </w:rPr>
        <w:t>（</w:t>
      </w:r>
      <w:bookmarkEnd w:id="7"/>
      <w:r>
        <w:rPr>
          <w:rFonts w:hint="eastAsia"/>
          <w:color w:val="000000"/>
          <w:sz w:val="28"/>
          <w:szCs w:val="28"/>
        </w:rPr>
        <w:t>一）基本支出</w:t>
      </w:r>
    </w:p>
    <w:p>
      <w:pPr>
        <w:pStyle w:val="19"/>
        <w:tabs>
          <w:tab w:val="left" w:pos="1101"/>
        </w:tabs>
        <w:spacing w:line="360" w:lineRule="auto"/>
        <w:ind w:firstLine="500"/>
        <w:rPr>
          <w:sz w:val="28"/>
          <w:szCs w:val="28"/>
        </w:rPr>
      </w:pPr>
      <w:r>
        <w:rPr>
          <w:rFonts w:hint="eastAsia"/>
          <w:color w:val="000000"/>
          <w:sz w:val="28"/>
          <w:szCs w:val="28"/>
          <w:lang w:eastAsia="zh-CN"/>
        </w:rPr>
        <w:t>2020</w:t>
      </w:r>
      <w:r>
        <w:rPr>
          <w:rFonts w:hint="eastAsia"/>
          <w:color w:val="000000"/>
          <w:sz w:val="28"/>
          <w:szCs w:val="28"/>
        </w:rPr>
        <w:t>年基本支出</w:t>
      </w:r>
      <w:r>
        <w:rPr>
          <w:rFonts w:hint="eastAsia"/>
          <w:color w:val="000000"/>
          <w:sz w:val="28"/>
          <w:szCs w:val="28"/>
          <w:lang w:val="en-US" w:eastAsia="zh-CN"/>
        </w:rPr>
        <w:t>25.01</w:t>
      </w:r>
      <w:r>
        <w:rPr>
          <w:rFonts w:hint="eastAsia"/>
          <w:color w:val="000000"/>
          <w:sz w:val="28"/>
          <w:szCs w:val="28"/>
        </w:rPr>
        <w:t>万，人员经费</w:t>
      </w:r>
      <w:r>
        <w:rPr>
          <w:rFonts w:hint="eastAsia"/>
          <w:color w:val="000000"/>
          <w:sz w:val="28"/>
          <w:szCs w:val="28"/>
          <w:lang w:val="en-US" w:eastAsia="zh-CN"/>
        </w:rPr>
        <w:t>17.4</w:t>
      </w:r>
      <w:r>
        <w:rPr>
          <w:rFonts w:hint="eastAsia"/>
          <w:color w:val="000000"/>
          <w:sz w:val="28"/>
          <w:szCs w:val="28"/>
        </w:rPr>
        <w:t>万元，</w:t>
      </w:r>
      <w:r>
        <w:rPr>
          <w:rFonts w:hint="eastAsia"/>
          <w:color w:val="000000"/>
          <w:sz w:val="28"/>
          <w:szCs w:val="28"/>
          <w:lang w:val="en-US" w:eastAsia="zh-CN"/>
        </w:rPr>
        <w:t>包括基本工资、奖金、机关养老保险缴费、住房公积金和医疗费；</w:t>
      </w:r>
      <w:r>
        <w:rPr>
          <w:rFonts w:hint="eastAsia"/>
          <w:color w:val="000000"/>
          <w:sz w:val="28"/>
          <w:szCs w:val="28"/>
        </w:rPr>
        <w:t>日常公用经费</w:t>
      </w:r>
      <w:r>
        <w:rPr>
          <w:rFonts w:hint="eastAsia"/>
          <w:color w:val="000000"/>
          <w:sz w:val="28"/>
          <w:szCs w:val="28"/>
          <w:lang w:val="en-US" w:eastAsia="zh-CN"/>
        </w:rPr>
        <w:t>7.61</w:t>
      </w:r>
      <w:r>
        <w:rPr>
          <w:rFonts w:hint="eastAsia"/>
          <w:color w:val="000000"/>
          <w:sz w:val="28"/>
          <w:szCs w:val="28"/>
        </w:rPr>
        <w:t>万元</w:t>
      </w:r>
      <w:r>
        <w:rPr>
          <w:rFonts w:hint="eastAsia"/>
          <w:color w:val="000000"/>
          <w:sz w:val="28"/>
          <w:szCs w:val="28"/>
          <w:lang w:eastAsia="zh-CN"/>
        </w:rPr>
        <w:t>，</w:t>
      </w:r>
      <w:r>
        <w:rPr>
          <w:rFonts w:hint="eastAsia"/>
          <w:color w:val="000000"/>
          <w:sz w:val="28"/>
          <w:szCs w:val="28"/>
          <w:lang w:val="en-US" w:eastAsia="zh-CN"/>
        </w:rPr>
        <w:t>包括劳务费和其他交通费</w:t>
      </w:r>
      <w:r>
        <w:rPr>
          <w:rFonts w:hint="eastAsia"/>
          <w:color w:val="000000"/>
          <w:sz w:val="28"/>
          <w:szCs w:val="28"/>
        </w:rPr>
        <w:t>。</w:t>
      </w:r>
    </w:p>
    <w:p>
      <w:pPr>
        <w:pStyle w:val="19"/>
        <w:spacing w:line="360" w:lineRule="auto"/>
        <w:rPr>
          <w:sz w:val="28"/>
          <w:szCs w:val="28"/>
        </w:rPr>
      </w:pPr>
    </w:p>
    <w:p>
      <w:pPr>
        <w:pStyle w:val="19"/>
        <w:tabs>
          <w:tab w:val="left" w:pos="1111"/>
        </w:tabs>
        <w:spacing w:line="360" w:lineRule="auto"/>
        <w:ind w:firstLine="500"/>
        <w:jc w:val="left"/>
        <w:rPr>
          <w:sz w:val="28"/>
          <w:szCs w:val="28"/>
        </w:rPr>
      </w:pPr>
      <w:bookmarkStart w:id="8" w:name="bookmark96"/>
      <w:r>
        <w:rPr>
          <w:rFonts w:hint="eastAsia"/>
          <w:color w:val="000000"/>
          <w:sz w:val="28"/>
          <w:szCs w:val="28"/>
        </w:rPr>
        <w:t>（</w:t>
      </w:r>
      <w:bookmarkEnd w:id="8"/>
      <w:r>
        <w:rPr>
          <w:rFonts w:hint="eastAsia"/>
          <w:color w:val="000000"/>
          <w:sz w:val="28"/>
          <w:szCs w:val="28"/>
        </w:rPr>
        <w:t>二）项目支出</w:t>
      </w:r>
    </w:p>
    <w:p>
      <w:pPr>
        <w:pStyle w:val="19"/>
        <w:tabs>
          <w:tab w:val="left" w:pos="767"/>
        </w:tabs>
        <w:spacing w:line="360" w:lineRule="auto"/>
        <w:rPr>
          <w:sz w:val="28"/>
          <w:szCs w:val="28"/>
        </w:rPr>
      </w:pPr>
      <w:r>
        <w:rPr>
          <w:rFonts w:hint="eastAsia"/>
          <w:sz w:val="28"/>
          <w:szCs w:val="28"/>
        </w:rPr>
        <w:t>专项经费1万元，用于差额编制人员的人员经费。此专项经费为人员经费，支出并入基本支出里。</w:t>
      </w:r>
    </w:p>
    <w:p>
      <w:pPr>
        <w:pStyle w:val="19"/>
        <w:tabs>
          <w:tab w:val="left" w:pos="767"/>
        </w:tabs>
        <w:spacing w:line="360" w:lineRule="auto"/>
        <w:rPr>
          <w:sz w:val="28"/>
          <w:szCs w:val="28"/>
        </w:rPr>
      </w:pPr>
      <w:r>
        <w:rPr>
          <w:rFonts w:hint="eastAsia"/>
          <w:sz w:val="28"/>
          <w:szCs w:val="28"/>
        </w:rPr>
        <w:t>本单位本年度没有“三公”经费支出。</w:t>
      </w:r>
    </w:p>
    <w:p>
      <w:pPr>
        <w:pStyle w:val="19"/>
        <w:tabs>
          <w:tab w:val="left" w:pos="867"/>
        </w:tabs>
        <w:spacing w:line="360" w:lineRule="auto"/>
        <w:jc w:val="left"/>
        <w:rPr>
          <w:color w:val="000000"/>
          <w:sz w:val="28"/>
          <w:szCs w:val="28"/>
        </w:rPr>
      </w:pPr>
      <w:bookmarkStart w:id="9" w:name="bookmark100"/>
      <w:r>
        <w:rPr>
          <w:rFonts w:hint="eastAsia"/>
          <w:color w:val="000000"/>
          <w:sz w:val="28"/>
          <w:szCs w:val="28"/>
        </w:rPr>
        <w:t>三</w:t>
      </w:r>
      <w:bookmarkEnd w:id="9"/>
      <w:r>
        <w:rPr>
          <w:rFonts w:hint="eastAsia"/>
          <w:color w:val="000000"/>
          <w:sz w:val="28"/>
          <w:szCs w:val="28"/>
        </w:rPr>
        <w:t>、部门项目组织实施情况</w:t>
      </w:r>
    </w:p>
    <w:p>
      <w:pPr>
        <w:pStyle w:val="19"/>
        <w:tabs>
          <w:tab w:val="left" w:pos="867"/>
        </w:tabs>
        <w:spacing w:line="360" w:lineRule="auto"/>
        <w:jc w:val="left"/>
        <w:rPr>
          <w:color w:val="000000"/>
          <w:sz w:val="28"/>
          <w:szCs w:val="28"/>
        </w:rPr>
      </w:pPr>
      <w:r>
        <w:rPr>
          <w:rFonts w:hint="eastAsia"/>
          <w:color w:val="000000"/>
          <w:sz w:val="28"/>
          <w:szCs w:val="28"/>
        </w:rPr>
        <w:t>1、每月5、15、25日的招聘会。</w:t>
      </w:r>
    </w:p>
    <w:p>
      <w:pPr>
        <w:pStyle w:val="19"/>
        <w:tabs>
          <w:tab w:val="left" w:pos="867"/>
        </w:tabs>
        <w:spacing w:line="360" w:lineRule="auto"/>
        <w:jc w:val="left"/>
        <w:rPr>
          <w:sz w:val="28"/>
          <w:szCs w:val="28"/>
        </w:rPr>
      </w:pPr>
      <w:r>
        <w:rPr>
          <w:rFonts w:hint="eastAsia"/>
          <w:color w:val="000000"/>
          <w:sz w:val="28"/>
          <w:szCs w:val="28"/>
        </w:rPr>
        <w:t>2、应届大学生、个别单位和退役军人的档案管理。</w:t>
      </w:r>
    </w:p>
    <w:p>
      <w:pPr>
        <w:pStyle w:val="19"/>
        <w:tabs>
          <w:tab w:val="left" w:pos="876"/>
        </w:tabs>
        <w:spacing w:line="360" w:lineRule="auto"/>
        <w:ind w:firstLine="420"/>
        <w:rPr>
          <w:color w:val="000000"/>
          <w:sz w:val="28"/>
          <w:szCs w:val="28"/>
        </w:rPr>
      </w:pPr>
      <w:bookmarkStart w:id="10" w:name="bookmark101"/>
      <w:r>
        <w:rPr>
          <w:rFonts w:hint="eastAsia"/>
          <w:color w:val="000000"/>
          <w:sz w:val="28"/>
          <w:szCs w:val="28"/>
        </w:rPr>
        <w:t>四</w:t>
      </w:r>
      <w:bookmarkEnd w:id="10"/>
      <w:r>
        <w:rPr>
          <w:rFonts w:hint="eastAsia"/>
          <w:color w:val="000000"/>
          <w:sz w:val="28"/>
          <w:szCs w:val="28"/>
        </w:rPr>
        <w:t>、资产管理情况</w:t>
      </w:r>
    </w:p>
    <w:p>
      <w:pPr>
        <w:pStyle w:val="19"/>
        <w:tabs>
          <w:tab w:val="left" w:pos="886"/>
        </w:tabs>
        <w:spacing w:line="360" w:lineRule="auto"/>
        <w:ind w:firstLine="420"/>
        <w:rPr>
          <w:sz w:val="28"/>
          <w:szCs w:val="28"/>
        </w:rPr>
      </w:pPr>
      <w:r>
        <w:rPr>
          <w:rFonts w:hint="eastAsia"/>
          <w:sz w:val="28"/>
          <w:szCs w:val="28"/>
        </w:rPr>
        <w:t>本单位</w:t>
      </w:r>
      <w:bookmarkStart w:id="11" w:name="bookmark102"/>
      <w:r>
        <w:rPr>
          <w:sz w:val="28"/>
          <w:szCs w:val="28"/>
        </w:rPr>
        <w:t>截至</w:t>
      </w:r>
      <w:r>
        <w:rPr>
          <w:rFonts w:hint="eastAsia"/>
          <w:sz w:val="28"/>
          <w:szCs w:val="28"/>
          <w:lang w:eastAsia="zh-CN"/>
        </w:rPr>
        <w:t>2020</w:t>
      </w:r>
      <w:r>
        <w:rPr>
          <w:sz w:val="28"/>
          <w:szCs w:val="28"/>
        </w:rPr>
        <w:t>年12 月31 日，</w:t>
      </w:r>
      <w:r>
        <w:rPr>
          <w:rFonts w:hint="eastAsia"/>
          <w:sz w:val="28"/>
          <w:szCs w:val="28"/>
        </w:rPr>
        <w:t>本单位一直与其它单位合并办公，未购置固定资产。</w:t>
      </w:r>
    </w:p>
    <w:bookmarkEnd w:id="11"/>
    <w:p>
      <w:pPr>
        <w:pStyle w:val="19"/>
        <w:numPr>
          <w:ilvl w:val="0"/>
          <w:numId w:val="1"/>
        </w:numPr>
        <w:tabs>
          <w:tab w:val="left" w:pos="886"/>
        </w:tabs>
        <w:spacing w:line="360" w:lineRule="auto"/>
        <w:ind w:firstLine="420"/>
        <w:rPr>
          <w:rFonts w:hint="eastAsia"/>
          <w:sz w:val="28"/>
          <w:szCs w:val="28"/>
        </w:rPr>
      </w:pPr>
      <w:r>
        <w:rPr>
          <w:rFonts w:hint="eastAsia"/>
          <w:sz w:val="28"/>
          <w:szCs w:val="28"/>
        </w:rPr>
        <w:t>部门整体支出绩效情况</w:t>
      </w:r>
    </w:p>
    <w:p>
      <w:pPr>
        <w:pStyle w:val="29"/>
        <w:ind w:firstLine="560" w:firstLineChars="200"/>
        <w:rPr>
          <w:rFonts w:hint="eastAsia" w:ascii="宋体" w:hAnsi="宋体" w:eastAsia="宋体" w:cs="宋体"/>
          <w:kern w:val="2"/>
          <w:sz w:val="28"/>
          <w:szCs w:val="28"/>
          <w:lang w:val="en-US" w:eastAsia="zh-CN" w:bidi="zh-CN"/>
        </w:rPr>
      </w:pPr>
      <w:r>
        <w:rPr>
          <w:rFonts w:hint="eastAsia" w:ascii="宋体" w:hAnsi="宋体" w:eastAsia="宋体" w:cs="宋体"/>
          <w:kern w:val="2"/>
          <w:sz w:val="28"/>
          <w:szCs w:val="28"/>
          <w:lang w:val="en-US" w:eastAsia="zh-CN" w:bidi="zh-CN"/>
        </w:rPr>
        <w:t>2020年全年我中心共开展15场招聘会，其中线上招聘会4场，线下招聘会11场。共有626家企业前来参加招聘会，共提供就业岗位22100余个，吸引了11000余名求职人员参会。日常工作中我中心积极</w:t>
      </w:r>
      <w:r>
        <w:rPr>
          <w:rFonts w:hint="eastAsia" w:ascii="宋体" w:hAnsi="宋体" w:eastAsia="宋体" w:cs="宋体"/>
          <w:kern w:val="2"/>
          <w:sz w:val="28"/>
          <w:szCs w:val="28"/>
          <w:lang w:val="zh-CN" w:eastAsia="zh-CN" w:bidi="zh-CN"/>
        </w:rPr>
        <w:t>与各大</w:t>
      </w:r>
      <w:r>
        <w:rPr>
          <w:rFonts w:hint="eastAsia" w:ascii="宋体" w:hAnsi="宋体" w:eastAsia="宋体" w:cs="宋体"/>
          <w:kern w:val="2"/>
          <w:sz w:val="28"/>
          <w:szCs w:val="28"/>
          <w:lang w:val="en-US" w:eastAsia="zh-CN" w:bidi="zh-CN"/>
        </w:rPr>
        <w:t>企业加强联系，动态掌握企业用工需求，在湖南省公共就业信息管理平台及时为32名有就业意愿的贫困劳动力匹配了岗位，月推荐成功率25%；为返乡回流和未就业有就业意愿人员5871人次，推送招聘信息26020条；向各乡镇街道发放企业招聘信息海报384张，招聘信息宣传单5000张，千方百计帮扶各类就业困难群体实现充分就业。为促进建档立卡贫困劳动力有序转移，有效拓宽劳动力转移就业渠道，我中心</w:t>
      </w:r>
      <w:r>
        <w:rPr>
          <w:rFonts w:hint="eastAsia" w:ascii="宋体" w:hAnsi="宋体" w:eastAsia="宋体" w:cs="宋体"/>
          <w:kern w:val="2"/>
          <w:sz w:val="28"/>
          <w:szCs w:val="28"/>
          <w:lang w:val="zh-CN" w:eastAsia="zh-CN" w:bidi="zh-CN"/>
        </w:rPr>
        <w:t>与</w:t>
      </w:r>
      <w:r>
        <w:rPr>
          <w:rFonts w:hint="eastAsia" w:ascii="宋体" w:hAnsi="宋体" w:eastAsia="宋体" w:cs="宋体"/>
          <w:kern w:val="2"/>
          <w:sz w:val="28"/>
          <w:szCs w:val="28"/>
          <w:lang w:val="en-US" w:eastAsia="zh-CN" w:bidi="zh-CN"/>
        </w:rPr>
        <w:t>13</w:t>
      </w:r>
      <w:r>
        <w:rPr>
          <w:rFonts w:hint="eastAsia" w:ascii="宋体" w:hAnsi="宋体" w:eastAsia="宋体" w:cs="宋体"/>
          <w:kern w:val="2"/>
          <w:sz w:val="28"/>
          <w:szCs w:val="28"/>
          <w:lang w:val="zh-CN" w:eastAsia="zh-CN" w:bidi="zh-CN"/>
        </w:rPr>
        <w:t>家企事业单位签订了劳务协作协议，其中跨区政府间劳务协作对接机制</w:t>
      </w:r>
      <w:r>
        <w:rPr>
          <w:rFonts w:hint="eastAsia" w:ascii="宋体" w:hAnsi="宋体" w:eastAsia="宋体" w:cs="宋体"/>
          <w:kern w:val="2"/>
          <w:sz w:val="28"/>
          <w:szCs w:val="28"/>
          <w:lang w:val="en-US" w:eastAsia="zh-CN" w:bidi="zh-CN"/>
        </w:rPr>
        <w:t>7</w:t>
      </w:r>
      <w:r>
        <w:rPr>
          <w:rFonts w:hint="eastAsia" w:ascii="宋体" w:hAnsi="宋体" w:eastAsia="宋体" w:cs="宋体"/>
          <w:kern w:val="2"/>
          <w:sz w:val="28"/>
          <w:szCs w:val="28"/>
          <w:lang w:val="zh-CN" w:eastAsia="zh-CN" w:bidi="zh-CN"/>
        </w:rPr>
        <w:t>家，全年有</w:t>
      </w:r>
      <w:r>
        <w:rPr>
          <w:rFonts w:hint="eastAsia" w:ascii="宋体" w:hAnsi="宋体" w:eastAsia="宋体" w:cs="宋体"/>
          <w:kern w:val="2"/>
          <w:sz w:val="28"/>
          <w:szCs w:val="28"/>
          <w:lang w:val="en-US" w:eastAsia="zh-CN" w:bidi="zh-CN"/>
        </w:rPr>
        <w:t>61</w:t>
      </w:r>
      <w:r>
        <w:rPr>
          <w:rFonts w:hint="eastAsia" w:ascii="宋体" w:hAnsi="宋体" w:eastAsia="宋体" w:cs="宋体"/>
          <w:kern w:val="2"/>
          <w:sz w:val="28"/>
          <w:szCs w:val="28"/>
          <w:lang w:val="zh-CN" w:eastAsia="zh-CN" w:bidi="zh-CN"/>
        </w:rPr>
        <w:t>名贫困劳动力就业于劳务协作公司。</w:t>
      </w:r>
      <w:r>
        <w:rPr>
          <w:rFonts w:hint="eastAsia" w:ascii="宋体" w:hAnsi="宋体" w:eastAsia="宋体" w:cs="宋体"/>
          <w:kern w:val="2"/>
          <w:sz w:val="28"/>
          <w:szCs w:val="28"/>
          <w:lang w:val="en-US" w:eastAsia="zh-CN" w:bidi="zh-CN"/>
        </w:rPr>
        <w:t>今年全年档案一体化服务平台共录入档案15份，档案调出10份，开具调档函18份。截止目前，平台共录入档案668份，其中包含单位辞职人员、珠晖区流动人员以及大中专毕业生档案。</w:t>
      </w:r>
    </w:p>
    <w:p>
      <w:pPr>
        <w:keepNext w:val="0"/>
        <w:keepLines w:val="0"/>
        <w:pageBreakBefore w:val="0"/>
        <w:widowControl/>
        <w:numPr>
          <w:numId w:val="0"/>
        </w:numPr>
        <w:kinsoku/>
        <w:wordWrap/>
        <w:overflowPunct/>
        <w:topLinePunct w:val="0"/>
        <w:autoSpaceDE/>
        <w:autoSpaceDN/>
        <w:bidi w:val="0"/>
        <w:adjustRightInd w:val="0"/>
        <w:snapToGrid w:val="0"/>
        <w:spacing w:after="0" w:line="600" w:lineRule="exact"/>
        <w:textAlignment w:val="auto"/>
        <w:outlineLvl w:val="9"/>
        <w:rPr>
          <w:rFonts w:hint="eastAsia" w:ascii="仿宋_GB2312" w:hAnsi="仿宋_GB2312" w:eastAsia="仿宋_GB2312" w:cs="仿宋_GB2312"/>
          <w:color w:val="auto"/>
          <w:sz w:val="32"/>
          <w:szCs w:val="32"/>
          <w:highlight w:val="none"/>
          <w:shd w:val="clear" w:color="auto" w:fill="auto"/>
          <w:lang w:val="zh-CN" w:eastAsia="zh-CN"/>
        </w:rPr>
      </w:pPr>
    </w:p>
    <w:p>
      <w:pPr>
        <w:pStyle w:val="19"/>
        <w:numPr>
          <w:numId w:val="0"/>
        </w:numPr>
        <w:tabs>
          <w:tab w:val="left" w:pos="886"/>
        </w:tabs>
        <w:spacing w:line="360" w:lineRule="auto"/>
        <w:rPr>
          <w:rFonts w:hint="eastAsia"/>
          <w:sz w:val="28"/>
          <w:szCs w:val="28"/>
        </w:rPr>
      </w:pPr>
    </w:p>
    <w:p>
      <w:pPr>
        <w:pStyle w:val="19"/>
        <w:tabs>
          <w:tab w:val="left" w:pos="886"/>
        </w:tabs>
        <w:spacing w:line="360" w:lineRule="auto"/>
        <w:ind w:firstLine="420"/>
        <w:rPr>
          <w:sz w:val="28"/>
          <w:szCs w:val="28"/>
        </w:rPr>
      </w:pPr>
      <w:r>
        <w:rPr>
          <w:rFonts w:hint="eastAsia"/>
          <w:color w:val="000000"/>
          <w:sz w:val="28"/>
          <w:szCs w:val="28"/>
        </w:rPr>
        <w:t>单位总体运行良好，圆满完成了各项工作任务。</w:t>
      </w:r>
    </w:p>
    <w:p>
      <w:pPr>
        <w:pStyle w:val="19"/>
        <w:tabs>
          <w:tab w:val="left" w:pos="886"/>
        </w:tabs>
        <w:spacing w:line="360" w:lineRule="auto"/>
        <w:ind w:firstLine="420"/>
        <w:rPr>
          <w:sz w:val="28"/>
          <w:szCs w:val="28"/>
        </w:rPr>
      </w:pPr>
      <w:bookmarkStart w:id="12" w:name="bookmark103"/>
      <w:r>
        <w:rPr>
          <w:rFonts w:hint="eastAsia"/>
          <w:color w:val="000000"/>
          <w:sz w:val="28"/>
          <w:szCs w:val="28"/>
        </w:rPr>
        <w:t>六</w:t>
      </w:r>
      <w:bookmarkEnd w:id="12"/>
      <w:r>
        <w:rPr>
          <w:rFonts w:hint="eastAsia"/>
          <w:color w:val="000000"/>
          <w:sz w:val="28"/>
          <w:szCs w:val="28"/>
        </w:rPr>
        <w:t>、存在的主要问题</w:t>
      </w:r>
    </w:p>
    <w:p>
      <w:pPr>
        <w:pStyle w:val="19"/>
        <w:spacing w:line="360" w:lineRule="auto"/>
        <w:ind w:firstLine="812" w:firstLineChars="290"/>
        <w:rPr>
          <w:rFonts w:hint="eastAsia" w:eastAsia="宋体"/>
          <w:sz w:val="28"/>
          <w:szCs w:val="28"/>
          <w:lang w:eastAsia="zh-CN"/>
        </w:rPr>
      </w:pPr>
      <w:r>
        <w:rPr>
          <w:rFonts w:hint="eastAsia"/>
          <w:sz w:val="28"/>
          <w:szCs w:val="28"/>
          <w:lang w:val="en-US" w:eastAsia="zh-CN"/>
        </w:rPr>
        <w:t>1.</w:t>
      </w:r>
      <w:r>
        <w:rPr>
          <w:rFonts w:hint="eastAsia"/>
          <w:sz w:val="28"/>
          <w:szCs w:val="28"/>
        </w:rPr>
        <w:t>预算资金安排不足，资金缺口没有办法调剂</w:t>
      </w:r>
      <w:r>
        <w:rPr>
          <w:rFonts w:hint="eastAsia"/>
          <w:sz w:val="28"/>
          <w:szCs w:val="28"/>
          <w:lang w:eastAsia="zh-CN"/>
        </w:rPr>
        <w:t>；</w:t>
      </w:r>
    </w:p>
    <w:p>
      <w:pPr>
        <w:pStyle w:val="19"/>
        <w:spacing w:line="360" w:lineRule="auto"/>
        <w:ind w:firstLine="840" w:firstLineChars="300"/>
        <w:rPr>
          <w:rFonts w:hint="eastAsia"/>
          <w:sz w:val="28"/>
          <w:szCs w:val="28"/>
          <w:lang w:val="en-US" w:eastAsia="zh-CN"/>
        </w:rPr>
      </w:pPr>
      <w:r>
        <w:rPr>
          <w:rFonts w:hint="eastAsia"/>
          <w:sz w:val="28"/>
          <w:szCs w:val="28"/>
          <w:lang w:val="en-US" w:eastAsia="zh-CN"/>
        </w:rPr>
        <w:t>2.企业用工数量不足；</w:t>
      </w:r>
    </w:p>
    <w:p>
      <w:pPr>
        <w:pStyle w:val="19"/>
        <w:spacing w:line="360" w:lineRule="auto"/>
        <w:ind w:firstLine="840" w:firstLineChars="300"/>
        <w:rPr>
          <w:rFonts w:hint="default"/>
          <w:sz w:val="28"/>
          <w:szCs w:val="28"/>
          <w:lang w:val="en-US" w:eastAsia="zh-CN"/>
        </w:rPr>
      </w:pPr>
      <w:bookmarkStart w:id="14" w:name="_GoBack"/>
      <w:bookmarkEnd w:id="14"/>
      <w:r>
        <w:rPr>
          <w:rFonts w:hint="eastAsia"/>
          <w:sz w:val="28"/>
          <w:szCs w:val="28"/>
          <w:lang w:val="en-US" w:eastAsia="zh-CN"/>
        </w:rPr>
        <w:t>3.人才数据采集不细。</w:t>
      </w:r>
    </w:p>
    <w:p>
      <w:pPr>
        <w:pStyle w:val="19"/>
        <w:tabs>
          <w:tab w:val="left" w:pos="886"/>
        </w:tabs>
        <w:spacing w:line="360" w:lineRule="auto"/>
        <w:ind w:firstLine="420"/>
        <w:rPr>
          <w:sz w:val="28"/>
          <w:szCs w:val="28"/>
        </w:rPr>
      </w:pPr>
      <w:bookmarkStart w:id="13" w:name="bookmark104"/>
      <w:r>
        <w:rPr>
          <w:rFonts w:hint="eastAsia"/>
          <w:color w:val="000000"/>
          <w:sz w:val="28"/>
          <w:szCs w:val="28"/>
        </w:rPr>
        <w:t>七</w:t>
      </w:r>
      <w:bookmarkEnd w:id="13"/>
      <w:r>
        <w:rPr>
          <w:rFonts w:hint="eastAsia"/>
          <w:color w:val="000000"/>
          <w:sz w:val="28"/>
          <w:szCs w:val="28"/>
        </w:rPr>
        <w:t>、改进措施和有关建议</w:t>
      </w:r>
    </w:p>
    <w:p>
      <w:pPr>
        <w:pStyle w:val="19"/>
        <w:spacing w:after="1300" w:line="360" w:lineRule="auto"/>
        <w:ind w:firstLine="420"/>
        <w:rPr>
          <w:sz w:val="28"/>
          <w:szCs w:val="28"/>
        </w:rPr>
      </w:pPr>
      <w:r>
        <w:rPr>
          <w:rFonts w:hint="eastAsia"/>
          <w:sz w:val="28"/>
          <w:szCs w:val="28"/>
        </w:rPr>
        <w:t>增加预算。</w:t>
      </w:r>
    </w:p>
    <w:p>
      <w:pPr>
        <w:spacing w:line="1" w:lineRule="exact"/>
        <w:jc w:val="center"/>
        <w:rPr>
          <w:rFonts w:ascii="宋体" w:hAnsi="宋体" w:cs="宋体"/>
          <w:sz w:val="18"/>
          <w:szCs w:val="18"/>
        </w:rPr>
      </w:pP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F7CA1"/>
    <w:multiLevelType w:val="singleLevel"/>
    <w:tmpl w:val="AA2F7CA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0010029"/>
    <w:rsid w:val="00046406"/>
    <w:rsid w:val="00081751"/>
    <w:rsid w:val="000B776B"/>
    <w:rsid w:val="000D68CC"/>
    <w:rsid w:val="000F1000"/>
    <w:rsid w:val="00142CFF"/>
    <w:rsid w:val="001B1ABF"/>
    <w:rsid w:val="001D2F2A"/>
    <w:rsid w:val="001D3AA8"/>
    <w:rsid w:val="001F25AE"/>
    <w:rsid w:val="002A2EE0"/>
    <w:rsid w:val="002E011A"/>
    <w:rsid w:val="002F07B7"/>
    <w:rsid w:val="003154B9"/>
    <w:rsid w:val="00364476"/>
    <w:rsid w:val="003C5F9A"/>
    <w:rsid w:val="003E3E74"/>
    <w:rsid w:val="003F11EE"/>
    <w:rsid w:val="00420C6D"/>
    <w:rsid w:val="004811C1"/>
    <w:rsid w:val="0048669B"/>
    <w:rsid w:val="00487F8A"/>
    <w:rsid w:val="004A237E"/>
    <w:rsid w:val="00536361"/>
    <w:rsid w:val="00574610"/>
    <w:rsid w:val="005A0566"/>
    <w:rsid w:val="005D3C4B"/>
    <w:rsid w:val="006107CF"/>
    <w:rsid w:val="00622D58"/>
    <w:rsid w:val="00634FCD"/>
    <w:rsid w:val="00640C01"/>
    <w:rsid w:val="006B4E7E"/>
    <w:rsid w:val="006D2EE2"/>
    <w:rsid w:val="006D3416"/>
    <w:rsid w:val="006D5771"/>
    <w:rsid w:val="00750F3F"/>
    <w:rsid w:val="007A011A"/>
    <w:rsid w:val="007B1FDC"/>
    <w:rsid w:val="007D110D"/>
    <w:rsid w:val="007F0EF8"/>
    <w:rsid w:val="007F4DAD"/>
    <w:rsid w:val="00807BB7"/>
    <w:rsid w:val="008446E8"/>
    <w:rsid w:val="00850F98"/>
    <w:rsid w:val="00856C9B"/>
    <w:rsid w:val="00864378"/>
    <w:rsid w:val="008666DE"/>
    <w:rsid w:val="0087791B"/>
    <w:rsid w:val="00877B33"/>
    <w:rsid w:val="008B7725"/>
    <w:rsid w:val="008C1CA2"/>
    <w:rsid w:val="009B2EB1"/>
    <w:rsid w:val="009B599B"/>
    <w:rsid w:val="00A04681"/>
    <w:rsid w:val="00A37988"/>
    <w:rsid w:val="00A4049D"/>
    <w:rsid w:val="00A63F51"/>
    <w:rsid w:val="00AA08AB"/>
    <w:rsid w:val="00AB6DB0"/>
    <w:rsid w:val="00AE18FC"/>
    <w:rsid w:val="00B17049"/>
    <w:rsid w:val="00B171D9"/>
    <w:rsid w:val="00B61231"/>
    <w:rsid w:val="00B7070F"/>
    <w:rsid w:val="00BA19E4"/>
    <w:rsid w:val="00BA2AE1"/>
    <w:rsid w:val="00BE178A"/>
    <w:rsid w:val="00BF00B3"/>
    <w:rsid w:val="00BF288D"/>
    <w:rsid w:val="00C06CBC"/>
    <w:rsid w:val="00C36CA2"/>
    <w:rsid w:val="00C87726"/>
    <w:rsid w:val="00CA2784"/>
    <w:rsid w:val="00CC2157"/>
    <w:rsid w:val="00CC77BD"/>
    <w:rsid w:val="00D3378A"/>
    <w:rsid w:val="00D66144"/>
    <w:rsid w:val="00DE4D0E"/>
    <w:rsid w:val="00E279DB"/>
    <w:rsid w:val="00E7463A"/>
    <w:rsid w:val="00E74C85"/>
    <w:rsid w:val="00E968E2"/>
    <w:rsid w:val="00EB4261"/>
    <w:rsid w:val="00F10E0E"/>
    <w:rsid w:val="00F2267B"/>
    <w:rsid w:val="00F26272"/>
    <w:rsid w:val="00F65E64"/>
    <w:rsid w:val="02312FDE"/>
    <w:rsid w:val="030A3C3B"/>
    <w:rsid w:val="03737E75"/>
    <w:rsid w:val="09872AA4"/>
    <w:rsid w:val="0C505A2A"/>
    <w:rsid w:val="0E1117EC"/>
    <w:rsid w:val="15224E9F"/>
    <w:rsid w:val="16ED4D31"/>
    <w:rsid w:val="1810076A"/>
    <w:rsid w:val="1CB55F50"/>
    <w:rsid w:val="1F6E185C"/>
    <w:rsid w:val="204D1B46"/>
    <w:rsid w:val="205265F0"/>
    <w:rsid w:val="236639AE"/>
    <w:rsid w:val="290A0FAD"/>
    <w:rsid w:val="2C8F18D7"/>
    <w:rsid w:val="33B015AE"/>
    <w:rsid w:val="3BE645DA"/>
    <w:rsid w:val="3F577654"/>
    <w:rsid w:val="423B1DB6"/>
    <w:rsid w:val="4999703E"/>
    <w:rsid w:val="4D301426"/>
    <w:rsid w:val="4D625F91"/>
    <w:rsid w:val="527541A2"/>
    <w:rsid w:val="52E51199"/>
    <w:rsid w:val="55B772C4"/>
    <w:rsid w:val="56C81120"/>
    <w:rsid w:val="56F073BC"/>
    <w:rsid w:val="5B533CA9"/>
    <w:rsid w:val="5B8E7E9F"/>
    <w:rsid w:val="5CDB7E67"/>
    <w:rsid w:val="62513BD9"/>
    <w:rsid w:val="64BB426A"/>
    <w:rsid w:val="688268EC"/>
    <w:rsid w:val="6B4F4CCD"/>
    <w:rsid w:val="6DFD2B24"/>
    <w:rsid w:val="716E1759"/>
    <w:rsid w:val="7EAD4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kern w:val="0"/>
      <w:sz w:val="24"/>
    </w:rPr>
  </w:style>
  <w:style w:type="character" w:styleId="8">
    <w:name w:val="FollowedHyperlink"/>
    <w:basedOn w:val="7"/>
    <w:qFormat/>
    <w:uiPriority w:val="0"/>
    <w:rPr>
      <w:color w:val="800080"/>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Typewriter"/>
    <w:basedOn w:val="7"/>
    <w:qFormat/>
    <w:uiPriority w:val="0"/>
    <w:rPr>
      <w:rFonts w:ascii="monospace" w:hAnsi="monospace" w:eastAsia="monospace" w:cs="monospace"/>
      <w:sz w:val="20"/>
    </w:rPr>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微软雅黑" w:hAnsi="微软雅黑" w:eastAsia="微软雅黑" w:cs="微软雅黑"/>
      <w:sz w:val="14"/>
      <w:szCs w:val="14"/>
    </w:rPr>
  </w:style>
  <w:style w:type="character" w:styleId="16">
    <w:name w:val="HTML Cite"/>
    <w:basedOn w:val="7"/>
    <w:qFormat/>
    <w:uiPriority w:val="0"/>
  </w:style>
  <w:style w:type="character" w:styleId="17">
    <w:name w:val="HTML Keyboard"/>
    <w:basedOn w:val="7"/>
    <w:qFormat/>
    <w:uiPriority w:val="0"/>
    <w:rPr>
      <w:rFonts w:hint="default" w:ascii="monospace" w:hAnsi="monospace" w:eastAsia="monospace" w:cs="monospace"/>
      <w:sz w:val="20"/>
    </w:rPr>
  </w:style>
  <w:style w:type="character" w:styleId="18">
    <w:name w:val="HTML Sample"/>
    <w:basedOn w:val="7"/>
    <w:qFormat/>
    <w:uiPriority w:val="0"/>
    <w:rPr>
      <w:rFonts w:hint="default" w:ascii="monospace" w:hAnsi="monospace" w:eastAsia="monospace" w:cs="monospace"/>
    </w:rPr>
  </w:style>
  <w:style w:type="paragraph" w:customStyle="1" w:styleId="19">
    <w:name w:val="Body text|1"/>
    <w:basedOn w:val="1"/>
    <w:qFormat/>
    <w:uiPriority w:val="0"/>
    <w:pPr>
      <w:spacing w:line="408" w:lineRule="auto"/>
      <w:ind w:firstLine="400"/>
    </w:pPr>
    <w:rPr>
      <w:rFonts w:ascii="宋体" w:hAnsi="宋体" w:cs="宋体"/>
      <w:sz w:val="19"/>
      <w:szCs w:val="19"/>
      <w:lang w:val="zh-CN" w:bidi="zh-CN"/>
    </w:rPr>
  </w:style>
  <w:style w:type="paragraph" w:customStyle="1" w:styleId="20">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1">
    <w:name w:val="Body text|3"/>
    <w:basedOn w:val="1"/>
    <w:qFormat/>
    <w:uiPriority w:val="0"/>
    <w:pPr>
      <w:spacing w:before="220" w:after="720"/>
      <w:ind w:firstLine="520"/>
    </w:pPr>
    <w:rPr>
      <w:sz w:val="32"/>
      <w:szCs w:val="32"/>
    </w:rPr>
  </w:style>
  <w:style w:type="paragraph" w:customStyle="1" w:styleId="22">
    <w:name w:val="Other|1"/>
    <w:basedOn w:val="1"/>
    <w:qFormat/>
    <w:uiPriority w:val="0"/>
    <w:pPr>
      <w:spacing w:line="302" w:lineRule="exact"/>
    </w:pPr>
    <w:rPr>
      <w:rFonts w:ascii="宋体" w:hAnsi="宋体" w:cs="宋体"/>
      <w:sz w:val="19"/>
      <w:szCs w:val="19"/>
      <w:lang w:val="zh-CN" w:bidi="zh-CN"/>
    </w:rPr>
  </w:style>
  <w:style w:type="paragraph" w:customStyle="1" w:styleId="23">
    <w:name w:val="Body text|4"/>
    <w:basedOn w:val="1"/>
    <w:qFormat/>
    <w:uiPriority w:val="0"/>
    <w:pPr>
      <w:spacing w:after="60"/>
      <w:ind w:firstLine="320"/>
    </w:pPr>
    <w:rPr>
      <w:rFonts w:ascii="宋体" w:hAnsi="宋体" w:cs="宋体"/>
      <w:lang w:val="zh-CN" w:bidi="zh-CN"/>
    </w:rPr>
  </w:style>
  <w:style w:type="paragraph" w:customStyle="1" w:styleId="24">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5">
    <w:name w:val="Header or footer|2"/>
    <w:basedOn w:val="1"/>
    <w:qFormat/>
    <w:uiPriority w:val="0"/>
    <w:rPr>
      <w:sz w:val="20"/>
      <w:szCs w:val="20"/>
      <w:lang w:val="zh-CN" w:bidi="zh-CN"/>
    </w:rPr>
  </w:style>
  <w:style w:type="paragraph" w:customStyle="1" w:styleId="26">
    <w:name w:val="Body text|2"/>
    <w:basedOn w:val="1"/>
    <w:qFormat/>
    <w:uiPriority w:val="0"/>
    <w:pPr>
      <w:spacing w:after="470"/>
    </w:pPr>
    <w:rPr>
      <w:b/>
      <w:bCs/>
      <w:sz w:val="19"/>
      <w:szCs w:val="19"/>
      <w:lang w:val="zh-CN" w:bidi="zh-CN"/>
    </w:rPr>
  </w:style>
  <w:style w:type="character" w:customStyle="1" w:styleId="27">
    <w:name w:val="bsharetext"/>
    <w:basedOn w:val="7"/>
    <w:qFormat/>
    <w:uiPriority w:val="0"/>
  </w:style>
  <w:style w:type="character" w:customStyle="1" w:styleId="28">
    <w:name w:val="页眉 Char"/>
    <w:basedOn w:val="7"/>
    <w:link w:val="4"/>
    <w:qFormat/>
    <w:uiPriority w:val="0"/>
    <w:rPr>
      <w:rFonts w:ascii="Calibri" w:hAnsi="Calibri"/>
      <w:kern w:val="2"/>
      <w:sz w:val="18"/>
      <w:szCs w:val="18"/>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583</Words>
  <Characters>3329</Characters>
  <Lines>27</Lines>
  <Paragraphs>7</Paragraphs>
  <TotalTime>1</TotalTime>
  <ScaleCrop>false</ScaleCrop>
  <LinksUpToDate>false</LinksUpToDate>
  <CharactersWithSpaces>3905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2021-06-04T01:55:00Z</dcterms:created>
  <dc:creator></dc:creator>
  <cp:lastModifiedBy>Administrator</cp:lastModifiedBy>
  <cp:lastPrinted>2020-05-18T02:11:00Z</cp:lastPrinted>
  <dcterms:modified xsi:type="dcterms:W3CDTF">2021-12-15T03:42:56Z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F78FBA1DA1644EC1A17ECD4585EE0513</vt:lpwstr>
  </property>
</Properties>
</file>