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widowControl w:val="0"/>
        <w:shd w:val="clear" w:color="auto" w:fill="auto"/>
        <w:bidi w:val="0"/>
        <w:spacing w:after="420" w:line="240" w:lineRule="auto"/>
        <w:ind w:left="0" w:leftChars="0" w:right="0" w:firstLine="0" w:firstLineChars="0"/>
        <w:jc w:val="left"/>
        <w:rPr>
          <w:rFonts w:hint="eastAsia" w:ascii="宋体" w:hAnsi="宋体" w:eastAsia="宋体" w:cs="宋体"/>
          <w:b w:val="0"/>
          <w:bCs w:val="0"/>
          <w:color w:val="000000"/>
          <w:spacing w:val="0"/>
          <w:w w:val="100"/>
          <w:position w:val="0"/>
          <w:sz w:val="32"/>
          <w:szCs w:val="32"/>
          <w:lang w:val="en-US" w:eastAsia="zh-CN" w:bidi="en-US"/>
        </w:rPr>
      </w:pPr>
      <w:r>
        <w:rPr>
          <w:rFonts w:hint="eastAsia" w:ascii="宋体" w:hAnsi="宋体" w:eastAsia="宋体" w:cs="宋体"/>
          <w:b w:val="0"/>
          <w:bCs w:val="0"/>
          <w:color w:val="000000"/>
          <w:spacing w:val="0"/>
          <w:w w:val="100"/>
          <w:position w:val="0"/>
          <w:sz w:val="24"/>
          <w:szCs w:val="24"/>
          <w:lang w:val="zh-CN" w:eastAsia="zh-CN" w:bidi="zh-CN"/>
        </w:rPr>
        <w:t>附件</w:t>
      </w:r>
      <w:r>
        <w:rPr>
          <w:rFonts w:hint="eastAsia" w:ascii="宋体" w:hAnsi="宋体" w:eastAsia="宋体" w:cs="宋体"/>
          <w:b w:val="0"/>
          <w:bCs w:val="0"/>
          <w:color w:val="000000"/>
          <w:spacing w:val="0"/>
          <w:w w:val="100"/>
          <w:position w:val="0"/>
          <w:sz w:val="24"/>
          <w:szCs w:val="24"/>
          <w:lang w:val="en-US" w:eastAsia="zh-CN" w:bidi="en-US"/>
        </w:rPr>
        <w:t>1</w:t>
      </w:r>
      <w:r>
        <w:rPr>
          <w:rFonts w:hint="eastAsia" w:ascii="宋体" w:hAnsi="宋体" w:eastAsia="宋体" w:cs="宋体"/>
          <w:b w:val="0"/>
          <w:bCs w:val="0"/>
          <w:color w:val="000000"/>
          <w:spacing w:val="0"/>
          <w:w w:val="100"/>
          <w:position w:val="0"/>
          <w:sz w:val="24"/>
          <w:szCs w:val="24"/>
          <w:lang w:val="en-US" w:eastAsia="en-US" w:bidi="en-US"/>
        </w:rPr>
        <w:t>-1</w:t>
      </w:r>
      <w:bookmarkStart w:id="0" w:name="bookmark83"/>
      <w:bookmarkStart w:id="1" w:name="bookmark84"/>
      <w:bookmarkStart w:id="2" w:name="bookmark82"/>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32"/>
          <w:szCs w:val="32"/>
          <w:lang w:val="en-US" w:eastAsia="zh-CN" w:bidi="en-US"/>
        </w:rPr>
        <w:t xml:space="preserve"> </w:t>
      </w:r>
    </w:p>
    <w:p>
      <w:pPr>
        <w:pStyle w:val="19"/>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w:t>
      </w:r>
      <w:r>
        <w:rPr>
          <w:rFonts w:hint="eastAsia" w:ascii="Times New Roman" w:hAnsi="Times New Roman" w:eastAsia="仿宋" w:cs="Times New Roman"/>
          <w:b/>
          <w:bCs/>
          <w:color w:val="000000"/>
          <w:spacing w:val="0"/>
          <w:w w:val="100"/>
          <w:position w:val="0"/>
          <w:sz w:val="32"/>
          <w:szCs w:val="32"/>
          <w:u w:val="none"/>
          <w:shd w:val="clear" w:color="auto" w:fill="auto"/>
          <w:lang w:val="en-US" w:eastAsia="zh-CN" w:bidi="zh-CN"/>
        </w:rPr>
        <w:t>门</w:t>
      </w: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整体支出绩效评价指标表</w:t>
      </w:r>
      <w:bookmarkEnd w:id="0"/>
      <w:bookmarkEnd w:id="1"/>
      <w:bookmarkEnd w:id="2"/>
    </w:p>
    <w:tbl>
      <w:tblPr>
        <w:tblStyle w:val="4"/>
        <w:tblW w:w="9872" w:type="dxa"/>
        <w:jc w:val="center"/>
        <w:tblLayout w:type="fixed"/>
        <w:tblCellMar>
          <w:top w:w="0" w:type="dxa"/>
          <w:left w:w="10" w:type="dxa"/>
          <w:bottom w:w="0" w:type="dxa"/>
          <w:right w:w="10" w:type="dxa"/>
        </w:tblCellMar>
      </w:tblPr>
      <w:tblGrid>
        <w:gridCol w:w="349"/>
        <w:gridCol w:w="543"/>
        <w:gridCol w:w="366"/>
        <w:gridCol w:w="666"/>
        <w:gridCol w:w="936"/>
        <w:gridCol w:w="398"/>
        <w:gridCol w:w="2704"/>
        <w:gridCol w:w="3178"/>
        <w:gridCol w:w="732"/>
      </w:tblGrid>
      <w:tr>
        <w:tblPrEx>
          <w:tblCellMar>
            <w:top w:w="0" w:type="dxa"/>
            <w:left w:w="10" w:type="dxa"/>
            <w:bottom w:w="0" w:type="dxa"/>
            <w:right w:w="10" w:type="dxa"/>
          </w:tblCellMar>
        </w:tblPrEx>
        <w:trPr>
          <w:trHeight w:val="1272" w:hRule="exact"/>
          <w:jc w:val="center"/>
        </w:trPr>
        <w:tc>
          <w:tcPr>
            <w:tcW w:w="349"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43"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66"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二</w:t>
            </w:r>
            <w:r>
              <w:rPr>
                <w:rFonts w:hint="eastAsia" w:ascii="宋体" w:hAnsi="宋体" w:eastAsia="宋体" w:cs="宋体"/>
                <w:color w:val="000000"/>
                <w:spacing w:val="0"/>
                <w:w w:val="100"/>
                <w:position w:val="0"/>
                <w:sz w:val="18"/>
                <w:szCs w:val="18"/>
              </w:rPr>
              <w:t>级 指 标</w:t>
            </w:r>
          </w:p>
        </w:tc>
        <w:tc>
          <w:tcPr>
            <w:tcW w:w="66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3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39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0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317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32"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2148" w:hRule="exact"/>
          <w:jc w:val="center"/>
        </w:trPr>
        <w:tc>
          <w:tcPr>
            <w:tcW w:w="349"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投</w:t>
            </w:r>
          </w:p>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入</w:t>
            </w:r>
          </w:p>
        </w:tc>
        <w:tc>
          <w:tcPr>
            <w:tcW w:w="543"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366"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0"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配 置</w:t>
            </w:r>
          </w:p>
        </w:tc>
        <w:tc>
          <w:tcPr>
            <w:tcW w:w="666"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93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 员控制 率</w:t>
            </w:r>
          </w:p>
        </w:tc>
        <w:tc>
          <w:tcPr>
            <w:tcW w:w="39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为标准。在职人员 控制率</w:t>
            </w:r>
            <w:r>
              <w:rPr>
                <w:rFonts w:hint="eastAsia" w:ascii="宋体" w:hAnsi="宋体" w:eastAsia="宋体" w:cs="宋体"/>
                <w:b/>
                <w:bCs/>
                <w:color w:val="000000"/>
                <w:spacing w:val="0"/>
                <w:w w:val="100"/>
                <w:position w:val="0"/>
                <w:sz w:val="18"/>
                <w:szCs w:val="18"/>
                <w:lang w:val="en-US" w:eastAsia="en-US" w:bidi="en-US"/>
              </w:rPr>
              <w:t xml:space="preserve">≦ </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分；每 超过一个百分点扣</w:t>
            </w:r>
            <w:r>
              <w:rPr>
                <w:rFonts w:hint="eastAsia" w:ascii="宋体" w:hAnsi="宋体" w:eastAsia="宋体" w:cs="宋体"/>
                <w:b/>
                <w:bCs/>
                <w:color w:val="000000"/>
                <w:spacing w:val="0"/>
                <w:w w:val="100"/>
                <w:position w:val="0"/>
                <w:sz w:val="18"/>
                <w:szCs w:val="18"/>
                <w:lang w:val="en-US" w:eastAsia="en-US" w:bidi="en-US"/>
              </w:rPr>
              <w:t>0.5</w:t>
            </w:r>
            <w:r>
              <w:rPr>
                <w:rFonts w:hint="eastAsia" w:ascii="宋体" w:hAnsi="宋体" w:eastAsia="宋体" w:cs="宋体"/>
                <w:color w:val="000000"/>
                <w:spacing w:val="0"/>
                <w:w w:val="100"/>
                <w:position w:val="0"/>
                <w:sz w:val="18"/>
                <w:szCs w:val="18"/>
              </w:rPr>
              <w:t>分， 扣完为止。</w:t>
            </w:r>
          </w:p>
        </w:tc>
        <w:tc>
          <w:tcPr>
            <w:tcW w:w="317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在职人员控制率=（在职人员数/ 编制数）×</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rPr>
              <w:t>在职人员数： 部门（单位）实际在职人数，以 财政部门确定的部门决算编制口径为准。</w:t>
            </w:r>
          </w:p>
          <w:p>
            <w:pPr>
              <w:pStyle w:val="20"/>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编制数：机构编制部门核定批复 的部门（单位）的人员编制数。</w:t>
            </w:r>
          </w:p>
        </w:tc>
        <w:tc>
          <w:tcPr>
            <w:tcW w:w="732"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551" w:hRule="exact"/>
          <w:jc w:val="center"/>
        </w:trPr>
        <w:tc>
          <w:tcPr>
            <w:tcW w:w="349"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 变动率</w:t>
            </w:r>
          </w:p>
        </w:tc>
        <w:tc>
          <w:tcPr>
            <w:tcW w:w="39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0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8"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r>
              <w:rPr>
                <w:rFonts w:hint="eastAsia" w:ascii="宋体" w:hAnsi="宋体" w:eastAsia="宋体" w:cs="宋体"/>
                <w:b/>
                <w:bCs/>
                <w:color w:val="000000"/>
                <w:spacing w:val="0"/>
                <w:w w:val="100"/>
                <w:position w:val="0"/>
                <w:sz w:val="18"/>
                <w:szCs w:val="18"/>
                <w:lang w:val="en-US" w:eastAsia="en-US" w:bidi="en-US"/>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 xml:space="preserve">8 </w:t>
            </w:r>
            <w:r>
              <w:rPr>
                <w:rFonts w:hint="eastAsia" w:ascii="宋体" w:hAnsi="宋体" w:eastAsia="宋体" w:cs="宋体"/>
                <w:color w:val="000000"/>
                <w:spacing w:val="0"/>
                <w:w w:val="100"/>
                <w:position w:val="0"/>
                <w:sz w:val="18"/>
                <w:szCs w:val="18"/>
              </w:rPr>
              <w:t>分；“三公经费</w:t>
            </w:r>
            <w:r>
              <w:rPr>
                <w:rFonts w:hint="eastAsia" w:ascii="宋体" w:hAnsi="宋体" w:eastAsia="宋体" w:cs="宋体"/>
                <w:b/>
                <w:bCs/>
                <w:color w:val="000000"/>
                <w:spacing w:val="0"/>
                <w:w w:val="100"/>
                <w:position w:val="0"/>
                <w:sz w:val="18"/>
                <w:szCs w:val="18"/>
              </w:rPr>
              <w:t>”&gt;0,</w:t>
            </w:r>
            <w:r>
              <w:rPr>
                <w:rFonts w:hint="eastAsia" w:ascii="宋体" w:hAnsi="宋体" w:eastAsia="宋体" w:cs="宋体"/>
                <w:color w:val="000000"/>
                <w:spacing w:val="0"/>
                <w:w w:val="100"/>
                <w:position w:val="0"/>
                <w:sz w:val="18"/>
                <w:szCs w:val="18"/>
              </w:rPr>
              <w:t>每超过 一个百分点扣</w:t>
            </w:r>
            <w:r>
              <w:rPr>
                <w:rFonts w:hint="eastAsia" w:ascii="宋体" w:hAnsi="宋体" w:eastAsia="宋体" w:cs="宋体"/>
                <w:b/>
                <w:bCs/>
                <w:color w:val="000000"/>
                <w:spacing w:val="0"/>
                <w:w w:val="100"/>
                <w:position w:val="0"/>
                <w:sz w:val="18"/>
                <w:szCs w:val="18"/>
                <w:lang w:val="en-US" w:eastAsia="en-US" w:bidi="en-US"/>
              </w:rPr>
              <w:t>0.8</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“在公经费”变动率=［（本年度“三 公经费”预算数-上年度“三公经 费"预算数）/上年度“三公经费” 预算数</w:t>
            </w:r>
            <w:r>
              <w:rPr>
                <w:rFonts w:hint="eastAsia" w:ascii="宋体" w:hAnsi="宋体" w:eastAsia="宋体" w:cs="宋体"/>
                <w:b/>
                <w:bCs/>
                <w:color w:val="000000"/>
                <w:spacing w:val="0"/>
                <w:w w:val="100"/>
                <w:position w:val="0"/>
                <w:sz w:val="18"/>
                <w:szCs w:val="18"/>
                <w:lang w:val="en-US" w:eastAsia="en-US" w:bidi="en-US"/>
              </w:rPr>
              <w:t>］</w:t>
            </w:r>
            <w:r>
              <w:rPr>
                <w:rFonts w:hint="eastAsia" w:ascii="宋体" w:hAnsi="宋体" w:eastAsia="宋体" w:cs="宋体"/>
                <w:color w:val="000000"/>
                <w:spacing w:val="0"/>
                <w:w w:val="100"/>
                <w:position w:val="0"/>
                <w:sz w:val="18"/>
                <w:szCs w:val="18"/>
              </w:rPr>
              <w:t>×</w:t>
            </w:r>
            <w:r>
              <w:rPr>
                <w:rFonts w:hint="eastAsia" w:ascii="宋体" w:hAnsi="宋体" w:eastAsia="宋体" w:cs="宋体"/>
                <w:b/>
                <w:bCs/>
                <w:color w:val="000000"/>
                <w:spacing w:val="0"/>
                <w:w w:val="100"/>
                <w:position w:val="0"/>
                <w:sz w:val="18"/>
                <w:szCs w:val="18"/>
                <w:lang w:val="en-US" w:eastAsia="en-US" w:bidi="en-US"/>
              </w:rPr>
              <w:t>100%</w:t>
            </w:r>
          </w:p>
        </w:tc>
        <w:tc>
          <w:tcPr>
            <w:tcW w:w="732"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333" w:hRule="exact"/>
          <w:jc w:val="center"/>
        </w:trPr>
        <w:tc>
          <w:tcPr>
            <w:tcW w:w="349"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43"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366"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执 行</w:t>
            </w:r>
          </w:p>
        </w:tc>
        <w:tc>
          <w:tcPr>
            <w:tcW w:w="666"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20</w:t>
            </w:r>
          </w:p>
        </w:tc>
        <w:tc>
          <w:tcPr>
            <w:tcW w:w="93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预算完 成率</w:t>
            </w:r>
          </w:p>
        </w:tc>
        <w:tc>
          <w:tcPr>
            <w:tcW w:w="39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计满分，每低于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 xml:space="preserve">扣 </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预算完成率=（上年结转+年初预 算+本年追加预算一年末结余/上 年结转+年初预算+本年追加预 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4.5</w:t>
            </w:r>
          </w:p>
        </w:tc>
      </w:tr>
      <w:tr>
        <w:tblPrEx>
          <w:tblCellMar>
            <w:top w:w="0" w:type="dxa"/>
            <w:left w:w="10" w:type="dxa"/>
            <w:bottom w:w="0" w:type="dxa"/>
            <w:right w:w="10" w:type="dxa"/>
          </w:tblCellMar>
        </w:tblPrEx>
        <w:trPr>
          <w:trHeight w:val="1435" w:hRule="exact"/>
          <w:jc w:val="center"/>
        </w:trPr>
        <w:tc>
          <w:tcPr>
            <w:tcW w:w="349"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 制率</w:t>
            </w:r>
          </w:p>
        </w:tc>
        <w:tc>
          <w:tcPr>
            <w:tcW w:w="39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w:t>
            </w:r>
          </w:p>
          <w:p>
            <w:pPr>
              <w:pStyle w:val="20"/>
              <w:keepNext w:val="0"/>
              <w:keepLines w:val="0"/>
              <w:widowControl w:val="0"/>
              <w:shd w:val="clear" w:color="auto" w:fill="auto"/>
              <w:bidi w:val="0"/>
              <w:spacing w:before="0" w:after="0" w:line="312" w:lineRule="exact"/>
              <w:ind w:left="200" w:right="0" w:hanging="200"/>
              <w:jc w:val="both"/>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0-10% </w:t>
            </w:r>
            <w:r>
              <w:rPr>
                <w:rFonts w:hint="eastAsia" w:ascii="宋体" w:hAnsi="宋体" w:eastAsia="宋体" w:cs="宋体"/>
                <w:color w:val="000000"/>
                <w:spacing w:val="0"/>
                <w:w w:val="100"/>
                <w:position w:val="0"/>
                <w:sz w:val="18"/>
                <w:szCs w:val="18"/>
              </w:rPr>
              <w:t xml:space="preserve">（含），计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r>
              <w:rPr>
                <w:rFonts w:hint="eastAsia" w:ascii="宋体" w:hAnsi="宋体" w:eastAsia="宋体" w:cs="宋体"/>
                <w:b/>
                <w:bCs/>
                <w:color w:val="000000"/>
                <w:spacing w:val="0"/>
                <w:w w:val="100"/>
                <w:position w:val="0"/>
                <w:sz w:val="18"/>
                <w:szCs w:val="18"/>
              </w:rPr>
              <w:t xml:space="preserve">10-20% </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 xml:space="preserve">3 </w:t>
            </w:r>
            <w:r>
              <w:rPr>
                <w:rFonts w:hint="eastAsia" w:ascii="宋体" w:hAnsi="宋体" w:eastAsia="宋体" w:cs="宋体"/>
                <w:color w:val="000000"/>
                <w:spacing w:val="0"/>
                <w:w w:val="100"/>
                <w:position w:val="0"/>
                <w:sz w:val="18"/>
                <w:szCs w:val="18"/>
              </w:rPr>
              <w:t>分</w:t>
            </w:r>
            <w:r>
              <w:rPr>
                <w:rFonts w:hint="eastAsia" w:ascii="宋体" w:hAnsi="宋体" w:eastAsia="宋体" w:cs="宋体"/>
                <w:b/>
                <w:bCs/>
                <w:color w:val="000000"/>
                <w:spacing w:val="0"/>
                <w:w w:val="100"/>
                <w:position w:val="0"/>
                <w:sz w:val="18"/>
                <w:szCs w:val="18"/>
              </w:rPr>
              <w:t>；20-30%（</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分；大于</w:t>
            </w:r>
            <w:r>
              <w:rPr>
                <w:rFonts w:hint="eastAsia" w:ascii="宋体" w:hAnsi="宋体" w:eastAsia="宋体" w:cs="宋体"/>
                <w:b/>
                <w:bCs/>
                <w:color w:val="000000"/>
                <w:spacing w:val="0"/>
                <w:w w:val="100"/>
                <w:position w:val="0"/>
                <w:sz w:val="18"/>
                <w:szCs w:val="18"/>
              </w:rPr>
              <w:t>30%</w:t>
            </w:r>
            <w:r>
              <w:rPr>
                <w:rFonts w:hint="eastAsia" w:ascii="宋体" w:hAnsi="宋体" w:eastAsia="宋体" w:cs="宋体"/>
                <w:color w:val="000000"/>
                <w:spacing w:val="0"/>
                <w:w w:val="100"/>
                <w:position w:val="0"/>
                <w:sz w:val="18"/>
                <w:szCs w:val="18"/>
              </w:rPr>
              <w:t>不得分</w:t>
            </w:r>
          </w:p>
        </w:tc>
        <w:tc>
          <w:tcPr>
            <w:tcW w:w="317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预算控制率=（本年追加预算/年 初预算）×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822" w:hRule="exact"/>
          <w:jc w:val="center"/>
        </w:trPr>
        <w:tc>
          <w:tcPr>
            <w:tcW w:w="349"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新建楼 堂馆所 面积控 制率</w:t>
            </w:r>
          </w:p>
        </w:tc>
        <w:tc>
          <w:tcPr>
            <w:tcW w:w="398"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 没有楼梯馆所项目的部门按满分计算</w:t>
            </w:r>
          </w:p>
        </w:tc>
        <w:tc>
          <w:tcPr>
            <w:tcW w:w="3178"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楼堂馆所面积控制率=实际建设 面积/批准建设面积×</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ascii="宋体" w:hAnsi="宋体" w:eastAsia="宋体" w:cs="宋体"/>
                <w:b/>
                <w:bCs/>
                <w:color w:val="000000"/>
                <w:spacing w:val="0"/>
                <w:w w:val="100"/>
                <w:position w:val="0"/>
                <w:sz w:val="18"/>
                <w:szCs w:val="18"/>
              </w:rPr>
              <w:t xml:space="preserve">= </w:t>
            </w:r>
            <w:r>
              <w:rPr>
                <w:rFonts w:hint="eastAsia" w:ascii="宋体" w:hAnsi="宋体" w:eastAsia="宋体" w:cs="宋体"/>
                <w:color w:val="000000"/>
                <w:spacing w:val="0"/>
                <w:w w:val="100"/>
                <w:position w:val="0"/>
                <w:sz w:val="18"/>
                <w:szCs w:val="18"/>
              </w:rPr>
              <w:t>该指标以</w:t>
            </w:r>
            <w:r>
              <w:rPr>
                <w:rFonts w:hint="eastAsia" w:ascii="宋体" w:hAnsi="宋体" w:eastAsia="宋体" w:cs="宋体"/>
                <w:b/>
                <w:bCs/>
                <w:color w:val="000000"/>
                <w:spacing w:val="0"/>
                <w:w w:val="100"/>
                <w:position w:val="0"/>
                <w:sz w:val="18"/>
                <w:szCs w:val="18"/>
              </w:rPr>
              <w:t>201</w:t>
            </w:r>
            <w:r>
              <w:rPr>
                <w:rFonts w:hint="eastAsia" w:ascii="宋体" w:hAnsi="宋体" w:eastAsia="宋体" w:cs="宋体"/>
                <w:b/>
                <w:bCs/>
                <w:color w:val="000000"/>
                <w:spacing w:val="0"/>
                <w:w w:val="100"/>
                <w:position w:val="0"/>
                <w:sz w:val="18"/>
                <w:szCs w:val="18"/>
                <w:lang w:val="en-US" w:eastAsia="zh-CN"/>
              </w:rPr>
              <w:t>8</w:t>
            </w:r>
            <w:r>
              <w:rPr>
                <w:rFonts w:hint="eastAsia" w:ascii="宋体" w:hAnsi="宋体" w:eastAsia="宋体" w:cs="宋体"/>
                <w:color w:val="000000"/>
                <w:spacing w:val="0"/>
                <w:w w:val="100"/>
                <w:position w:val="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936" w:hRule="exact"/>
          <w:jc w:val="center"/>
        </w:trPr>
        <w:tc>
          <w:tcPr>
            <w:tcW w:w="349" w:type="dxa"/>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43" w:type="dxa"/>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66" w:type="dxa"/>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66" w:type="dxa"/>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新建楼堂馆所投资概算控制率</w:t>
            </w:r>
          </w:p>
        </w:tc>
        <w:tc>
          <w:tcPr>
            <w:tcW w:w="398"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100%以下（含）计满分，每超出5%扣2分，扣完为止。</w:t>
            </w:r>
          </w:p>
        </w:tc>
        <w:tc>
          <w:tcPr>
            <w:tcW w:w="3178"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rPr>
              <w:t>楼堂馆所投资预算控制率=实际 投资金额/批准投资金额 ×</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lang w:val="en-US" w:eastAsia="en-US"/>
              </w:rPr>
              <w:t xml:space="preserve"> </w:t>
            </w:r>
            <w:r>
              <w:rPr>
                <w:rFonts w:hint="eastAsia" w:ascii="宋体" w:hAnsi="宋体" w:eastAsia="宋体" w:cs="宋体"/>
                <w:color w:val="000000"/>
                <w:spacing w:val="0"/>
                <w:w w:val="100"/>
                <w:position w:val="0"/>
                <w:sz w:val="18"/>
                <w:szCs w:val="18"/>
                <w:lang w:val="en-US" w:eastAsia="zh-CN"/>
              </w:rPr>
              <w:t>。</w:t>
            </w:r>
          </w:p>
          <w:p>
            <w:pPr>
              <w:pStyle w:val="20"/>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该指标以201</w:t>
            </w:r>
            <w:r>
              <w:rPr>
                <w:rFonts w:hint="eastAsia" w:ascii="宋体" w:hAnsi="宋体" w:eastAsia="宋体" w:cs="宋体"/>
                <w:color w:val="000000"/>
                <w:spacing w:val="0"/>
                <w:w w:val="100"/>
                <w:position w:val="0"/>
                <w:sz w:val="18"/>
                <w:szCs w:val="18"/>
                <w:lang w:val="en-US" w:eastAsia="zh-CN"/>
              </w:rPr>
              <w:t>8</w:t>
            </w:r>
            <w:r>
              <w:rPr>
                <w:rFonts w:hint="eastAsia" w:ascii="宋体" w:hAnsi="宋体" w:eastAsia="宋体" w:cs="宋体"/>
                <w:color w:val="000000"/>
                <w:spacing w:val="0"/>
                <w:w w:val="100"/>
                <w:position w:val="0"/>
                <w:sz w:val="18"/>
                <w:szCs w:val="18"/>
              </w:rPr>
              <w:t>年完工的新建楼 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4"/>
        <w:tblW w:w="9771" w:type="dxa"/>
        <w:jc w:val="center"/>
        <w:tblLayout w:type="fixed"/>
        <w:tblCellMar>
          <w:top w:w="0" w:type="dxa"/>
          <w:left w:w="10" w:type="dxa"/>
          <w:bottom w:w="0" w:type="dxa"/>
          <w:right w:w="10" w:type="dxa"/>
        </w:tblCellMar>
      </w:tblPr>
      <w:tblGrid>
        <w:gridCol w:w="368"/>
        <w:gridCol w:w="524"/>
        <w:gridCol w:w="460"/>
        <w:gridCol w:w="572"/>
        <w:gridCol w:w="916"/>
        <w:gridCol w:w="418"/>
        <w:gridCol w:w="3314"/>
        <w:gridCol w:w="2700"/>
        <w:gridCol w:w="499"/>
      </w:tblGrid>
      <w:tr>
        <w:tblPrEx>
          <w:tblCellMar>
            <w:top w:w="0" w:type="dxa"/>
            <w:left w:w="10" w:type="dxa"/>
            <w:bottom w:w="0" w:type="dxa"/>
            <w:right w:w="10" w:type="dxa"/>
          </w:tblCellMar>
        </w:tblPrEx>
        <w:trPr>
          <w:trHeight w:val="1302" w:hRule="exact"/>
          <w:jc w:val="center"/>
        </w:trPr>
        <w:tc>
          <w:tcPr>
            <w:tcW w:w="368"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2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460"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57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1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31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00"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49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95" w:hRule="exact"/>
          <w:jc w:val="center"/>
        </w:trPr>
        <w:tc>
          <w:tcPr>
            <w:tcW w:w="368"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24"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460"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预</w:t>
            </w:r>
          </w:p>
          <w:p>
            <w:pPr>
              <w:pStyle w:val="20"/>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算</w:t>
            </w:r>
          </w:p>
          <w:p>
            <w:pPr>
              <w:pStyle w:val="20"/>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管</w:t>
            </w:r>
          </w:p>
          <w:p>
            <w:pPr>
              <w:pStyle w:val="20"/>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理</w:t>
            </w:r>
          </w:p>
          <w:p>
            <w:pPr>
              <w:pStyle w:val="20"/>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p>
          <w:p>
            <w:pPr>
              <w:pStyle w:val="20"/>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41</w:t>
            </w:r>
          </w:p>
        </w:tc>
        <w:tc>
          <w:tcPr>
            <w:tcW w:w="91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公用经费控制率</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公用经费控制率=（实际支出公 用经费总额/预算安排公用经费 总额）×</w:t>
            </w:r>
            <w:r>
              <w:rPr>
                <w:rFonts w:hint="eastAsia" w:ascii="宋体" w:hAnsi="宋体" w:eastAsia="宋体" w:cs="宋体"/>
                <w:b/>
                <w:bCs/>
                <w:color w:val="000000"/>
                <w:spacing w:val="0"/>
                <w:w w:val="100"/>
                <w:position w:val="0"/>
                <w:sz w:val="18"/>
                <w:szCs w:val="18"/>
                <w:lang w:val="en-US" w:eastAsia="en-US" w:bidi="en-US"/>
              </w:rPr>
              <w:t xml:space="preserve">100% </w:t>
            </w:r>
          </w:p>
          <w:p>
            <w:pPr>
              <w:pStyle w:val="20"/>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公用经费支出是指部门基本支出 中的一般商品和服务支出。</w:t>
            </w: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7.5</w:t>
            </w:r>
          </w:p>
        </w:tc>
      </w:tr>
      <w:tr>
        <w:tblPrEx>
          <w:tblCellMar>
            <w:top w:w="0" w:type="dxa"/>
            <w:left w:w="10" w:type="dxa"/>
            <w:bottom w:w="0" w:type="dxa"/>
            <w:right w:w="10" w:type="dxa"/>
          </w:tblCellMar>
        </w:tblPrEx>
        <w:trPr>
          <w:trHeight w:val="1243"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 控制率</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“三公经费”控制率</w:t>
            </w:r>
            <w:r>
              <w:rPr>
                <w:rFonts w:hint="eastAsia" w:ascii="宋体" w:hAnsi="宋体" w:eastAsia="宋体" w:cs="宋体"/>
                <w:color w:val="000000"/>
                <w:spacing w:val="0"/>
                <w:w w:val="100"/>
                <w:position w:val="0"/>
                <w:sz w:val="18"/>
                <w:szCs w:val="18"/>
                <w:lang w:val="en-US" w:eastAsia="zh-CN"/>
              </w:rPr>
              <w:t>.</w:t>
            </w:r>
            <w:r>
              <w:rPr>
                <w:rFonts w:hint="eastAsia" w:ascii="宋体" w:hAnsi="宋体" w:eastAsia="宋体" w:cs="宋体"/>
                <w:color w:val="000000"/>
                <w:spacing w:val="0"/>
                <w:w w:val="100"/>
                <w:position w:val="0"/>
                <w:sz w:val="18"/>
                <w:szCs w:val="18"/>
              </w:rPr>
              <w:t>（“三公经费” 实际支出数/“三公经费”预算安 排数）×</w:t>
            </w:r>
            <w:r>
              <w:rPr>
                <w:rFonts w:hint="eastAsia" w:ascii="宋体" w:hAnsi="宋体" w:eastAsia="宋体" w:cs="宋体"/>
                <w:b/>
                <w:bCs/>
                <w:color w:val="000000"/>
                <w:spacing w:val="0"/>
                <w:w w:val="100"/>
                <w:position w:val="0"/>
                <w:sz w:val="18"/>
                <w:szCs w:val="18"/>
                <w:lang w:val="en-US" w:eastAsia="en-US" w:bidi="en-US"/>
              </w:rPr>
              <w:t xml:space="preserve">100% </w:t>
            </w: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030"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4"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331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计满分，每超过（降低）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政府采购执行率=（实际政府采购金额/政府采购预算数）×</w:t>
            </w:r>
            <w:r>
              <w:rPr>
                <w:rFonts w:hint="eastAsia" w:ascii="宋体" w:hAnsi="宋体" w:eastAsia="宋体" w:cs="宋体"/>
                <w:b/>
                <w:bCs/>
                <w:color w:val="000000"/>
                <w:spacing w:val="0"/>
                <w:w w:val="100"/>
                <w:position w:val="0"/>
                <w:sz w:val="18"/>
                <w:szCs w:val="18"/>
                <w:lang w:val="en-US" w:eastAsia="en-US" w:bidi="en-US"/>
              </w:rPr>
              <w:t>100%</w:t>
            </w: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5.5</w:t>
            </w:r>
          </w:p>
        </w:tc>
      </w:tr>
      <w:tr>
        <w:tblPrEx>
          <w:tblCellMar>
            <w:top w:w="0" w:type="dxa"/>
            <w:left w:w="10" w:type="dxa"/>
            <w:bottom w:w="0" w:type="dxa"/>
            <w:right w:w="10" w:type="dxa"/>
          </w:tblCellMar>
        </w:tblPrEx>
        <w:trPr>
          <w:trHeight w:val="2266"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pStyle w:val="20"/>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5"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管理制度健全性</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1、</w:t>
            </w:r>
            <w:r>
              <w:rPr>
                <w:rFonts w:hint="eastAsia" w:ascii="宋体" w:hAnsi="宋体" w:eastAsia="宋体" w:cs="宋体"/>
                <w:b w:val="0"/>
                <w:bCs w:val="0"/>
                <w:color w:val="000000"/>
                <w:spacing w:val="0"/>
                <w:w w:val="100"/>
                <w:position w:val="0"/>
                <w:sz w:val="18"/>
                <w:szCs w:val="18"/>
              </w:rPr>
              <w:t>有内部财务管理制度、会 计核算制度等管理制度，2 分；</w:t>
            </w:r>
          </w:p>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2、</w:t>
            </w:r>
            <w:r>
              <w:rPr>
                <w:rFonts w:hint="eastAsia" w:ascii="宋体" w:hAnsi="宋体" w:eastAsia="宋体" w:cs="宋体"/>
                <w:b w:val="0"/>
                <w:bCs w:val="0"/>
                <w:color w:val="000000"/>
                <w:spacing w:val="0"/>
                <w:w w:val="100"/>
                <w:position w:val="0"/>
                <w:sz w:val="18"/>
                <w:szCs w:val="18"/>
              </w:rPr>
              <w:t>有本部门厉行节约制度,2 分；</w:t>
            </w:r>
          </w:p>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bCs/>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3、</w:t>
            </w:r>
            <w:r>
              <w:rPr>
                <w:rFonts w:hint="eastAsia" w:ascii="宋体" w:hAnsi="宋体" w:eastAsia="宋体" w:cs="宋体"/>
                <w:b w:val="0"/>
                <w:bCs w:val="0"/>
                <w:color w:val="000000"/>
                <w:spacing w:val="0"/>
                <w:w w:val="100"/>
                <w:position w:val="0"/>
                <w:sz w:val="18"/>
                <w:szCs w:val="18"/>
              </w:rPr>
              <w:t>相关管理制度合法、合规、完整，2分；</w:t>
            </w:r>
            <w:r>
              <w:rPr>
                <w:rFonts w:hint="eastAsia" w:ascii="宋体" w:hAnsi="宋体" w:eastAsia="宋体" w:cs="宋体"/>
                <w:b w:val="0"/>
                <w:bCs w:val="0"/>
                <w:color w:val="000000"/>
                <w:spacing w:val="0"/>
                <w:w w:val="100"/>
                <w:position w:val="0"/>
                <w:sz w:val="18"/>
                <w:szCs w:val="18"/>
                <w:lang w:val="en-US" w:eastAsia="zh-CN"/>
              </w:rPr>
              <w:t>4、</w:t>
            </w:r>
            <w:r>
              <w:rPr>
                <w:rFonts w:hint="eastAsia" w:ascii="宋体" w:hAnsi="宋体" w:eastAsia="宋体" w:cs="宋体"/>
                <w:b w:val="0"/>
                <w:bCs w:val="0"/>
                <w:color w:val="000000"/>
                <w:spacing w:val="0"/>
                <w:w w:val="100"/>
                <w:position w:val="0"/>
                <w:sz w:val="18"/>
                <w:szCs w:val="18"/>
              </w:rPr>
              <w:t>相关管理制度得到有效执行，2 分。</w:t>
            </w:r>
          </w:p>
        </w:tc>
        <w:tc>
          <w:tcPr>
            <w:tcW w:w="2700" w:type="dxa"/>
            <w:tcBorders>
              <w:top w:val="single" w:color="auto" w:sz="4" w:space="0"/>
              <w:lef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7.5</w:t>
            </w:r>
          </w:p>
        </w:tc>
      </w:tr>
      <w:tr>
        <w:tblPrEx>
          <w:tblCellMar>
            <w:top w:w="0" w:type="dxa"/>
            <w:left w:w="10" w:type="dxa"/>
            <w:bottom w:w="0" w:type="dxa"/>
            <w:right w:w="10" w:type="dxa"/>
          </w:tblCellMar>
        </w:tblPrEx>
        <w:trPr>
          <w:trHeight w:val="3451"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资金使用合规性</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3314" w:type="dxa"/>
            <w:tcBorders>
              <w:top w:val="single" w:color="auto" w:sz="4" w:space="0"/>
              <w:left w:val="single" w:color="auto" w:sz="4" w:space="0"/>
            </w:tcBorders>
            <w:shd w:val="clear" w:color="auto" w:fill="FFFFFF"/>
            <w:vAlign w:val="bottom"/>
          </w:tcPr>
          <w:p>
            <w:pPr>
              <w:pStyle w:val="20"/>
              <w:keepNext w:val="0"/>
              <w:keepLines w:val="0"/>
              <w:widowControl w:val="0"/>
              <w:numPr>
                <w:ilvl w:val="0"/>
                <w:numId w:val="0"/>
              </w:numPr>
              <w:shd w:val="clear" w:color="auto" w:fill="auto"/>
              <w:tabs>
                <w:tab w:val="left" w:pos="21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1、</w:t>
            </w:r>
            <w:r>
              <w:rPr>
                <w:rFonts w:hint="eastAsia" w:ascii="宋体" w:hAnsi="宋体" w:eastAsia="宋体" w:cs="宋体"/>
                <w:color w:val="000000"/>
                <w:spacing w:val="0"/>
                <w:w w:val="100"/>
                <w:position w:val="0"/>
                <w:sz w:val="18"/>
                <w:szCs w:val="18"/>
              </w:rPr>
              <w:t>支出符合国家财经法规和财务管理制度规定以及有关专项资金管理办法的规定；</w:t>
            </w:r>
          </w:p>
          <w:p>
            <w:pPr>
              <w:pStyle w:val="20"/>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2、</w:t>
            </w:r>
            <w:r>
              <w:rPr>
                <w:rFonts w:hint="eastAsia" w:ascii="宋体" w:hAnsi="宋体" w:eastAsia="宋体" w:cs="宋体"/>
                <w:color w:val="000000"/>
                <w:spacing w:val="0"/>
                <w:w w:val="100"/>
                <w:position w:val="0"/>
                <w:sz w:val="18"/>
                <w:szCs w:val="18"/>
              </w:rPr>
              <w:t>资金拨付有完整的审批程序和手续；</w:t>
            </w:r>
          </w:p>
          <w:p>
            <w:pPr>
              <w:pStyle w:val="20"/>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3、</w:t>
            </w:r>
            <w:r>
              <w:rPr>
                <w:rFonts w:hint="eastAsia" w:ascii="宋体" w:hAnsi="宋体" w:eastAsia="宋体" w:cs="宋体"/>
                <w:color w:val="000000"/>
                <w:spacing w:val="0"/>
                <w:w w:val="100"/>
                <w:position w:val="0"/>
                <w:sz w:val="18"/>
                <w:szCs w:val="18"/>
              </w:rPr>
              <w:t>项目支出按规定经过评估论证；</w:t>
            </w:r>
          </w:p>
          <w:p>
            <w:pPr>
              <w:pStyle w:val="20"/>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4、</w:t>
            </w:r>
            <w:r>
              <w:rPr>
                <w:rFonts w:hint="eastAsia" w:ascii="宋体" w:hAnsi="宋体" w:eastAsia="宋体" w:cs="宋体"/>
                <w:color w:val="000000"/>
                <w:spacing w:val="0"/>
                <w:w w:val="100"/>
                <w:position w:val="0"/>
                <w:sz w:val="18"/>
                <w:szCs w:val="18"/>
              </w:rPr>
              <w:t>支出符合部门预算批复的用途；</w:t>
            </w:r>
          </w:p>
          <w:p>
            <w:pPr>
              <w:pStyle w:val="20"/>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5、</w:t>
            </w:r>
            <w:r>
              <w:rPr>
                <w:rFonts w:hint="eastAsia" w:ascii="宋体" w:hAnsi="宋体" w:eastAsia="宋体" w:cs="宋体"/>
                <w:color w:val="000000"/>
                <w:spacing w:val="0"/>
                <w:w w:val="100"/>
                <w:position w:val="0"/>
                <w:sz w:val="18"/>
                <w:szCs w:val="18"/>
              </w:rPr>
              <w:t xml:space="preserve"> 资金使用无截留、挤占、挪 用、虚列支出等情况。</w:t>
            </w:r>
          </w:p>
          <w:p>
            <w:pPr>
              <w:pStyle w:val="20"/>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以上情况每出现一例不符合 要求的扣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587" w:hRule="exact"/>
          <w:jc w:val="center"/>
        </w:trPr>
        <w:tc>
          <w:tcPr>
            <w:tcW w:w="368"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572"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预决算信息公开性</w:t>
            </w:r>
          </w:p>
        </w:tc>
        <w:tc>
          <w:tcPr>
            <w:tcW w:w="418"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3314" w:type="dxa"/>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1"/>
              </w:numPr>
              <w:shd w:val="clear" w:color="auto" w:fill="auto"/>
              <w:bidi w:val="0"/>
              <w:spacing w:before="0" w:after="0" w:line="311"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按规定内容公开预决算信息，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0"/>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按规定时限公开预决算信息，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0"/>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基础数据信息和会计信息资料 真实，</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0"/>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 息和会计信息资料完整，</w:t>
            </w:r>
            <w:r>
              <w:rPr>
                <w:rFonts w:hint="eastAsia" w:ascii="宋体" w:hAnsi="宋体" w:eastAsia="宋体" w:cs="宋体"/>
                <w:b/>
                <w:bCs/>
                <w:color w:val="000000"/>
                <w:spacing w:val="0"/>
                <w:w w:val="100"/>
                <w:position w:val="0"/>
                <w:sz w:val="18"/>
                <w:szCs w:val="18"/>
              </w:rPr>
              <w:t xml:space="preserve">1 </w:t>
            </w:r>
            <w:r>
              <w:rPr>
                <w:rFonts w:hint="eastAsia" w:ascii="宋体" w:hAnsi="宋体" w:eastAsia="宋体" w:cs="宋体"/>
                <w:color w:val="000000"/>
                <w:spacing w:val="0"/>
                <w:w w:val="100"/>
                <w:position w:val="0"/>
                <w:sz w:val="18"/>
                <w:szCs w:val="18"/>
              </w:rPr>
              <w:t>分；</w:t>
            </w:r>
          </w:p>
          <w:p>
            <w:pPr>
              <w:pStyle w:val="20"/>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基础数据信息和汇集信息资料准确，</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tc>
        <w:tc>
          <w:tcPr>
            <w:tcW w:w="2700"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05"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预决算信息是指与部门预算、执 行、决算、监督、绩效等管理相 关的信息。</w:t>
            </w:r>
          </w:p>
        </w:tc>
        <w:tc>
          <w:tcPr>
            <w:tcW w:w="499"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4"/>
        <w:tblW w:w="9771" w:type="dxa"/>
        <w:jc w:val="center"/>
        <w:tblLayout w:type="fixed"/>
        <w:tblCellMar>
          <w:top w:w="0" w:type="dxa"/>
          <w:left w:w="10" w:type="dxa"/>
          <w:bottom w:w="0" w:type="dxa"/>
          <w:right w:w="10" w:type="dxa"/>
        </w:tblCellMar>
      </w:tblPr>
      <w:tblGrid>
        <w:gridCol w:w="452"/>
        <w:gridCol w:w="440"/>
        <w:gridCol w:w="634"/>
        <w:gridCol w:w="398"/>
        <w:gridCol w:w="1084"/>
        <w:gridCol w:w="408"/>
        <w:gridCol w:w="2724"/>
        <w:gridCol w:w="2784"/>
        <w:gridCol w:w="847"/>
      </w:tblGrid>
      <w:tr>
        <w:tblPrEx>
          <w:tblCellMar>
            <w:top w:w="0" w:type="dxa"/>
            <w:left w:w="10" w:type="dxa"/>
            <w:bottom w:w="0" w:type="dxa"/>
            <w:right w:w="10" w:type="dxa"/>
          </w:tblCellMar>
        </w:tblPrEx>
        <w:trPr>
          <w:trHeight w:val="1262" w:hRule="exact"/>
          <w:jc w:val="center"/>
        </w:trPr>
        <w:tc>
          <w:tcPr>
            <w:tcW w:w="452"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一</w:t>
            </w:r>
          </w:p>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440"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634"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级 </w:t>
            </w:r>
          </w:p>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指 </w:t>
            </w:r>
          </w:p>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标</w:t>
            </w:r>
          </w:p>
        </w:tc>
        <w:tc>
          <w:tcPr>
            <w:tcW w:w="39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108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 指标</w:t>
            </w:r>
          </w:p>
        </w:tc>
        <w:tc>
          <w:tcPr>
            <w:tcW w:w="40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2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8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847"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10" w:hRule="exact"/>
          <w:jc w:val="center"/>
        </w:trPr>
        <w:tc>
          <w:tcPr>
            <w:tcW w:w="452"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产 出 及 效 率</w:t>
            </w:r>
          </w:p>
        </w:tc>
        <w:tc>
          <w:tcPr>
            <w:tcW w:w="440"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26</w:t>
            </w:r>
          </w:p>
        </w:tc>
        <w:tc>
          <w:tcPr>
            <w:tcW w:w="63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4"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 责 履 行</w:t>
            </w:r>
          </w:p>
        </w:tc>
        <w:tc>
          <w:tcPr>
            <w:tcW w:w="39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108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重点工作实际完成率</w:t>
            </w:r>
          </w:p>
        </w:tc>
        <w:tc>
          <w:tcPr>
            <w:tcW w:w="40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2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根据绩效办对各部门为民办 实事和部门重点工程与重点工作考核分数折算。</w:t>
            </w:r>
          </w:p>
          <w:p>
            <w:pPr>
              <w:pStyle w:val="20"/>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该项得分=（绩效办对应部分考核得分</w:t>
            </w:r>
            <w:r>
              <w:rPr>
                <w:rFonts w:hint="eastAsia" w:ascii="宋体" w:hAnsi="宋体" w:eastAsia="宋体" w:cs="宋体"/>
                <w:b/>
                <w:bCs/>
                <w:color w:val="000000"/>
                <w:spacing w:val="0"/>
                <w:w w:val="100"/>
                <w:position w:val="0"/>
                <w:sz w:val="18"/>
                <w:szCs w:val="18"/>
              </w:rPr>
              <w:t xml:space="preserve">/350） </w:t>
            </w:r>
            <w:r>
              <w:rPr>
                <w:rFonts w:hint="eastAsia" w:ascii="宋体" w:hAnsi="宋体" w:eastAsia="宋体" w:cs="宋体"/>
                <w:b/>
                <w:bCs/>
                <w:color w:val="000000"/>
                <w:spacing w:val="0"/>
                <w:w w:val="100"/>
                <w:position w:val="0"/>
                <w:sz w:val="18"/>
                <w:szCs w:val="18"/>
                <w:lang w:val="en-US" w:eastAsia="en-US" w:bidi="en-US"/>
              </w:rPr>
              <w:t>*8</w:t>
            </w:r>
          </w:p>
        </w:tc>
        <w:tc>
          <w:tcPr>
            <w:tcW w:w="2784" w:type="dxa"/>
            <w:tcBorders>
              <w:top w:val="single" w:color="auto" w:sz="4" w:space="0"/>
              <w:lef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847"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821" w:hRule="exact"/>
          <w:jc w:val="center"/>
        </w:trPr>
        <w:tc>
          <w:tcPr>
            <w:tcW w:w="45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6"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履 职 效 益</w:t>
            </w:r>
          </w:p>
        </w:tc>
        <w:tc>
          <w:tcPr>
            <w:tcW w:w="398"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108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经济效益</w:t>
            </w:r>
          </w:p>
        </w:tc>
        <w:tc>
          <w:tcPr>
            <w:tcW w:w="408"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5508" w:type="dxa"/>
            <w:gridSpan w:val="2"/>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634" w:hRule="exact"/>
          <w:jc w:val="center"/>
        </w:trPr>
        <w:tc>
          <w:tcPr>
            <w:tcW w:w="45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93"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社会效益</w:t>
            </w:r>
          </w:p>
        </w:tc>
        <w:tc>
          <w:tcPr>
            <w:tcW w:w="40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508" w:type="dxa"/>
            <w:gridSpan w:val="2"/>
            <w:vMerge w:val="continue"/>
            <w:tcBorders>
              <w:left w:val="single" w:color="auto" w:sz="4" w:space="0"/>
            </w:tcBorders>
            <w:shd w:val="clear" w:color="auto" w:fill="FFFFFF"/>
            <w:vAlign w:val="center"/>
          </w:tcPr>
          <w:p>
            <w:pPr>
              <w:jc w:val="left"/>
              <w:rPr>
                <w:rFonts w:hint="eastAsia" w:ascii="宋体" w:hAnsi="宋体" w:eastAsia="宋体" w:cs="宋体"/>
                <w:sz w:val="18"/>
                <w:szCs w:val="18"/>
              </w:rPr>
            </w:pPr>
          </w:p>
        </w:tc>
        <w:tc>
          <w:tcPr>
            <w:tcW w:w="847" w:type="dxa"/>
            <w:vMerge w:val="continue"/>
            <w:tcBorders>
              <w:left w:val="single" w:color="auto" w:sz="4" w:space="0"/>
              <w:right w:val="single" w:color="auto" w:sz="4" w:space="0"/>
            </w:tcBorders>
            <w:shd w:val="clear" w:color="auto" w:fill="FFFFFF"/>
            <w:vAlign w:val="top"/>
          </w:tcPr>
          <w:p>
            <w:pPr>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798" w:hRule="exact"/>
          <w:jc w:val="center"/>
        </w:trPr>
        <w:tc>
          <w:tcPr>
            <w:tcW w:w="45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12</w:t>
            </w:r>
          </w:p>
        </w:tc>
        <w:tc>
          <w:tcPr>
            <w:tcW w:w="108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行政效能</w:t>
            </w:r>
          </w:p>
        </w:tc>
        <w:tc>
          <w:tcPr>
            <w:tcW w:w="40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1"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促进部门改进文风会风，加 强经费及资产管理，推动网 上办事，提高行政效率，降 低行政成本效果较好的计</w:t>
            </w:r>
            <w:r>
              <w:rPr>
                <w:rFonts w:hint="eastAsia" w:ascii="宋体" w:hAnsi="宋体" w:eastAsia="宋体" w:cs="宋体"/>
                <w:b/>
                <w:bCs/>
                <w:color w:val="000000"/>
                <w:spacing w:val="0"/>
                <w:w w:val="100"/>
                <w:position w:val="0"/>
                <w:sz w:val="18"/>
                <w:szCs w:val="18"/>
              </w:rPr>
              <w:t xml:space="preserve">6 </w:t>
            </w:r>
            <w:r>
              <w:rPr>
                <w:rFonts w:hint="eastAsia" w:ascii="宋体" w:hAnsi="宋体" w:eastAsia="宋体" w:cs="宋体"/>
                <w:color w:val="000000"/>
                <w:spacing w:val="0"/>
                <w:w w:val="100"/>
                <w:position w:val="0"/>
                <w:sz w:val="18"/>
                <w:szCs w:val="18"/>
              </w:rPr>
              <w:t>分；一般</w:t>
            </w:r>
            <w:r>
              <w:rPr>
                <w:rFonts w:hint="eastAsia" w:ascii="宋体" w:hAnsi="宋体" w:eastAsia="宋体" w:cs="宋体"/>
                <w:b/>
                <w:bCs/>
                <w:color w:val="000000"/>
                <w:spacing w:val="0"/>
                <w:w w:val="100"/>
                <w:position w:val="0"/>
                <w:sz w:val="18"/>
                <w:szCs w:val="18"/>
              </w:rPr>
              <w:t>3</w:t>
            </w:r>
            <w:r>
              <w:rPr>
                <w:rFonts w:hint="eastAsia" w:ascii="宋体" w:hAnsi="宋体" w:eastAsia="宋体" w:cs="宋体"/>
                <w:color w:val="000000"/>
                <w:spacing w:val="0"/>
                <w:w w:val="100"/>
                <w:position w:val="0"/>
                <w:sz w:val="18"/>
                <w:szCs w:val="18"/>
              </w:rPr>
              <w:t>分；无效果或者 效果不明显</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根据部门实际情况评定。</w:t>
            </w:r>
          </w:p>
        </w:tc>
        <w:tc>
          <w:tcPr>
            <w:tcW w:w="847"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1639" w:hRule="exact"/>
          <w:jc w:val="center"/>
        </w:trPr>
        <w:tc>
          <w:tcPr>
            <w:tcW w:w="452"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社会公众或服务对象满意度</w:t>
            </w:r>
          </w:p>
        </w:tc>
        <w:tc>
          <w:tcPr>
            <w:tcW w:w="408"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90% </w:t>
            </w:r>
            <w:r>
              <w:rPr>
                <w:rFonts w:hint="eastAsia" w:ascii="宋体" w:hAnsi="宋体" w:eastAsia="宋体" w:cs="宋体"/>
                <w:color w:val="000000"/>
                <w:spacing w:val="0"/>
                <w:w w:val="100"/>
                <w:position w:val="0"/>
                <w:sz w:val="18"/>
                <w:szCs w:val="18"/>
              </w:rPr>
              <w:t>（含）以上计</w:t>
            </w:r>
            <w:r>
              <w:rPr>
                <w:rFonts w:hint="eastAsia" w:ascii="宋体" w:hAnsi="宋体" w:eastAsia="宋体" w:cs="宋体"/>
                <w:b/>
                <w:bCs/>
                <w:color w:val="000000"/>
                <w:spacing w:val="0"/>
                <w:w w:val="100"/>
                <w:position w:val="0"/>
                <w:sz w:val="18"/>
                <w:szCs w:val="18"/>
              </w:rPr>
              <w:t>6</w:t>
            </w:r>
            <w:r>
              <w:rPr>
                <w:rFonts w:hint="eastAsia" w:ascii="宋体" w:hAnsi="宋体" w:eastAsia="宋体" w:cs="宋体"/>
                <w:color w:val="000000"/>
                <w:spacing w:val="0"/>
                <w:w w:val="100"/>
                <w:position w:val="0"/>
                <w:sz w:val="18"/>
                <w:szCs w:val="18"/>
              </w:rPr>
              <w:t>分；</w:t>
            </w:r>
          </w:p>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80%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-90%,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p>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70%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-80%,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2 </w:t>
            </w:r>
            <w:r>
              <w:rPr>
                <w:rFonts w:hint="eastAsia" w:ascii="宋体" w:hAnsi="宋体" w:eastAsia="宋体" w:cs="宋体"/>
                <w:color w:val="000000"/>
                <w:spacing w:val="0"/>
                <w:w w:val="100"/>
                <w:position w:val="0"/>
                <w:sz w:val="18"/>
                <w:szCs w:val="18"/>
              </w:rPr>
              <w:t>分； 低于</w:t>
            </w:r>
            <w:r>
              <w:rPr>
                <w:rFonts w:hint="eastAsia" w:ascii="宋体" w:hAnsi="宋体" w:eastAsia="宋体" w:cs="宋体"/>
                <w:b/>
                <w:bCs/>
                <w:color w:val="000000"/>
                <w:spacing w:val="0"/>
                <w:w w:val="100"/>
                <w:position w:val="0"/>
                <w:sz w:val="18"/>
                <w:szCs w:val="18"/>
              </w:rPr>
              <w:t>70%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社会公众或服务对象是指部门（单位）履行职责而影响到的部门、群体或个人，一般采取社会 调查的方式。</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bl>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19"/>
        <w:keepNext w:val="0"/>
        <w:keepLines w:val="0"/>
        <w:widowControl w:val="0"/>
        <w:shd w:val="clear" w:color="auto" w:fill="auto"/>
        <w:bidi w:val="0"/>
        <w:spacing w:after="420" w:line="240" w:lineRule="auto"/>
        <w:ind w:left="0" w:leftChars="0" w:right="0" w:firstLine="0" w:firstLineChars="0"/>
        <w:jc w:val="left"/>
        <w:rPr>
          <w:rFonts w:hint="eastAsia" w:ascii="宋体" w:hAnsi="宋体" w:eastAsia="宋体" w:cs="宋体"/>
          <w:b w:val="0"/>
          <w:bCs w:val="0"/>
          <w:color w:val="000000"/>
          <w:spacing w:val="0"/>
          <w:w w:val="100"/>
          <w:position w:val="0"/>
          <w:sz w:val="24"/>
          <w:szCs w:val="24"/>
          <w:lang w:val="zh-CN" w:eastAsia="zh-CN" w:bidi="zh-CN"/>
        </w:rPr>
      </w:pPr>
      <w:r>
        <w:rPr>
          <w:rFonts w:hint="eastAsia" w:ascii="宋体" w:hAnsi="宋体" w:eastAsia="宋体" w:cs="宋体"/>
          <w:b w:val="0"/>
          <w:bCs w:val="0"/>
          <w:color w:val="000000"/>
          <w:spacing w:val="0"/>
          <w:w w:val="100"/>
          <w:position w:val="0"/>
          <w:sz w:val="24"/>
          <w:szCs w:val="24"/>
          <w:lang w:val="zh-CN" w:eastAsia="zh-CN" w:bidi="zh-CN"/>
        </w:rPr>
        <w:t>附件</w:t>
      </w:r>
      <w:r>
        <w:rPr>
          <w:rFonts w:hint="eastAsia" w:ascii="宋体" w:hAnsi="宋体" w:eastAsia="宋体" w:cs="宋体"/>
          <w:b w:val="0"/>
          <w:bCs w:val="0"/>
          <w:color w:val="000000"/>
          <w:spacing w:val="0"/>
          <w:w w:val="100"/>
          <w:position w:val="0"/>
          <w:sz w:val="24"/>
          <w:szCs w:val="24"/>
          <w:lang w:val="en-US" w:eastAsia="zh-CN" w:bidi="zh-CN"/>
        </w:rPr>
        <w:t>1</w:t>
      </w:r>
      <w:r>
        <w:rPr>
          <w:rFonts w:hint="eastAsia" w:ascii="宋体" w:hAnsi="宋体" w:eastAsia="宋体" w:cs="宋体"/>
          <w:b w:val="0"/>
          <w:bCs w:val="0"/>
          <w:color w:val="000000"/>
          <w:spacing w:val="0"/>
          <w:w w:val="100"/>
          <w:position w:val="0"/>
          <w:sz w:val="24"/>
          <w:szCs w:val="24"/>
          <w:lang w:val="en-US" w:eastAsia="en-US" w:bidi="zh-CN"/>
        </w:rPr>
        <w:t>-2</w:t>
      </w:r>
    </w:p>
    <w:p>
      <w:pPr>
        <w:pStyle w:val="19"/>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bookmarkStart w:id="3" w:name="bookmark87"/>
      <w:bookmarkStart w:id="4" w:name="bookmark85"/>
      <w:bookmarkStart w:id="5" w:name="bookmark86"/>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部门整体支出绩效评价基础数据表</w:t>
      </w:r>
      <w:bookmarkEnd w:id="3"/>
      <w:bookmarkEnd w:id="4"/>
      <w:bookmarkEnd w:id="5"/>
    </w:p>
    <w:p>
      <w:pPr>
        <w:pStyle w:val="21"/>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填报单位：</w:t>
      </w:r>
      <w:r>
        <w:rPr>
          <w:rFonts w:hint="eastAsia" w:cs="宋体"/>
          <w:color w:val="000000"/>
          <w:spacing w:val="0"/>
          <w:w w:val="100"/>
          <w:position w:val="0"/>
          <w:sz w:val="24"/>
          <w:szCs w:val="24"/>
          <w:lang w:eastAsia="zh-CN"/>
        </w:rPr>
        <w:t>珠晖区卫生计生综合监督执法局</w:t>
      </w:r>
    </w:p>
    <w:tbl>
      <w:tblPr>
        <w:tblStyle w:val="4"/>
        <w:tblW w:w="9437" w:type="dxa"/>
        <w:jc w:val="center"/>
        <w:tblLayout w:type="fixed"/>
        <w:tblCellMar>
          <w:top w:w="0" w:type="dxa"/>
          <w:left w:w="10" w:type="dxa"/>
          <w:bottom w:w="0" w:type="dxa"/>
          <w:right w:w="10" w:type="dxa"/>
        </w:tblCellMar>
      </w:tblPr>
      <w:tblGrid>
        <w:gridCol w:w="3261"/>
        <w:gridCol w:w="1826"/>
        <w:gridCol w:w="2286"/>
        <w:gridCol w:w="2064"/>
      </w:tblGrid>
      <w:tr>
        <w:tblPrEx>
          <w:tblCellMar>
            <w:top w:w="0" w:type="dxa"/>
            <w:left w:w="10" w:type="dxa"/>
            <w:bottom w:w="0" w:type="dxa"/>
            <w:right w:w="10" w:type="dxa"/>
          </w:tblCellMar>
        </w:tblPrEx>
        <w:trPr>
          <w:trHeight w:val="442" w:hRule="exact"/>
          <w:jc w:val="center"/>
        </w:trPr>
        <w:tc>
          <w:tcPr>
            <w:tcW w:w="9437" w:type="dxa"/>
            <w:gridSpan w:val="4"/>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tabs>
                <w:tab w:val="left" w:pos="2015"/>
              </w:tabs>
              <w:bidi w:val="0"/>
              <w:spacing w:before="0" w:after="0" w:line="240" w:lineRule="auto"/>
              <w:ind w:left="0" w:right="0" w:firstLine="0"/>
              <w:jc w:val="center"/>
              <w:rPr>
                <w:rFonts w:hint="eastAsia" w:ascii="宋体" w:hAnsi="宋体" w:eastAsia="宋体" w:cs="宋体"/>
                <w:color w:val="000000"/>
                <w:spacing w:val="0"/>
                <w:w w:val="100"/>
                <w:position w:val="0"/>
                <w:sz w:val="24"/>
                <w:szCs w:val="24"/>
                <w:lang w:eastAsia="zh-CN"/>
              </w:rPr>
            </w:pPr>
            <w:r>
              <w:rPr>
                <w:rFonts w:hint="eastAsia" w:ascii="宋体" w:hAnsi="宋体" w:eastAsia="宋体" w:cs="宋体"/>
                <w:b/>
                <w:bCs/>
                <w:color w:val="000000"/>
                <w:spacing w:val="0"/>
                <w:w w:val="100"/>
                <w:position w:val="0"/>
                <w:sz w:val="28"/>
                <w:szCs w:val="28"/>
              </w:rPr>
              <w:t>一、部门（单位）基本概况</w:t>
            </w:r>
          </w:p>
        </w:tc>
      </w:tr>
      <w:tr>
        <w:tblPrEx>
          <w:tblCellMar>
            <w:top w:w="0" w:type="dxa"/>
            <w:left w:w="10" w:type="dxa"/>
            <w:bottom w:w="0" w:type="dxa"/>
            <w:right w:w="10" w:type="dxa"/>
          </w:tblCellMar>
        </w:tblPrEx>
        <w:trPr>
          <w:trHeight w:val="442"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right="0"/>
              <w:jc w:val="left"/>
              <w:rPr>
                <w:rFonts w:hint="eastAsia" w:ascii="宋体" w:hAnsi="宋体" w:eastAsia="宋体" w:cs="宋体"/>
                <w:color w:val="000000"/>
                <w:spacing w:val="0"/>
                <w:w w:val="100"/>
                <w:position w:val="0"/>
                <w:sz w:val="24"/>
                <w:szCs w:val="24"/>
                <w:lang w:val="zh-CN" w:eastAsia="zh-CN"/>
              </w:rPr>
            </w:pPr>
            <w:r>
              <w:rPr>
                <w:rFonts w:hint="eastAsia" w:ascii="宋体" w:hAnsi="宋体" w:eastAsia="宋体" w:cs="宋体"/>
                <w:color w:val="000000"/>
                <w:spacing w:val="0"/>
                <w:w w:val="100"/>
                <w:position w:val="0"/>
                <w:sz w:val="24"/>
                <w:szCs w:val="24"/>
                <w:lang w:val="zh-CN" w:eastAsia="zh-CN"/>
              </w:rPr>
              <w:t>联系人</w:t>
            </w:r>
          </w:p>
        </w:tc>
        <w:tc>
          <w:tcPr>
            <w:tcW w:w="182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right="0"/>
              <w:jc w:val="left"/>
              <w:rPr>
                <w:rFonts w:hint="eastAsia" w:ascii="宋体" w:hAnsi="宋体" w:eastAsia="宋体" w:cs="宋体"/>
                <w:color w:val="000000"/>
                <w:spacing w:val="0"/>
                <w:w w:val="100"/>
                <w:position w:val="0"/>
                <w:sz w:val="24"/>
                <w:szCs w:val="24"/>
                <w:lang w:val="zh-CN" w:eastAsia="zh-CN"/>
              </w:rPr>
            </w:pPr>
            <w:r>
              <w:rPr>
                <w:rFonts w:hint="eastAsia" w:cs="宋体"/>
                <w:color w:val="000000"/>
                <w:spacing w:val="0"/>
                <w:w w:val="100"/>
                <w:position w:val="0"/>
                <w:sz w:val="24"/>
                <w:szCs w:val="24"/>
                <w:lang w:val="zh-CN" w:eastAsia="zh-CN"/>
              </w:rPr>
              <w:t>办公室</w:t>
            </w:r>
          </w:p>
        </w:tc>
        <w:tc>
          <w:tcPr>
            <w:tcW w:w="228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right="0"/>
              <w:jc w:val="left"/>
              <w:rPr>
                <w:rFonts w:hint="eastAsia" w:ascii="宋体" w:hAnsi="宋体" w:eastAsia="宋体" w:cs="宋体"/>
                <w:color w:val="000000"/>
                <w:spacing w:val="0"/>
                <w:w w:val="100"/>
                <w:position w:val="0"/>
                <w:sz w:val="24"/>
                <w:szCs w:val="24"/>
                <w:lang w:val="zh-CN" w:eastAsia="zh-CN"/>
              </w:rPr>
            </w:pPr>
            <w:r>
              <w:rPr>
                <w:rFonts w:hint="eastAsia" w:ascii="宋体" w:hAnsi="宋体" w:eastAsia="宋体" w:cs="宋体"/>
                <w:color w:val="000000"/>
                <w:spacing w:val="0"/>
                <w:w w:val="100"/>
                <w:position w:val="0"/>
                <w:sz w:val="24"/>
                <w:szCs w:val="24"/>
                <w:lang w:val="zh-CN" w:eastAsia="zh-CN"/>
              </w:rPr>
              <w:t>联络电话</w:t>
            </w:r>
          </w:p>
        </w:tc>
        <w:tc>
          <w:tcPr>
            <w:tcW w:w="2064"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20"/>
              <w:jc w:val="left"/>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0734-8343670</w:t>
            </w:r>
          </w:p>
        </w:tc>
      </w:tr>
      <w:tr>
        <w:tblPrEx>
          <w:tblCellMar>
            <w:top w:w="0" w:type="dxa"/>
            <w:left w:w="10" w:type="dxa"/>
            <w:bottom w:w="0" w:type="dxa"/>
            <w:right w:w="10" w:type="dxa"/>
          </w:tblCellMar>
        </w:tblPrEx>
        <w:trPr>
          <w:trHeight w:val="442" w:hRule="exact"/>
          <w:jc w:val="center"/>
        </w:trPr>
        <w:tc>
          <w:tcPr>
            <w:tcW w:w="3261"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right="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财政供养人员情况</w:t>
            </w:r>
          </w:p>
        </w:tc>
        <w:tc>
          <w:tcPr>
            <w:tcW w:w="182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编制数</w:t>
            </w:r>
          </w:p>
        </w:tc>
        <w:tc>
          <w:tcPr>
            <w:tcW w:w="228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cs="宋体"/>
                <w:b/>
                <w:bCs/>
                <w:color w:val="000000"/>
                <w:spacing w:val="0"/>
                <w:w w:val="100"/>
                <w:position w:val="0"/>
                <w:sz w:val="24"/>
                <w:szCs w:val="24"/>
                <w:lang w:val="en-US" w:eastAsia="zh-CN"/>
              </w:rPr>
              <w:t>2020</w:t>
            </w:r>
            <w:r>
              <w:rPr>
                <w:rFonts w:hint="eastAsia" w:ascii="宋体" w:hAnsi="宋体" w:eastAsia="宋体" w:cs="宋体"/>
                <w:color w:val="000000"/>
                <w:spacing w:val="0"/>
                <w:w w:val="100"/>
                <w:position w:val="0"/>
                <w:sz w:val="24"/>
                <w:szCs w:val="24"/>
              </w:rPr>
              <w:t>年实际在职人数</w:t>
            </w:r>
          </w:p>
        </w:tc>
        <w:tc>
          <w:tcPr>
            <w:tcW w:w="2064"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控制率</w:t>
            </w:r>
          </w:p>
        </w:tc>
      </w:tr>
      <w:tr>
        <w:tblPrEx>
          <w:tblCellMar>
            <w:top w:w="0" w:type="dxa"/>
            <w:left w:w="10" w:type="dxa"/>
            <w:bottom w:w="0" w:type="dxa"/>
            <w:right w:w="10" w:type="dxa"/>
          </w:tblCellMar>
        </w:tblPrEx>
        <w:trPr>
          <w:trHeight w:val="600" w:hRule="exact"/>
          <w:jc w:val="center"/>
        </w:trPr>
        <w:tc>
          <w:tcPr>
            <w:tcW w:w="3261" w:type="dxa"/>
            <w:vMerge w:val="continue"/>
            <w:tcBorders>
              <w:left w:val="single" w:color="auto" w:sz="4" w:space="0"/>
              <w:bottom w:val="single" w:color="auto" w:sz="4" w:space="0"/>
            </w:tcBorders>
            <w:shd w:val="clear" w:color="auto" w:fill="FFFFFF"/>
            <w:vAlign w:val="center"/>
          </w:tcPr>
          <w:p>
            <w:pPr>
              <w:rPr>
                <w:rFonts w:hint="eastAsia" w:ascii="宋体" w:hAnsi="宋体" w:eastAsia="宋体" w:cs="宋体"/>
                <w:sz w:val="24"/>
                <w:szCs w:val="24"/>
              </w:rPr>
            </w:pPr>
          </w:p>
        </w:tc>
        <w:tc>
          <w:tcPr>
            <w:tcW w:w="1826" w:type="dxa"/>
            <w:tcBorders>
              <w:top w:val="single" w:color="auto" w:sz="4" w:space="0"/>
              <w:left w:val="single" w:color="auto" w:sz="4" w:space="0"/>
              <w:bottom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10人</w:t>
            </w:r>
          </w:p>
        </w:tc>
        <w:tc>
          <w:tcPr>
            <w:tcW w:w="2286" w:type="dxa"/>
            <w:tcBorders>
              <w:top w:val="single" w:color="auto" w:sz="4" w:space="0"/>
              <w:left w:val="single" w:color="auto" w:sz="4" w:space="0"/>
              <w:bottom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9人</w:t>
            </w:r>
          </w:p>
        </w:tc>
        <w:tc>
          <w:tcPr>
            <w:tcW w:w="206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100%</w:t>
            </w:r>
          </w:p>
        </w:tc>
      </w:tr>
      <w:tr>
        <w:tblPrEx>
          <w:tblCellMar>
            <w:top w:w="0" w:type="dxa"/>
            <w:left w:w="10" w:type="dxa"/>
            <w:bottom w:w="0" w:type="dxa"/>
            <w:right w:w="10" w:type="dxa"/>
          </w:tblCellMar>
        </w:tblPrEx>
        <w:trPr>
          <w:trHeight w:val="6006" w:hRule="exact"/>
          <w:jc w:val="center"/>
        </w:trPr>
        <w:tc>
          <w:tcPr>
            <w:tcW w:w="3261" w:type="dxa"/>
            <w:tcBorders>
              <w:top w:val="single" w:color="auto" w:sz="4" w:space="0"/>
              <w:left w:val="single" w:color="auto" w:sz="4" w:space="0"/>
              <w:right w:val="single" w:color="auto" w:sz="4" w:space="0"/>
            </w:tcBorders>
            <w:shd w:val="clear" w:color="auto" w:fill="FFFFFF"/>
            <w:vAlign w:val="bottom"/>
          </w:tcPr>
          <w:p>
            <w:pPr>
              <w:bidi w:val="0"/>
              <w:ind w:left="0" w:leftChars="0"/>
              <w:jc w:val="left"/>
              <w:rPr>
                <w:rFonts w:hint="eastAsia"/>
                <w:sz w:val="24"/>
                <w:szCs w:val="24"/>
              </w:rPr>
            </w:pPr>
            <w:r>
              <w:rPr>
                <w:rFonts w:hint="eastAsia"/>
                <w:sz w:val="24"/>
                <w:szCs w:val="24"/>
              </w:rPr>
              <w:t>职能职责概述</w:t>
            </w:r>
          </w:p>
        </w:tc>
        <w:tc>
          <w:tcPr>
            <w:tcW w:w="6176" w:type="dxa"/>
            <w:gridSpan w:val="3"/>
            <w:tcBorders>
              <w:top w:val="single" w:color="auto" w:sz="4" w:space="0"/>
              <w:left w:val="single" w:color="auto" w:sz="4" w:space="0"/>
              <w:right w:val="single" w:color="auto" w:sz="4" w:space="0"/>
            </w:tcBorders>
            <w:shd w:val="clear" w:color="auto" w:fill="FFFFFF"/>
            <w:vAlign w:val="bottom"/>
          </w:tcPr>
          <w:p>
            <w:pPr>
              <w:bidi w:val="0"/>
              <w:jc w:val="left"/>
              <w:rPr>
                <w:rFonts w:hint="eastAsia"/>
                <w:sz w:val="24"/>
                <w:szCs w:val="24"/>
              </w:rPr>
            </w:pPr>
            <w:r>
              <w:rPr>
                <w:rFonts w:hint="eastAsia"/>
                <w:sz w:val="18"/>
                <w:szCs w:val="18"/>
              </w:rPr>
              <w:t>根据《中华人民共和国地方各级人民代表大会和地方各级人民政府组织法》规定，珠晖区卫生计生综合监督执法局主要职责是：负责全区卫生、计生监督执法工作，卫生许可证，职业许可证的受理、审批、发放，计生安全事故的调查及开展卫生法规宣传培训等，负责制定医疗机构和医疗服务行业管理办法并监督实施。</w:t>
            </w:r>
          </w:p>
        </w:tc>
      </w:tr>
      <w:tr>
        <w:tblPrEx>
          <w:tblCellMar>
            <w:top w:w="0" w:type="dxa"/>
            <w:left w:w="10" w:type="dxa"/>
            <w:bottom w:w="0" w:type="dxa"/>
            <w:right w:w="10" w:type="dxa"/>
          </w:tblCellMar>
        </w:tblPrEx>
        <w:trPr>
          <w:trHeight w:val="1497" w:hRule="exact"/>
          <w:jc w:val="center"/>
        </w:trPr>
        <w:tc>
          <w:tcPr>
            <w:tcW w:w="3261" w:type="dxa"/>
            <w:tcBorders>
              <w:top w:val="single" w:color="auto" w:sz="4" w:space="0"/>
              <w:left w:val="single" w:color="auto" w:sz="4" w:space="0"/>
              <w:right w:val="single" w:color="auto" w:sz="4" w:space="0"/>
            </w:tcBorders>
            <w:shd w:val="clear" w:color="auto" w:fill="FFFFFF"/>
            <w:vAlign w:val="bottom"/>
          </w:tcPr>
          <w:p>
            <w:pPr>
              <w:bidi w:val="0"/>
              <w:ind w:left="0" w:leftChars="0"/>
              <w:jc w:val="left"/>
              <w:rPr>
                <w:rFonts w:hint="eastAsia"/>
                <w:sz w:val="24"/>
                <w:szCs w:val="24"/>
              </w:rPr>
            </w:pPr>
            <w:r>
              <w:rPr>
                <w:rFonts w:hint="eastAsia"/>
                <w:sz w:val="24"/>
                <w:szCs w:val="24"/>
              </w:rPr>
              <w:t>年度主要工作内容</w:t>
            </w:r>
          </w:p>
        </w:tc>
        <w:tc>
          <w:tcPr>
            <w:tcW w:w="6176" w:type="dxa"/>
            <w:gridSpan w:val="3"/>
            <w:tcBorders>
              <w:top w:val="single" w:color="auto" w:sz="4" w:space="0"/>
              <w:left w:val="single" w:color="auto" w:sz="4" w:space="0"/>
              <w:right w:val="single" w:color="auto" w:sz="4" w:space="0"/>
            </w:tcBorders>
            <w:shd w:val="clear" w:color="auto" w:fill="FFFFFF"/>
            <w:vAlign w:val="bottom"/>
          </w:tcPr>
          <w:p>
            <w:pPr>
              <w:bidi w:val="0"/>
              <w:jc w:val="left"/>
              <w:rPr>
                <w:rFonts w:hint="eastAsia"/>
                <w:sz w:val="18"/>
                <w:szCs w:val="18"/>
              </w:rPr>
            </w:pPr>
            <w:r>
              <w:rPr>
                <w:rFonts w:hint="eastAsia"/>
                <w:sz w:val="18"/>
                <w:szCs w:val="18"/>
              </w:rPr>
              <w:t>区</w:t>
            </w:r>
            <w:r>
              <w:rPr>
                <w:rFonts w:hint="eastAsia"/>
                <w:sz w:val="18"/>
                <w:szCs w:val="18"/>
                <w:lang w:eastAsia="zh-CN"/>
              </w:rPr>
              <w:t>卫计执法</w:t>
            </w:r>
            <w:r>
              <w:rPr>
                <w:rFonts w:hint="eastAsia"/>
                <w:sz w:val="18"/>
                <w:szCs w:val="18"/>
              </w:rPr>
              <w:t>局深入贯彻党的十九大精神，以健康珠晖建设为主线，坚持稳中求进工作总基调，精准对接人民群众日益增长的多样化健康需求，深入开展“创建国家卫生城市”工作，加强治理能力和治理体系建设，努力全方位、全周期维护人民群众健康。</w:t>
            </w:r>
          </w:p>
        </w:tc>
      </w:tr>
      <w:tr>
        <w:tblPrEx>
          <w:tblCellMar>
            <w:top w:w="0" w:type="dxa"/>
            <w:left w:w="10" w:type="dxa"/>
            <w:bottom w:w="0" w:type="dxa"/>
            <w:right w:w="10" w:type="dxa"/>
          </w:tblCellMar>
        </w:tblPrEx>
        <w:trPr>
          <w:trHeight w:val="2241" w:hRule="exact"/>
          <w:jc w:val="center"/>
        </w:trPr>
        <w:tc>
          <w:tcPr>
            <w:tcW w:w="3261" w:type="dxa"/>
            <w:tcBorders>
              <w:top w:val="single" w:color="auto" w:sz="4" w:space="0"/>
              <w:left w:val="single" w:color="auto" w:sz="4" w:space="0"/>
              <w:bottom w:val="single" w:color="auto" w:sz="4" w:space="0"/>
              <w:right w:val="single" w:color="auto" w:sz="4" w:space="0"/>
            </w:tcBorders>
            <w:shd w:val="clear" w:color="auto" w:fill="FFFFFF"/>
            <w:vAlign w:val="bottom"/>
          </w:tcPr>
          <w:p>
            <w:pPr>
              <w:bidi w:val="0"/>
              <w:ind w:left="0" w:leftChars="0"/>
              <w:jc w:val="left"/>
              <w:rPr>
                <w:rFonts w:hint="eastAsia"/>
                <w:sz w:val="24"/>
                <w:szCs w:val="24"/>
              </w:rPr>
            </w:pPr>
            <w:r>
              <w:rPr>
                <w:rFonts w:hint="eastAsia" w:ascii="宋体" w:hAnsi="宋体" w:eastAsia="宋体" w:cs="宋体"/>
                <w:color w:val="000000"/>
                <w:spacing w:val="0"/>
                <w:w w:val="100"/>
                <w:kern w:val="2"/>
                <w:position w:val="0"/>
                <w:sz w:val="24"/>
                <w:szCs w:val="24"/>
                <w:u w:val="none"/>
                <w:shd w:val="clear" w:color="auto" w:fill="auto"/>
                <w:lang w:val="zh-CN" w:eastAsia="zh-CN" w:bidi="zh-CN"/>
              </w:rPr>
              <w:t>年度部门（单位）总体运行情况及取得的成绩</w:t>
            </w:r>
          </w:p>
        </w:tc>
        <w:tc>
          <w:tcPr>
            <w:tcW w:w="6176" w:type="dxa"/>
            <w:gridSpan w:val="3"/>
            <w:tcBorders>
              <w:top w:val="single" w:color="auto" w:sz="4" w:space="0"/>
              <w:left w:val="single" w:color="auto" w:sz="4" w:space="0"/>
              <w:bottom w:val="single" w:color="auto" w:sz="4" w:space="0"/>
              <w:right w:val="single" w:color="auto" w:sz="4" w:space="0"/>
            </w:tcBorders>
            <w:shd w:val="clear" w:color="auto" w:fill="FFFFFF"/>
            <w:vAlign w:val="bottom"/>
          </w:tcPr>
          <w:p>
            <w:pPr>
              <w:bidi w:val="0"/>
              <w:jc w:val="left"/>
              <w:rPr>
                <w:rFonts w:hint="eastAsia" w:ascii="楷体_GB2312" w:hAnsi="楷体_GB2312" w:eastAsia="宋体" w:cs="楷体_GB2312"/>
                <w:b/>
                <w:bCs/>
                <w:sz w:val="32"/>
                <w:szCs w:val="32"/>
                <w:lang w:eastAsia="zh-CN"/>
              </w:rPr>
            </w:pPr>
            <w:r>
              <w:rPr>
                <w:rFonts w:hint="eastAsia"/>
                <w:sz w:val="18"/>
                <w:szCs w:val="18"/>
              </w:rPr>
              <w:t>开展提质整治，全力搞好创卫评估。实行执证营业。区卫计执法局担负全区“四小”行业卫生监管职能，即：小旅店、小理发美容店、小浴室、小歌舞厅，按照创卫评估工作要求，对全区“四小”行业实行执证营业，督促“四小门店”办理好公共场所卫生许可证</w:t>
            </w:r>
            <w:r>
              <w:rPr>
                <w:rFonts w:hint="eastAsia"/>
                <w:sz w:val="18"/>
                <w:szCs w:val="18"/>
                <w:lang w:eastAsia="zh-CN"/>
              </w:rPr>
              <w:t>。</w:t>
            </w:r>
          </w:p>
        </w:tc>
      </w:tr>
      <w:tr>
        <w:tblPrEx>
          <w:tblCellMar>
            <w:top w:w="0" w:type="dxa"/>
            <w:left w:w="10" w:type="dxa"/>
            <w:bottom w:w="0" w:type="dxa"/>
            <w:right w:w="10" w:type="dxa"/>
          </w:tblCellMar>
        </w:tblPrEx>
        <w:trPr>
          <w:trHeight w:val="437" w:hRule="exact"/>
          <w:jc w:val="center"/>
        </w:trPr>
        <w:tc>
          <w:tcPr>
            <w:tcW w:w="9437" w:type="dxa"/>
            <w:gridSpan w:val="4"/>
            <w:tcBorders>
              <w:top w:val="single" w:color="auto" w:sz="4" w:space="0"/>
              <w:left w:val="single" w:color="auto" w:sz="4" w:space="0"/>
              <w:righ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24"/>
                <w:szCs w:val="24"/>
              </w:rPr>
            </w:pPr>
            <w:r>
              <w:rPr>
                <w:rFonts w:hint="eastAsia" w:ascii="宋体" w:hAnsi="宋体" w:eastAsia="宋体" w:cs="宋体"/>
                <w:b/>
                <w:bCs/>
                <w:color w:val="000000"/>
                <w:spacing w:val="0"/>
                <w:w w:val="100"/>
                <w:position w:val="0"/>
                <w:sz w:val="28"/>
                <w:szCs w:val="28"/>
              </w:rPr>
              <w:t>二、部门（单位）收支情况</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经费控制情况</w:t>
            </w:r>
          </w:p>
        </w:tc>
        <w:tc>
          <w:tcPr>
            <w:tcW w:w="1826"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201</w:t>
            </w:r>
            <w:r>
              <w:rPr>
                <w:rFonts w:hint="eastAsia" w:cs="宋体"/>
                <w:b/>
                <w:bCs/>
                <w:color w:val="000000"/>
                <w:spacing w:val="0"/>
                <w:w w:val="100"/>
                <w:position w:val="0"/>
                <w:sz w:val="24"/>
                <w:szCs w:val="24"/>
                <w:lang w:val="en-US" w:eastAsia="zh-CN"/>
              </w:rPr>
              <w:t>9</w:t>
            </w:r>
            <w:r>
              <w:rPr>
                <w:rFonts w:hint="eastAsia" w:ascii="宋体" w:hAnsi="宋体" w:eastAsia="宋体" w:cs="宋体"/>
                <w:b/>
                <w:bCs/>
                <w:color w:val="000000"/>
                <w:spacing w:val="0"/>
                <w:w w:val="100"/>
                <w:position w:val="0"/>
                <w:sz w:val="24"/>
                <w:szCs w:val="24"/>
              </w:rPr>
              <w:t>年决算数</w:t>
            </w:r>
          </w:p>
        </w:tc>
        <w:tc>
          <w:tcPr>
            <w:tcW w:w="2286"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20</w:t>
            </w:r>
            <w:r>
              <w:rPr>
                <w:rFonts w:hint="eastAsia" w:cs="宋体"/>
                <w:b/>
                <w:bCs/>
                <w:color w:val="000000"/>
                <w:spacing w:val="0"/>
                <w:w w:val="100"/>
                <w:position w:val="0"/>
                <w:sz w:val="24"/>
                <w:szCs w:val="24"/>
                <w:lang w:val="en-US" w:eastAsia="zh-CN"/>
              </w:rPr>
              <w:t>20</w:t>
            </w:r>
            <w:r>
              <w:rPr>
                <w:rFonts w:hint="eastAsia" w:ascii="宋体" w:hAnsi="宋体" w:eastAsia="宋体" w:cs="宋体"/>
                <w:b/>
                <w:bCs/>
                <w:color w:val="000000"/>
                <w:spacing w:val="0"/>
                <w:w w:val="100"/>
                <w:position w:val="0"/>
                <w:sz w:val="24"/>
                <w:szCs w:val="24"/>
              </w:rPr>
              <w:t>年预算数</w:t>
            </w:r>
          </w:p>
        </w:tc>
        <w:tc>
          <w:tcPr>
            <w:tcW w:w="2064" w:type="dxa"/>
            <w:tcBorders>
              <w:top w:val="single" w:color="auto" w:sz="4" w:space="0"/>
              <w:left w:val="single" w:color="auto" w:sz="4" w:space="0"/>
              <w:righ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20</w:t>
            </w:r>
            <w:r>
              <w:rPr>
                <w:rFonts w:hint="eastAsia" w:cs="宋体"/>
                <w:b/>
                <w:bCs/>
                <w:color w:val="000000"/>
                <w:spacing w:val="0"/>
                <w:w w:val="100"/>
                <w:position w:val="0"/>
                <w:sz w:val="24"/>
                <w:szCs w:val="24"/>
                <w:lang w:val="en-US" w:eastAsia="zh-CN"/>
              </w:rPr>
              <w:t>20</w:t>
            </w:r>
            <w:r>
              <w:rPr>
                <w:rFonts w:hint="eastAsia" w:ascii="宋体" w:hAnsi="宋体" w:eastAsia="宋体" w:cs="宋体"/>
                <w:b/>
                <w:bCs/>
                <w:color w:val="000000"/>
                <w:spacing w:val="0"/>
                <w:w w:val="100"/>
                <w:position w:val="0"/>
                <w:sz w:val="24"/>
                <w:szCs w:val="24"/>
              </w:rPr>
              <w:t>年决算数</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三公经费</w:t>
            </w:r>
          </w:p>
        </w:tc>
        <w:tc>
          <w:tcPr>
            <w:tcW w:w="1826" w:type="dxa"/>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0万元</w:t>
            </w:r>
          </w:p>
        </w:tc>
        <w:tc>
          <w:tcPr>
            <w:tcW w:w="2286" w:type="dxa"/>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0万元</w:t>
            </w: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0万元</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1</w:t>
            </w:r>
            <w:r>
              <w:rPr>
                <w:rFonts w:hint="eastAsia" w:ascii="宋体" w:hAnsi="宋体" w:eastAsia="宋体" w:cs="宋体"/>
                <w:color w:val="000000"/>
                <w:spacing w:val="0"/>
                <w:w w:val="100"/>
                <w:position w:val="0"/>
                <w:sz w:val="24"/>
                <w:szCs w:val="24"/>
              </w:rPr>
              <w:t>、公务用车购置和维护经费</w:t>
            </w:r>
          </w:p>
        </w:tc>
        <w:tc>
          <w:tcPr>
            <w:tcW w:w="182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2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其中：公车购置</w:t>
            </w:r>
          </w:p>
        </w:tc>
        <w:tc>
          <w:tcPr>
            <w:tcW w:w="182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116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公车运行维护</w:t>
            </w:r>
          </w:p>
        </w:tc>
        <w:tc>
          <w:tcPr>
            <w:tcW w:w="182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2</w:t>
            </w:r>
            <w:r>
              <w:rPr>
                <w:rFonts w:hint="eastAsia" w:ascii="宋体" w:hAnsi="宋体" w:eastAsia="宋体" w:cs="宋体"/>
                <w:color w:val="000000"/>
                <w:spacing w:val="0"/>
                <w:w w:val="100"/>
                <w:position w:val="0"/>
                <w:sz w:val="24"/>
                <w:szCs w:val="24"/>
              </w:rPr>
              <w:t>、出国经费</w:t>
            </w:r>
          </w:p>
        </w:tc>
        <w:tc>
          <w:tcPr>
            <w:tcW w:w="182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3</w:t>
            </w:r>
            <w:r>
              <w:rPr>
                <w:rFonts w:hint="eastAsia" w:ascii="宋体" w:hAnsi="宋体" w:eastAsia="宋体" w:cs="宋体"/>
                <w:color w:val="000000"/>
                <w:spacing w:val="0"/>
                <w:w w:val="100"/>
                <w:position w:val="0"/>
                <w:sz w:val="24"/>
                <w:szCs w:val="24"/>
              </w:rPr>
              <w:t>、公务接待</w:t>
            </w:r>
          </w:p>
        </w:tc>
        <w:tc>
          <w:tcPr>
            <w:tcW w:w="1826" w:type="dxa"/>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0万元</w:t>
            </w: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0万元</w:t>
            </w: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0万元</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项目支出：</w:t>
            </w:r>
          </w:p>
        </w:tc>
        <w:tc>
          <w:tcPr>
            <w:tcW w:w="1826" w:type="dxa"/>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0万元</w:t>
            </w: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0万元</w:t>
            </w: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0万元</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1</w:t>
            </w:r>
            <w:r>
              <w:rPr>
                <w:rFonts w:hint="eastAsia" w:ascii="宋体" w:hAnsi="宋体" w:eastAsia="宋体" w:cs="宋体"/>
                <w:color w:val="000000"/>
                <w:spacing w:val="0"/>
                <w:w w:val="100"/>
                <w:position w:val="0"/>
                <w:sz w:val="24"/>
                <w:szCs w:val="24"/>
              </w:rPr>
              <w:t>、业务工作专项</w:t>
            </w:r>
          </w:p>
        </w:tc>
        <w:tc>
          <w:tcPr>
            <w:tcW w:w="1826" w:type="dxa"/>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p>
        </w:tc>
        <w:tc>
          <w:tcPr>
            <w:tcW w:w="2286" w:type="dxa"/>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kern w:val="2"/>
                <w:sz w:val="24"/>
                <w:szCs w:val="24"/>
                <w:lang w:val="en-US" w:eastAsia="zh-CN" w:bidi="ar-SA"/>
              </w:rPr>
            </w:pP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2</w:t>
            </w:r>
            <w:r>
              <w:rPr>
                <w:rFonts w:hint="eastAsia" w:ascii="宋体" w:hAnsi="宋体" w:eastAsia="宋体" w:cs="宋体"/>
                <w:color w:val="000000"/>
                <w:spacing w:val="0"/>
                <w:w w:val="100"/>
                <w:position w:val="0"/>
                <w:sz w:val="24"/>
                <w:szCs w:val="24"/>
              </w:rPr>
              <w:t>、运行维护专项</w:t>
            </w:r>
          </w:p>
        </w:tc>
        <w:tc>
          <w:tcPr>
            <w:tcW w:w="1826" w:type="dxa"/>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kern w:val="2"/>
                <w:sz w:val="24"/>
                <w:szCs w:val="24"/>
                <w:lang w:val="en-US" w:eastAsia="zh-CN" w:bidi="ar-SA"/>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tabs>
                <w:tab w:val="left" w:leader="dot" w:pos="1539"/>
              </w:tabs>
              <w:bidi w:val="0"/>
              <w:spacing w:before="0" w:after="0" w:line="240" w:lineRule="auto"/>
              <w:ind w:left="1160" w:right="0" w:firstLine="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lang w:val="en-US" w:eastAsia="en-US" w:bidi="en-US"/>
              </w:rPr>
              <w:tab/>
            </w:r>
          </w:p>
        </w:tc>
        <w:tc>
          <w:tcPr>
            <w:tcW w:w="1826" w:type="dxa"/>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公用经费</w:t>
            </w:r>
          </w:p>
        </w:tc>
        <w:tc>
          <w:tcPr>
            <w:tcW w:w="1826" w:type="dxa"/>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2万元</w:t>
            </w: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4.2万元</w:t>
            </w: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4.2万元</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3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其中：办公经费</w:t>
            </w:r>
          </w:p>
        </w:tc>
        <w:tc>
          <w:tcPr>
            <w:tcW w:w="182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2万元</w:t>
            </w: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4.2万元</w:t>
            </w: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4.2万元</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水费、电费、差旅费</w:t>
            </w:r>
          </w:p>
        </w:tc>
        <w:tc>
          <w:tcPr>
            <w:tcW w:w="182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1万元</w:t>
            </w: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4.2万元</w:t>
            </w: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4.2</w:t>
            </w:r>
            <w:bookmarkStart w:id="14" w:name="_GoBack"/>
            <w:bookmarkEnd w:id="14"/>
            <w:r>
              <w:rPr>
                <w:rFonts w:hint="eastAsia" w:ascii="宋体" w:hAnsi="宋体" w:cs="宋体"/>
                <w:sz w:val="24"/>
                <w:szCs w:val="24"/>
                <w:lang w:val="en-US" w:eastAsia="zh-CN"/>
              </w:rPr>
              <w:t>万元</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会议费、培训费</w:t>
            </w:r>
          </w:p>
        </w:tc>
        <w:tc>
          <w:tcPr>
            <w:tcW w:w="182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1万元</w:t>
            </w: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kern w:val="2"/>
                <w:sz w:val="24"/>
                <w:szCs w:val="24"/>
                <w:lang w:val="en-US" w:eastAsia="zh-CN" w:bidi="ar-SA"/>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政府采购金额</w:t>
            </w:r>
          </w:p>
        </w:tc>
        <w:tc>
          <w:tcPr>
            <w:tcW w:w="182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w:t>
            </w: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部门整体支出预算调整</w:t>
            </w:r>
          </w:p>
        </w:tc>
        <w:tc>
          <w:tcPr>
            <w:tcW w:w="182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w:t>
            </w: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1480" w:hRule="exact"/>
          <w:jc w:val="center"/>
        </w:trPr>
        <w:tc>
          <w:tcPr>
            <w:tcW w:w="3261" w:type="dxa"/>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80" w:after="0" w:line="240" w:lineRule="auto"/>
              <w:ind w:left="0" w:right="0" w:firstLine="6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厉行节约保障措施</w:t>
            </w:r>
          </w:p>
        </w:tc>
        <w:tc>
          <w:tcPr>
            <w:tcW w:w="6176"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bl>
    <w:p>
      <w:pPr>
        <w:pStyle w:val="22"/>
        <w:keepNext w:val="0"/>
        <w:keepLines w:val="0"/>
        <w:widowControl w:val="0"/>
        <w:shd w:val="clear" w:color="auto" w:fill="auto"/>
        <w:bidi w:val="0"/>
        <w:spacing w:before="0" w:after="0"/>
        <w:ind w:left="0" w:right="0" w:firstLine="0"/>
        <w:jc w:val="left"/>
        <w:rPr>
          <w:rFonts w:hint="eastAsia" w:ascii="宋体" w:hAnsi="宋体" w:eastAsia="宋体" w:cs="宋体"/>
          <w:color w:val="000000"/>
          <w:spacing w:val="0"/>
          <w:w w:val="100"/>
          <w:position w:val="0"/>
          <w:sz w:val="24"/>
          <w:szCs w:val="24"/>
        </w:rPr>
      </w:pPr>
    </w:p>
    <w:p>
      <w:pPr>
        <w:pStyle w:val="22"/>
        <w:keepNext w:val="0"/>
        <w:keepLines w:val="0"/>
        <w:widowControl w:val="0"/>
        <w:shd w:val="clear" w:color="auto" w:fill="auto"/>
        <w:bidi w:val="0"/>
        <w:spacing w:before="0" w:after="0"/>
        <w:ind w:left="0" w:right="0" w:firstLine="0"/>
        <w:jc w:val="left"/>
        <w:rPr>
          <w:rFonts w:hint="eastAsia" w:ascii="宋体" w:hAnsi="宋体" w:eastAsia="宋体" w:cs="宋体"/>
          <w:sz w:val="32"/>
          <w:szCs w:val="32"/>
        </w:rPr>
        <w:sectPr>
          <w:footerReference r:id="rId3" w:type="default"/>
          <w:footerReference r:id="rId4" w:type="even"/>
          <w:footnotePr>
            <w:numFmt w:val="decimal"/>
          </w:footnotePr>
          <w:pgSz w:w="11850" w:h="16783"/>
          <w:pgMar w:top="1440" w:right="1803" w:bottom="1440" w:left="1803" w:header="0" w:footer="850" w:gutter="0"/>
          <w:cols w:space="720" w:num="1"/>
          <w:rtlGutter w:val="0"/>
          <w:docGrid w:linePitch="360" w:charSpace="0"/>
        </w:sectPr>
      </w:pPr>
      <w:r>
        <w:rPr>
          <w:rFonts w:hint="eastAsia" w:ascii="宋体" w:hAnsi="宋体" w:eastAsia="宋体" w:cs="宋体"/>
          <w:color w:val="000000"/>
          <w:spacing w:val="0"/>
          <w:w w:val="100"/>
          <w:position w:val="0"/>
          <w:sz w:val="24"/>
          <w:szCs w:val="24"/>
        </w:rPr>
        <w:t>说明：“项目支出”需要填报基本支出以外的所有项目情况，包括业务工作项目、运行维护项目等；“公用经费”填报基本支出中的一般商品和服务支出。</w:t>
      </w:r>
    </w:p>
    <w:p>
      <w:pPr>
        <w:pStyle w:val="24"/>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sz w:val="24"/>
          <w:szCs w:val="24"/>
        </w:rPr>
      </w:pPr>
      <w:r>
        <w:rPr>
          <w:rFonts w:hint="eastAsia" w:ascii="仿宋" w:hAnsi="仿宋" w:eastAsia="仿宋" w:cs="仿宋"/>
          <w:b w:val="0"/>
          <w:bCs w:val="0"/>
          <w:color w:val="000000"/>
          <w:spacing w:val="0"/>
          <w:w w:val="100"/>
          <w:position w:val="0"/>
          <w:sz w:val="24"/>
          <w:szCs w:val="24"/>
        </w:rPr>
        <w:t>附件</w:t>
      </w:r>
      <w:r>
        <w:rPr>
          <w:rFonts w:hint="eastAsia" w:ascii="仿宋" w:hAnsi="仿宋" w:eastAsia="仿宋" w:cs="仿宋"/>
          <w:color w:val="000000"/>
          <w:spacing w:val="0"/>
          <w:w w:val="100"/>
          <w:position w:val="0"/>
          <w:sz w:val="24"/>
          <w:szCs w:val="24"/>
          <w:lang w:val="en-US" w:eastAsia="zh-CN" w:bidi="en-US"/>
        </w:rPr>
        <w:t>1</w:t>
      </w:r>
      <w:r>
        <w:rPr>
          <w:rFonts w:hint="eastAsia" w:ascii="仿宋" w:hAnsi="仿宋" w:eastAsia="仿宋" w:cs="仿宋"/>
          <w:color w:val="000000"/>
          <w:spacing w:val="0"/>
          <w:w w:val="100"/>
          <w:position w:val="0"/>
          <w:sz w:val="24"/>
          <w:szCs w:val="24"/>
          <w:lang w:val="en-US" w:eastAsia="en-US" w:bidi="en-US"/>
        </w:rPr>
        <w:t>-3</w:t>
      </w:r>
    </w:p>
    <w:p>
      <w:pPr>
        <w:pStyle w:val="18"/>
        <w:keepNext/>
        <w:keepLines/>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sz w:val="32"/>
          <w:szCs w:val="32"/>
          <w:u w:val="none"/>
          <w:shd w:val="clear" w:color="auto" w:fill="auto"/>
          <w:lang w:val="en-US" w:eastAsia="zh-CN" w:bidi="zh-CN"/>
        </w:rPr>
      </w:pPr>
      <w:bookmarkStart w:id="6" w:name="bookmark89"/>
      <w:bookmarkStart w:id="7" w:name="bookmark90"/>
      <w:bookmarkStart w:id="8" w:name="bookmark88"/>
      <w:r>
        <w:rPr>
          <w:rFonts w:hint="eastAsia" w:ascii="宋体" w:hAnsi="宋体" w:eastAsia="宋体" w:cs="宋体"/>
          <w:color w:val="000000"/>
          <w:spacing w:val="0"/>
          <w:w w:val="100"/>
          <w:position w:val="0"/>
          <w:sz w:val="32"/>
          <w:szCs w:val="32"/>
          <w:u w:val="none"/>
          <w:shd w:val="clear" w:color="auto" w:fill="auto"/>
          <w:lang w:val="en-US" w:eastAsia="zh-CN" w:bidi="zh-CN"/>
        </w:rPr>
        <w:t>部门整体支出绩效报告</w:t>
      </w:r>
      <w:bookmarkEnd w:id="6"/>
      <w:bookmarkEnd w:id="7"/>
      <w:bookmarkEnd w:id="8"/>
    </w:p>
    <w:p>
      <w:pPr>
        <w:pStyle w:val="1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both"/>
        <w:textAlignment w:val="auto"/>
        <w:rPr>
          <w:rFonts w:hint="eastAsia" w:ascii="宋体" w:hAnsi="宋体" w:eastAsia="宋体" w:cs="宋体"/>
          <w:sz w:val="28"/>
          <w:szCs w:val="28"/>
        </w:rPr>
      </w:pPr>
      <w:bookmarkStart w:id="9" w:name="bookmark91"/>
      <w:r>
        <w:rPr>
          <w:rFonts w:hint="eastAsia" w:ascii="宋体" w:hAnsi="宋体" w:eastAsia="宋体" w:cs="宋体"/>
          <w:color w:val="000000"/>
          <w:spacing w:val="0"/>
          <w:w w:val="100"/>
          <w:position w:val="0"/>
          <w:sz w:val="28"/>
          <w:szCs w:val="28"/>
        </w:rPr>
        <w:t>一</w:t>
      </w:r>
      <w:bookmarkEnd w:id="9"/>
      <w:r>
        <w:rPr>
          <w:rFonts w:hint="eastAsia" w:ascii="宋体" w:hAnsi="宋体" w:eastAsia="宋体" w:cs="宋体"/>
          <w:color w:val="000000"/>
          <w:spacing w:val="0"/>
          <w:w w:val="100"/>
          <w:position w:val="0"/>
          <w:sz w:val="28"/>
          <w:szCs w:val="28"/>
        </w:rPr>
        <w:t>、部门概况</w:t>
      </w:r>
    </w:p>
    <w:p>
      <w:pPr>
        <w:pStyle w:val="1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500"/>
        <w:jc w:val="both"/>
        <w:textAlignment w:val="auto"/>
        <w:rPr>
          <w:rFonts w:hint="eastAsia" w:ascii="宋体" w:hAnsi="宋体" w:eastAsia="宋体" w:cs="宋体"/>
          <w:color w:val="000000"/>
          <w:spacing w:val="0"/>
          <w:w w:val="100"/>
          <w:position w:val="0"/>
          <w:sz w:val="28"/>
          <w:szCs w:val="28"/>
        </w:rPr>
      </w:pPr>
      <w:bookmarkStart w:id="10" w:name="bookmark92"/>
      <w:r>
        <w:rPr>
          <w:rFonts w:hint="eastAsia" w:ascii="宋体" w:hAnsi="宋体" w:eastAsia="宋体" w:cs="宋体"/>
          <w:color w:val="000000"/>
          <w:spacing w:val="0"/>
          <w:w w:val="100"/>
          <w:position w:val="0"/>
          <w:sz w:val="28"/>
          <w:szCs w:val="28"/>
        </w:rPr>
        <w:t>（</w:t>
      </w:r>
      <w:bookmarkEnd w:id="10"/>
      <w:r>
        <w:rPr>
          <w:rFonts w:hint="eastAsia" w:ascii="宋体" w:hAnsi="宋体" w:eastAsia="宋体" w:cs="宋体"/>
          <w:color w:val="000000"/>
          <w:spacing w:val="0"/>
          <w:w w:val="100"/>
          <w:position w:val="0"/>
          <w:sz w:val="28"/>
          <w:szCs w:val="28"/>
        </w:rPr>
        <w:t>一）部门基本情况</w:t>
      </w:r>
    </w:p>
    <w:p>
      <w:pPr>
        <w:spacing w:line="600" w:lineRule="exact"/>
        <w:ind w:firstLine="645"/>
        <w:rPr>
          <w:rFonts w:hint="eastAsia" w:ascii="宋体" w:hAnsi="宋体" w:cs="宋体"/>
          <w:color w:val="000000"/>
          <w:spacing w:val="0"/>
          <w:w w:val="100"/>
          <w:kern w:val="2"/>
          <w:position w:val="0"/>
          <w:sz w:val="28"/>
          <w:szCs w:val="28"/>
          <w:u w:val="none"/>
          <w:shd w:val="clear" w:color="auto" w:fill="auto"/>
          <w:lang w:val="en-US" w:eastAsia="zh-CN" w:bidi="zh-CN"/>
        </w:rPr>
      </w:pPr>
      <w:r>
        <w:rPr>
          <w:rFonts w:hint="eastAsia" w:ascii="宋体" w:hAnsi="宋体" w:cs="宋体"/>
          <w:color w:val="000000"/>
          <w:spacing w:val="0"/>
          <w:w w:val="100"/>
          <w:kern w:val="2"/>
          <w:position w:val="0"/>
          <w:sz w:val="28"/>
          <w:szCs w:val="28"/>
          <w:u w:val="none"/>
          <w:shd w:val="clear" w:color="auto" w:fill="auto"/>
          <w:lang w:val="en-US" w:eastAsia="zh-CN" w:bidi="zh-CN"/>
        </w:rPr>
        <w:t>2020年度，</w:t>
      </w:r>
      <w:r>
        <w:rPr>
          <w:rFonts w:hint="eastAsia" w:ascii="宋体" w:hAnsi="宋体" w:eastAsia="宋体" w:cs="宋体"/>
          <w:color w:val="000000"/>
          <w:spacing w:val="0"/>
          <w:w w:val="100"/>
          <w:kern w:val="2"/>
          <w:position w:val="0"/>
          <w:sz w:val="28"/>
          <w:szCs w:val="28"/>
          <w:u w:val="none"/>
          <w:shd w:val="clear" w:color="auto" w:fill="auto"/>
          <w:lang w:val="zh-CN" w:eastAsia="zh-CN" w:bidi="zh-CN"/>
        </w:rPr>
        <w:t>区</w:t>
      </w:r>
      <w:r>
        <w:rPr>
          <w:rFonts w:hint="eastAsia" w:ascii="宋体" w:hAnsi="宋体" w:cs="宋体"/>
          <w:color w:val="000000"/>
          <w:spacing w:val="0"/>
          <w:w w:val="100"/>
          <w:kern w:val="2"/>
          <w:position w:val="0"/>
          <w:sz w:val="28"/>
          <w:szCs w:val="28"/>
          <w:u w:val="none"/>
          <w:shd w:val="clear" w:color="auto" w:fill="auto"/>
          <w:lang w:val="zh-CN" w:eastAsia="zh-CN" w:bidi="zh-CN"/>
        </w:rPr>
        <w:t>卫生计生综合监督执法局在职人员共计</w:t>
      </w:r>
      <w:r>
        <w:rPr>
          <w:rFonts w:hint="eastAsia" w:ascii="宋体" w:hAnsi="宋体" w:cs="宋体"/>
          <w:color w:val="000000"/>
          <w:spacing w:val="0"/>
          <w:w w:val="100"/>
          <w:kern w:val="2"/>
          <w:position w:val="0"/>
          <w:sz w:val="28"/>
          <w:szCs w:val="28"/>
          <w:u w:val="none"/>
          <w:shd w:val="clear" w:color="auto" w:fill="auto"/>
          <w:lang w:val="en-US" w:eastAsia="zh-CN" w:bidi="zh-CN"/>
        </w:rPr>
        <w:t>9人，机构设置如下：</w:t>
      </w: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rPr>
        <w:t>办公室</w:t>
      </w:r>
      <w:r>
        <w:rPr>
          <w:rFonts w:hint="eastAsia" w:ascii="宋体" w:hAnsi="宋体" w:eastAsia="宋体" w:cs="宋体"/>
          <w:b w:val="0"/>
          <w:bCs/>
          <w:sz w:val="28"/>
          <w:szCs w:val="28"/>
          <w:lang w:val="en-US" w:eastAsia="zh-CN"/>
        </w:rPr>
        <w:t>2.</w:t>
      </w:r>
      <w:r>
        <w:rPr>
          <w:rFonts w:hint="eastAsia" w:ascii="宋体" w:hAnsi="宋体" w:eastAsia="宋体" w:cs="宋体"/>
          <w:b w:val="0"/>
          <w:bCs/>
          <w:sz w:val="28"/>
          <w:szCs w:val="28"/>
        </w:rPr>
        <w:t>公共场所卫生监督一科、二科（生活饮用水监督科）</w:t>
      </w:r>
      <w:r>
        <w:rPr>
          <w:rFonts w:hint="eastAsia" w:ascii="宋体" w:hAnsi="宋体" w:eastAsia="宋体" w:cs="宋体"/>
          <w:b w:val="0"/>
          <w:bCs/>
          <w:sz w:val="28"/>
          <w:szCs w:val="28"/>
          <w:lang w:val="en-US" w:eastAsia="zh-CN"/>
        </w:rPr>
        <w:t>3.</w:t>
      </w:r>
      <w:r>
        <w:rPr>
          <w:rFonts w:hint="eastAsia" w:ascii="宋体" w:hAnsi="宋体" w:eastAsia="宋体" w:cs="宋体"/>
          <w:b w:val="0"/>
          <w:bCs/>
          <w:sz w:val="28"/>
          <w:szCs w:val="28"/>
          <w:lang w:eastAsia="zh-CN"/>
        </w:rPr>
        <w:t>医疗卫生监督科</w:t>
      </w:r>
      <w:r>
        <w:rPr>
          <w:rFonts w:hint="eastAsia" w:ascii="宋体" w:hAnsi="宋体" w:eastAsia="宋体" w:cs="宋体"/>
          <w:b w:val="0"/>
          <w:bCs/>
          <w:spacing w:val="8"/>
          <w:sz w:val="28"/>
          <w:szCs w:val="28"/>
          <w:lang w:val="en-US" w:eastAsia="zh-CN"/>
        </w:rPr>
        <w:t>4.学校卫生监督科</w:t>
      </w:r>
      <w:r>
        <w:rPr>
          <w:rFonts w:hint="eastAsia" w:ascii="宋体" w:hAnsi="宋体" w:eastAsia="宋体" w:cs="宋体"/>
          <w:b w:val="0"/>
          <w:bCs/>
          <w:sz w:val="28"/>
          <w:szCs w:val="28"/>
          <w:lang w:val="en-US" w:eastAsia="zh-CN"/>
        </w:rPr>
        <w:t>5.</w:t>
      </w:r>
      <w:r>
        <w:rPr>
          <w:rFonts w:hint="eastAsia" w:ascii="宋体" w:hAnsi="宋体" w:eastAsia="宋体" w:cs="宋体"/>
          <w:b w:val="0"/>
          <w:bCs/>
          <w:sz w:val="28"/>
          <w:szCs w:val="28"/>
          <w:lang w:eastAsia="zh-CN"/>
        </w:rPr>
        <w:t>稽查科</w:t>
      </w:r>
      <w:r>
        <w:rPr>
          <w:rFonts w:hint="eastAsia" w:ascii="宋体" w:hAnsi="宋体" w:eastAsia="宋体" w:cs="宋体"/>
          <w:b w:val="0"/>
          <w:bCs/>
          <w:sz w:val="28"/>
          <w:szCs w:val="28"/>
          <w:lang w:val="en-US" w:eastAsia="zh-CN"/>
        </w:rPr>
        <w:t>6.信息管理科7.财务科</w:t>
      </w:r>
    </w:p>
    <w:p>
      <w:pPr>
        <w:keepNext w:val="0"/>
        <w:keepLines w:val="0"/>
        <w:pageBreakBefore w:val="0"/>
        <w:kinsoku/>
        <w:wordWrap/>
        <w:overflowPunct/>
        <w:topLinePunct w:val="0"/>
        <w:autoSpaceDE/>
        <w:autoSpaceDN/>
        <w:bidi w:val="0"/>
        <w:spacing w:line="590" w:lineRule="exact"/>
        <w:ind w:firstLine="660"/>
        <w:textAlignment w:val="auto"/>
        <w:rPr>
          <w:rFonts w:hint="eastAsia" w:ascii="宋体" w:hAnsi="宋体" w:cs="宋体"/>
          <w:color w:val="000000"/>
          <w:spacing w:val="0"/>
          <w:w w:val="100"/>
          <w:kern w:val="2"/>
          <w:position w:val="0"/>
          <w:sz w:val="28"/>
          <w:szCs w:val="28"/>
          <w:u w:val="none"/>
          <w:shd w:val="clear" w:color="auto" w:fill="auto"/>
          <w:lang w:val="en-US" w:eastAsia="zh-CN" w:bidi="zh-CN"/>
        </w:rPr>
      </w:pPr>
      <w:r>
        <w:rPr>
          <w:rFonts w:hint="eastAsia" w:ascii="宋体" w:hAnsi="宋体" w:cs="宋体"/>
          <w:color w:val="000000"/>
          <w:spacing w:val="0"/>
          <w:w w:val="100"/>
          <w:kern w:val="2"/>
          <w:position w:val="0"/>
          <w:sz w:val="28"/>
          <w:szCs w:val="28"/>
          <w:u w:val="none"/>
          <w:shd w:val="clear" w:color="auto" w:fill="auto"/>
          <w:lang w:val="en-US" w:eastAsia="zh-CN" w:bidi="zh-CN"/>
        </w:rPr>
        <w:t>单位主要职能如下：负责全区卫生、计生监督执法工作，卫生许可证，职业许可证的受理、审批、发放，计生安全事故的调查及开展卫生法规宣传培训等，负责制定医疗机构和医疗服务行业管理办法并监督实施。</w:t>
      </w:r>
    </w:p>
    <w:p>
      <w:pPr>
        <w:keepNext w:val="0"/>
        <w:keepLines w:val="0"/>
        <w:pageBreakBefore w:val="0"/>
        <w:kinsoku/>
        <w:wordWrap/>
        <w:overflowPunct/>
        <w:topLinePunct w:val="0"/>
        <w:autoSpaceDE/>
        <w:autoSpaceDN/>
        <w:bidi w:val="0"/>
        <w:spacing w:line="590" w:lineRule="exact"/>
        <w:ind w:firstLine="660"/>
        <w:textAlignment w:val="auto"/>
        <w:rPr>
          <w:rFonts w:hint="eastAsia" w:ascii="宋体" w:hAnsi="宋体" w:eastAsia="宋体" w:cs="宋体"/>
          <w:color w:val="000000"/>
          <w:spacing w:val="0"/>
          <w:w w:val="100"/>
          <w:kern w:val="2"/>
          <w:position w:val="0"/>
          <w:sz w:val="28"/>
          <w:szCs w:val="28"/>
          <w:u w:val="none"/>
          <w:shd w:val="clear" w:color="auto" w:fill="auto"/>
          <w:lang w:val="en-US" w:eastAsia="zh-CN" w:bidi="zh-CN"/>
        </w:rPr>
      </w:pPr>
      <w:r>
        <w:rPr>
          <w:rFonts w:hint="eastAsia" w:ascii="宋体" w:hAnsi="宋体" w:cs="宋体"/>
          <w:color w:val="000000"/>
          <w:spacing w:val="0"/>
          <w:w w:val="100"/>
          <w:kern w:val="2"/>
          <w:position w:val="0"/>
          <w:sz w:val="28"/>
          <w:szCs w:val="28"/>
          <w:u w:val="none"/>
          <w:shd w:val="clear" w:color="auto" w:fill="auto"/>
          <w:lang w:val="en-US" w:eastAsia="zh-CN" w:bidi="zh-CN"/>
        </w:rPr>
        <w:t>年度重点工作计划如下：区卫计执法局深入贯彻党的十九大精神，以健康珠晖建设为主线，坚持稳中求进工作总基调，精准对接人民群众日益增长的多样化健康需求，深入开展“创建国家卫生城市”工作，加强治理能力和治理体系建设，努力全方位、全周期维护人民群众健康。</w:t>
      </w:r>
    </w:p>
    <w:p>
      <w:pPr>
        <w:pStyle w:val="17"/>
        <w:keepNext w:val="0"/>
        <w:keepLines w:val="0"/>
        <w:pageBreakBefore w:val="0"/>
        <w:widowControl w:val="0"/>
        <w:numPr>
          <w:ilvl w:val="0"/>
          <w:numId w:val="2"/>
        </w:numPr>
        <w:shd w:val="clear" w:color="auto" w:fill="auto"/>
        <w:tabs>
          <w:tab w:val="left" w:pos="1101"/>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部门整体支出规模、使用方向和主要内容、涉及范围等。</w:t>
      </w:r>
    </w:p>
    <w:p>
      <w:pPr>
        <w:pStyle w:val="17"/>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leftChars="0" w:right="0" w:rightChars="0" w:firstLine="560" w:firstLineChars="200"/>
        <w:jc w:val="both"/>
        <w:textAlignment w:val="auto"/>
        <w:rPr>
          <w:rFonts w:hint="eastAsia" w:ascii="宋体" w:hAnsi="宋体" w:eastAsia="宋体" w:cs="宋体"/>
          <w:color w:val="000000"/>
          <w:spacing w:val="0"/>
          <w:w w:val="100"/>
          <w:position w:val="0"/>
          <w:sz w:val="28"/>
          <w:szCs w:val="28"/>
        </w:rPr>
      </w:pPr>
      <w:r>
        <w:rPr>
          <w:rFonts w:hint="eastAsia" w:cs="宋体"/>
          <w:color w:val="000000"/>
          <w:spacing w:val="0"/>
          <w:w w:val="100"/>
          <w:position w:val="0"/>
          <w:sz w:val="28"/>
          <w:szCs w:val="28"/>
          <w:lang w:eastAsia="zh-CN"/>
        </w:rPr>
        <w:t>部门整体支出规模如下：</w:t>
      </w:r>
      <w:r>
        <w:rPr>
          <w:rFonts w:hint="eastAsia" w:ascii="宋体" w:hAnsi="宋体" w:eastAsia="宋体" w:cs="宋体"/>
          <w:color w:val="000000"/>
          <w:spacing w:val="0"/>
          <w:w w:val="100"/>
          <w:position w:val="0"/>
          <w:sz w:val="28"/>
          <w:szCs w:val="28"/>
        </w:rPr>
        <w:t>基本支出</w:t>
      </w:r>
      <w:r>
        <w:rPr>
          <w:rFonts w:hint="eastAsia" w:cs="宋体"/>
          <w:color w:val="000000"/>
          <w:spacing w:val="0"/>
          <w:w w:val="100"/>
          <w:position w:val="0"/>
          <w:sz w:val="28"/>
          <w:szCs w:val="28"/>
          <w:lang w:eastAsia="zh-CN"/>
        </w:rPr>
        <w:t>163.4</w:t>
      </w:r>
      <w:r>
        <w:rPr>
          <w:rFonts w:hint="eastAsia" w:ascii="宋体" w:hAnsi="宋体" w:eastAsia="宋体" w:cs="宋体"/>
          <w:color w:val="000000"/>
          <w:spacing w:val="0"/>
          <w:w w:val="100"/>
          <w:position w:val="0"/>
          <w:sz w:val="28"/>
          <w:szCs w:val="28"/>
        </w:rPr>
        <w:t>万元，</w:t>
      </w:r>
      <w:r>
        <w:rPr>
          <w:rFonts w:hint="eastAsia" w:cs="宋体"/>
          <w:color w:val="000000"/>
          <w:spacing w:val="0"/>
          <w:w w:val="100"/>
          <w:position w:val="0"/>
          <w:sz w:val="28"/>
          <w:szCs w:val="28"/>
          <w:lang w:eastAsia="zh-CN"/>
        </w:rPr>
        <w:t>无</w:t>
      </w:r>
      <w:r>
        <w:rPr>
          <w:rFonts w:hint="eastAsia" w:ascii="宋体" w:hAnsi="宋体" w:eastAsia="宋体" w:cs="宋体"/>
          <w:color w:val="000000"/>
          <w:spacing w:val="0"/>
          <w:w w:val="100"/>
          <w:position w:val="0"/>
          <w:sz w:val="28"/>
          <w:szCs w:val="28"/>
        </w:rPr>
        <w:t>项目支出，</w:t>
      </w:r>
      <w:r>
        <w:rPr>
          <w:rFonts w:hint="eastAsia" w:cs="宋体"/>
          <w:color w:val="000000"/>
          <w:spacing w:val="0"/>
          <w:w w:val="100"/>
          <w:position w:val="0"/>
          <w:sz w:val="28"/>
          <w:szCs w:val="28"/>
          <w:lang w:eastAsia="zh-CN"/>
        </w:rPr>
        <w:t>使用方向、涉及范围、主要内容如下；社会保障和就业支出，</w:t>
      </w:r>
      <w:r>
        <w:rPr>
          <w:rFonts w:hint="eastAsia" w:ascii="宋体" w:hAnsi="宋体" w:eastAsia="宋体" w:cs="宋体"/>
          <w:color w:val="000000"/>
          <w:spacing w:val="0"/>
          <w:w w:val="100"/>
          <w:position w:val="0"/>
          <w:sz w:val="28"/>
          <w:szCs w:val="28"/>
        </w:rPr>
        <w:t>保障基本公共卫生服务，增加人民的满意度。</w:t>
      </w:r>
    </w:p>
    <w:p>
      <w:pPr>
        <w:pStyle w:val="1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both"/>
        <w:textAlignment w:val="auto"/>
        <w:rPr>
          <w:rFonts w:hint="eastAsia" w:ascii="宋体" w:hAnsi="宋体" w:eastAsia="宋体" w:cs="宋体"/>
          <w:sz w:val="28"/>
          <w:szCs w:val="28"/>
        </w:rPr>
      </w:pPr>
      <w:bookmarkStart w:id="11" w:name="bookmark94"/>
      <w:r>
        <w:rPr>
          <w:rFonts w:hint="eastAsia" w:ascii="宋体" w:hAnsi="宋体" w:eastAsia="宋体" w:cs="宋体"/>
          <w:color w:val="000000"/>
          <w:spacing w:val="0"/>
          <w:w w:val="100"/>
          <w:position w:val="0"/>
          <w:sz w:val="28"/>
          <w:szCs w:val="28"/>
        </w:rPr>
        <w:t>二</w:t>
      </w:r>
      <w:bookmarkEnd w:id="11"/>
      <w:r>
        <w:rPr>
          <w:rFonts w:hint="eastAsia" w:ascii="宋体" w:hAnsi="宋体" w:eastAsia="宋体" w:cs="宋体"/>
          <w:color w:val="000000"/>
          <w:spacing w:val="0"/>
          <w:w w:val="100"/>
          <w:position w:val="0"/>
          <w:sz w:val="28"/>
          <w:szCs w:val="28"/>
        </w:rPr>
        <w:t>、部门整体支出管理及使用情况</w:t>
      </w:r>
    </w:p>
    <w:p>
      <w:pPr>
        <w:pStyle w:val="1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right="0" w:firstLine="500"/>
        <w:jc w:val="left"/>
        <w:textAlignment w:val="auto"/>
        <w:rPr>
          <w:rFonts w:hint="eastAsia" w:ascii="宋体" w:hAnsi="宋体" w:eastAsia="宋体" w:cs="宋体"/>
          <w:sz w:val="28"/>
          <w:szCs w:val="28"/>
        </w:rPr>
      </w:pPr>
      <w:bookmarkStart w:id="12" w:name="bookmark95"/>
      <w:r>
        <w:rPr>
          <w:rFonts w:hint="eastAsia" w:ascii="宋体" w:hAnsi="宋体" w:eastAsia="宋体" w:cs="宋体"/>
          <w:color w:val="000000"/>
          <w:spacing w:val="0"/>
          <w:w w:val="100"/>
          <w:position w:val="0"/>
          <w:sz w:val="28"/>
          <w:szCs w:val="28"/>
        </w:rPr>
        <w:t>（</w:t>
      </w:r>
      <w:bookmarkEnd w:id="12"/>
      <w:r>
        <w:rPr>
          <w:rFonts w:hint="eastAsia" w:ascii="宋体" w:hAnsi="宋体" w:eastAsia="宋体" w:cs="宋体"/>
          <w:color w:val="000000"/>
          <w:spacing w:val="0"/>
          <w:w w:val="100"/>
          <w:position w:val="0"/>
          <w:sz w:val="28"/>
          <w:szCs w:val="28"/>
        </w:rPr>
        <w:t>一）基本支出</w:t>
      </w:r>
    </w:p>
    <w:p>
      <w:pPr>
        <w:keepNext w:val="0"/>
        <w:keepLines w:val="0"/>
        <w:pageBreakBefore w:val="0"/>
        <w:kinsoku/>
        <w:wordWrap/>
        <w:overflowPunct/>
        <w:topLinePunct w:val="0"/>
        <w:autoSpaceDE/>
        <w:autoSpaceDN/>
        <w:bidi w:val="0"/>
        <w:spacing w:line="590" w:lineRule="exact"/>
        <w:ind w:firstLine="660"/>
        <w:textAlignment w:val="auto"/>
        <w:rPr>
          <w:rFonts w:hint="eastAsia" w:ascii="宋体" w:hAnsi="宋体" w:cs="宋体"/>
          <w:color w:val="000000"/>
          <w:spacing w:val="0"/>
          <w:w w:val="100"/>
          <w:kern w:val="2"/>
          <w:position w:val="0"/>
          <w:sz w:val="28"/>
          <w:szCs w:val="28"/>
          <w:u w:val="none"/>
          <w:shd w:val="clear" w:color="auto" w:fill="auto"/>
          <w:lang w:val="en-US" w:eastAsia="zh-CN" w:bidi="zh-CN"/>
        </w:rPr>
      </w:pPr>
      <w:r>
        <w:rPr>
          <w:rFonts w:hint="eastAsia" w:ascii="宋体" w:hAnsi="宋体" w:cs="宋体"/>
          <w:color w:val="000000"/>
          <w:spacing w:val="0"/>
          <w:w w:val="100"/>
          <w:kern w:val="2"/>
          <w:position w:val="0"/>
          <w:sz w:val="28"/>
          <w:szCs w:val="28"/>
          <w:u w:val="none"/>
          <w:shd w:val="clear" w:color="auto" w:fill="auto"/>
          <w:lang w:val="en-US" w:eastAsia="zh-CN" w:bidi="zh-CN"/>
        </w:rPr>
        <w:t>介绍基本支出的主要用途、范围以及资金的管理情况，尤其是“三公”经费的使用和管理情况。</w:t>
      </w:r>
    </w:p>
    <w:p>
      <w:pPr>
        <w:keepNext w:val="0"/>
        <w:keepLines w:val="0"/>
        <w:pageBreakBefore w:val="0"/>
        <w:kinsoku/>
        <w:wordWrap/>
        <w:overflowPunct/>
        <w:topLinePunct w:val="0"/>
        <w:autoSpaceDE/>
        <w:autoSpaceDN/>
        <w:bidi w:val="0"/>
        <w:spacing w:line="590" w:lineRule="exact"/>
        <w:ind w:firstLine="660"/>
        <w:textAlignment w:val="auto"/>
        <w:rPr>
          <w:rFonts w:hint="eastAsia" w:ascii="宋体" w:hAnsi="宋体" w:cs="宋体"/>
          <w:color w:val="000000"/>
          <w:spacing w:val="0"/>
          <w:w w:val="100"/>
          <w:kern w:val="2"/>
          <w:position w:val="0"/>
          <w:sz w:val="28"/>
          <w:szCs w:val="28"/>
          <w:u w:val="none"/>
          <w:shd w:val="clear" w:color="auto" w:fill="auto"/>
          <w:lang w:val="en-US" w:eastAsia="zh-CN" w:bidi="zh-CN"/>
        </w:rPr>
      </w:pPr>
      <w:r>
        <w:rPr>
          <w:rFonts w:hint="eastAsia" w:ascii="宋体" w:hAnsi="宋体" w:cs="宋体"/>
          <w:color w:val="000000"/>
          <w:spacing w:val="0"/>
          <w:w w:val="100"/>
          <w:kern w:val="2"/>
          <w:position w:val="0"/>
          <w:sz w:val="28"/>
          <w:szCs w:val="28"/>
          <w:u w:val="none"/>
          <w:shd w:val="clear" w:color="auto" w:fill="auto"/>
          <w:lang w:val="en-US" w:eastAsia="zh-CN" w:bidi="zh-CN"/>
        </w:rPr>
        <w:t>2020年年初预算数为98.58万元，是指为保障单位机构运转、完成日常工作任务而发生的各项支出，包括基本工资、津贴补贴等人员经费以及办公费、印刷费、水电费、办公设备购置费等日常公用经费。</w:t>
      </w:r>
    </w:p>
    <w:p>
      <w:pPr>
        <w:keepNext w:val="0"/>
        <w:keepLines w:val="0"/>
        <w:pageBreakBefore w:val="0"/>
        <w:kinsoku/>
        <w:wordWrap/>
        <w:overflowPunct/>
        <w:topLinePunct w:val="0"/>
        <w:autoSpaceDE/>
        <w:autoSpaceDN/>
        <w:bidi w:val="0"/>
        <w:spacing w:line="590" w:lineRule="exact"/>
        <w:ind w:firstLine="660"/>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cs="宋体"/>
          <w:color w:val="000000"/>
          <w:spacing w:val="0"/>
          <w:w w:val="100"/>
          <w:kern w:val="2"/>
          <w:position w:val="0"/>
          <w:sz w:val="28"/>
          <w:szCs w:val="28"/>
          <w:u w:val="none"/>
          <w:shd w:val="clear" w:color="auto" w:fill="auto"/>
          <w:lang w:val="en-US" w:eastAsia="zh-CN" w:bidi="zh-CN"/>
        </w:rPr>
        <w:t>2020年“三公”经费支出预算数为0万元，支出决算数为0万元，原因为认真贯彻落实中央“八项规定”精神和厉行节约、反对铺张浪费要求，严格控制“三公”经费开支。</w:t>
      </w:r>
    </w:p>
    <w:p>
      <w:pPr>
        <w:pStyle w:val="17"/>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8"/>
          <w:szCs w:val="28"/>
        </w:rPr>
      </w:pPr>
      <w:r>
        <w:rPr>
          <w:rFonts w:hint="eastAsia" w:cs="宋体"/>
          <w:color w:val="000000"/>
          <w:spacing w:val="0"/>
          <w:w w:val="100"/>
          <w:position w:val="0"/>
          <w:sz w:val="28"/>
          <w:szCs w:val="28"/>
          <w:lang w:eastAsia="zh-CN"/>
        </w:rPr>
        <w:t>三</w:t>
      </w:r>
      <w:r>
        <w:rPr>
          <w:rFonts w:hint="eastAsia" w:ascii="宋体" w:hAnsi="宋体" w:eastAsia="宋体" w:cs="宋体"/>
          <w:color w:val="000000"/>
          <w:spacing w:val="0"/>
          <w:w w:val="100"/>
          <w:position w:val="0"/>
          <w:sz w:val="28"/>
          <w:szCs w:val="28"/>
        </w:rPr>
        <w:t>、资产管理情况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部门资产的配置、管理、处置等综合情况严格按照财务制度执行。制度建设、管理措施、配置处置的程序依据相关政策进行管理。</w:t>
      </w:r>
    </w:p>
    <w:p>
      <w:pPr>
        <w:pStyle w:val="17"/>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8"/>
          <w:szCs w:val="28"/>
        </w:rPr>
      </w:pPr>
      <w:bookmarkStart w:id="13" w:name="bookmark102"/>
      <w:r>
        <w:rPr>
          <w:rFonts w:hint="eastAsia" w:ascii="宋体" w:hAnsi="宋体" w:eastAsia="宋体" w:cs="宋体"/>
          <w:color w:val="000000"/>
          <w:spacing w:val="0"/>
          <w:w w:val="100"/>
          <w:position w:val="0"/>
          <w:sz w:val="28"/>
          <w:szCs w:val="28"/>
        </w:rPr>
        <w:t>五</w:t>
      </w:r>
      <w:bookmarkEnd w:id="13"/>
      <w:r>
        <w:rPr>
          <w:rFonts w:hint="eastAsia" w:ascii="宋体" w:hAnsi="宋体" w:eastAsia="宋体" w:cs="宋体"/>
          <w:color w:val="000000"/>
          <w:spacing w:val="0"/>
          <w:w w:val="100"/>
          <w:position w:val="0"/>
          <w:sz w:val="28"/>
          <w:szCs w:val="28"/>
        </w:rPr>
        <w:t>、部门整体支出绩效情况</w:t>
      </w:r>
    </w:p>
    <w:p>
      <w:pPr>
        <w:keepNext w:val="0"/>
        <w:keepLines w:val="0"/>
        <w:pageBreakBefore w:val="0"/>
        <w:kinsoku/>
        <w:wordWrap/>
        <w:overflowPunct/>
        <w:topLinePunct w:val="0"/>
        <w:autoSpaceDE/>
        <w:autoSpaceDN/>
        <w:bidi w:val="0"/>
        <w:spacing w:line="590" w:lineRule="exact"/>
        <w:ind w:firstLine="660"/>
        <w:textAlignment w:val="auto"/>
        <w:rPr>
          <w:rFonts w:hint="eastAsia" w:ascii="宋体" w:hAnsi="宋体" w:cs="宋体"/>
          <w:color w:val="000000"/>
          <w:spacing w:val="0"/>
          <w:w w:val="100"/>
          <w:kern w:val="2"/>
          <w:position w:val="0"/>
          <w:sz w:val="28"/>
          <w:szCs w:val="28"/>
          <w:u w:val="none"/>
          <w:shd w:val="clear" w:color="auto" w:fill="auto"/>
          <w:lang w:val="en-US" w:eastAsia="zh-CN" w:bidi="zh-CN"/>
        </w:rPr>
      </w:pPr>
      <w:r>
        <w:rPr>
          <w:rFonts w:hint="eastAsia" w:ascii="宋体" w:hAnsi="宋体" w:cs="宋体"/>
          <w:color w:val="000000"/>
          <w:spacing w:val="0"/>
          <w:w w:val="100"/>
          <w:kern w:val="2"/>
          <w:position w:val="0"/>
          <w:sz w:val="28"/>
          <w:szCs w:val="28"/>
          <w:u w:val="none"/>
          <w:shd w:val="clear" w:color="auto" w:fill="auto"/>
          <w:lang w:val="en-US" w:eastAsia="zh-CN" w:bidi="zh-CN"/>
        </w:rPr>
        <w:t>部门整体支出的经济性，本年预算支出总额控制在预算总额内。</w:t>
      </w:r>
    </w:p>
    <w:p>
      <w:pPr>
        <w:keepNext w:val="0"/>
        <w:keepLines w:val="0"/>
        <w:pageBreakBefore w:val="0"/>
        <w:kinsoku/>
        <w:wordWrap/>
        <w:overflowPunct/>
        <w:topLinePunct w:val="0"/>
        <w:autoSpaceDE/>
        <w:autoSpaceDN/>
        <w:bidi w:val="0"/>
        <w:spacing w:line="590" w:lineRule="exact"/>
        <w:ind w:firstLine="660"/>
        <w:textAlignment w:val="auto"/>
        <w:rPr>
          <w:rFonts w:hint="eastAsia" w:ascii="宋体" w:hAnsi="宋体" w:cs="宋体"/>
          <w:color w:val="000000"/>
          <w:spacing w:val="0"/>
          <w:w w:val="100"/>
          <w:kern w:val="2"/>
          <w:position w:val="0"/>
          <w:sz w:val="28"/>
          <w:szCs w:val="28"/>
          <w:u w:val="none"/>
          <w:shd w:val="clear" w:color="auto" w:fill="auto"/>
          <w:lang w:val="en-US" w:eastAsia="zh-CN" w:bidi="zh-CN"/>
        </w:rPr>
      </w:pPr>
      <w:r>
        <w:rPr>
          <w:rFonts w:hint="eastAsia" w:ascii="宋体" w:hAnsi="宋体" w:cs="宋体"/>
          <w:color w:val="000000"/>
          <w:spacing w:val="0"/>
          <w:w w:val="100"/>
          <w:kern w:val="2"/>
          <w:position w:val="0"/>
          <w:sz w:val="28"/>
          <w:szCs w:val="28"/>
          <w:u w:val="none"/>
          <w:shd w:val="clear" w:color="auto" w:fill="auto"/>
          <w:lang w:val="en-US" w:eastAsia="zh-CN" w:bidi="zh-CN"/>
        </w:rPr>
        <w:t>部门整体支出的效率性，本年度各项工作、专项完成进度正常，完成质量高。</w:t>
      </w:r>
    </w:p>
    <w:p>
      <w:pPr>
        <w:pStyle w:val="17"/>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leftChars="0" w:right="0" w:rightChars="0" w:firstLine="560" w:firstLineChars="200"/>
        <w:jc w:val="both"/>
        <w:textAlignment w:val="auto"/>
        <w:rPr>
          <w:rFonts w:hint="eastAsia" w:ascii="宋体" w:hAnsi="宋体" w:cs="宋体"/>
          <w:color w:val="000000"/>
          <w:spacing w:val="0"/>
          <w:w w:val="100"/>
          <w:kern w:val="2"/>
          <w:position w:val="0"/>
          <w:sz w:val="28"/>
          <w:szCs w:val="28"/>
          <w:u w:val="none"/>
          <w:shd w:val="clear" w:color="auto" w:fill="auto"/>
          <w:lang w:val="en-US" w:eastAsia="zh-CN" w:bidi="zh-CN"/>
        </w:rPr>
      </w:pPr>
      <w:r>
        <w:rPr>
          <w:rFonts w:hint="eastAsia" w:ascii="宋体" w:hAnsi="宋体" w:cs="宋体"/>
          <w:color w:val="000000"/>
          <w:spacing w:val="0"/>
          <w:w w:val="100"/>
          <w:kern w:val="2"/>
          <w:position w:val="0"/>
          <w:sz w:val="28"/>
          <w:szCs w:val="28"/>
          <w:u w:val="none"/>
          <w:shd w:val="clear" w:color="auto" w:fill="auto"/>
          <w:lang w:val="en-US" w:eastAsia="zh-CN" w:bidi="zh-CN"/>
        </w:rPr>
        <w:t>部门整体支出的有效性，</w:t>
      </w:r>
      <w:r>
        <w:rPr>
          <w:rFonts w:hint="eastAsia" w:cs="宋体"/>
          <w:color w:val="000000"/>
          <w:spacing w:val="0"/>
          <w:w w:val="100"/>
          <w:position w:val="0"/>
          <w:sz w:val="28"/>
          <w:szCs w:val="28"/>
          <w:lang w:eastAsia="zh-CN"/>
        </w:rPr>
        <w:t>社会保障和就业支出，</w:t>
      </w:r>
      <w:r>
        <w:rPr>
          <w:rFonts w:hint="eastAsia" w:ascii="宋体" w:hAnsi="宋体" w:eastAsia="宋体" w:cs="宋体"/>
          <w:color w:val="000000"/>
          <w:spacing w:val="0"/>
          <w:w w:val="100"/>
          <w:position w:val="0"/>
          <w:sz w:val="28"/>
          <w:szCs w:val="28"/>
        </w:rPr>
        <w:t>保障基本公共卫生服务，增加人民的满意度。</w:t>
      </w:r>
    </w:p>
    <w:p>
      <w:pPr>
        <w:keepNext w:val="0"/>
        <w:keepLines w:val="0"/>
        <w:pageBreakBefore w:val="0"/>
        <w:kinsoku/>
        <w:wordWrap/>
        <w:overflowPunct/>
        <w:topLinePunct w:val="0"/>
        <w:autoSpaceDE/>
        <w:autoSpaceDN/>
        <w:bidi w:val="0"/>
        <w:spacing w:line="590" w:lineRule="exact"/>
        <w:ind w:firstLine="660"/>
        <w:textAlignment w:val="auto"/>
        <w:rPr>
          <w:rFonts w:hint="eastAsia" w:ascii="宋体" w:hAnsi="宋体" w:cs="宋体"/>
          <w:color w:val="000000"/>
          <w:spacing w:val="0"/>
          <w:w w:val="100"/>
          <w:kern w:val="2"/>
          <w:position w:val="0"/>
          <w:sz w:val="28"/>
          <w:szCs w:val="28"/>
          <w:u w:val="none"/>
          <w:shd w:val="clear" w:color="auto" w:fill="auto"/>
          <w:lang w:val="en-US" w:eastAsia="zh-CN" w:bidi="zh-CN"/>
        </w:rPr>
      </w:pPr>
      <w:r>
        <w:rPr>
          <w:rFonts w:hint="eastAsia" w:ascii="宋体" w:hAnsi="宋体" w:cs="宋体"/>
          <w:color w:val="000000"/>
          <w:spacing w:val="0"/>
          <w:w w:val="100"/>
          <w:kern w:val="2"/>
          <w:position w:val="0"/>
          <w:sz w:val="28"/>
          <w:szCs w:val="28"/>
          <w:u w:val="none"/>
          <w:shd w:val="clear" w:color="auto" w:fill="auto"/>
          <w:lang w:val="en-US" w:eastAsia="zh-CN" w:bidi="zh-CN"/>
        </w:rPr>
        <w:t>部门整体支出的可持续性，基本满足卫计执法的工作要求，逐步提高卫计执法的服务水平，增加人民的满意度。</w:t>
      </w:r>
    </w:p>
    <w:p>
      <w:pPr>
        <w:keepNext w:val="0"/>
        <w:keepLines w:val="0"/>
        <w:pageBreakBefore w:val="0"/>
        <w:numPr>
          <w:ilvl w:val="0"/>
          <w:numId w:val="3"/>
        </w:numPr>
        <w:kinsoku/>
        <w:wordWrap/>
        <w:overflowPunct/>
        <w:topLinePunct w:val="0"/>
        <w:autoSpaceDE/>
        <w:autoSpaceDN/>
        <w:bidi w:val="0"/>
        <w:spacing w:line="590" w:lineRule="exact"/>
        <w:ind w:firstLine="560" w:firstLineChars="200"/>
        <w:textAlignment w:val="auto"/>
        <w:rPr>
          <w:rFonts w:hint="eastAsia" w:ascii="宋体" w:hAnsi="宋体" w:cs="宋体"/>
          <w:color w:val="000000"/>
          <w:spacing w:val="0"/>
          <w:w w:val="100"/>
          <w:kern w:val="2"/>
          <w:position w:val="0"/>
          <w:sz w:val="28"/>
          <w:szCs w:val="28"/>
          <w:u w:val="none"/>
          <w:shd w:val="clear" w:color="auto" w:fill="auto"/>
          <w:lang w:val="en-US" w:eastAsia="zh-CN" w:bidi="zh-CN"/>
        </w:rPr>
      </w:pPr>
      <w:r>
        <w:rPr>
          <w:rFonts w:hint="eastAsia" w:ascii="宋体" w:hAnsi="宋体" w:cs="宋体"/>
          <w:color w:val="000000"/>
          <w:spacing w:val="0"/>
          <w:w w:val="100"/>
          <w:kern w:val="2"/>
          <w:position w:val="0"/>
          <w:sz w:val="28"/>
          <w:szCs w:val="28"/>
          <w:u w:val="none"/>
          <w:shd w:val="clear" w:color="auto" w:fill="auto"/>
          <w:lang w:val="en-US" w:eastAsia="zh-CN" w:bidi="zh-CN"/>
        </w:rPr>
        <w:t>改进措施和有关建议</w:t>
      </w:r>
    </w:p>
    <w:p>
      <w:pPr>
        <w:keepNext w:val="0"/>
        <w:keepLines w:val="0"/>
        <w:pageBreakBefore w:val="0"/>
        <w:kinsoku/>
        <w:wordWrap/>
        <w:overflowPunct/>
        <w:topLinePunct w:val="0"/>
        <w:autoSpaceDE/>
        <w:autoSpaceDN/>
        <w:bidi w:val="0"/>
        <w:spacing w:line="590" w:lineRule="exact"/>
        <w:ind w:firstLine="660"/>
        <w:textAlignment w:val="auto"/>
        <w:rPr>
          <w:rFonts w:hint="eastAsia" w:ascii="宋体" w:hAnsi="宋体" w:cs="宋体"/>
          <w:color w:val="000000"/>
          <w:spacing w:val="0"/>
          <w:w w:val="100"/>
          <w:kern w:val="2"/>
          <w:position w:val="0"/>
          <w:sz w:val="28"/>
          <w:szCs w:val="28"/>
          <w:u w:val="none"/>
          <w:shd w:val="clear" w:color="auto" w:fill="auto"/>
          <w:lang w:val="zh-CN" w:eastAsia="zh-CN" w:bidi="zh-CN"/>
        </w:rPr>
      </w:pPr>
      <w:r>
        <w:rPr>
          <w:rFonts w:hint="eastAsia" w:ascii="宋体" w:hAnsi="宋体" w:cs="宋体"/>
          <w:color w:val="000000"/>
          <w:spacing w:val="0"/>
          <w:w w:val="100"/>
          <w:kern w:val="2"/>
          <w:position w:val="0"/>
          <w:sz w:val="28"/>
          <w:szCs w:val="28"/>
          <w:u w:val="none"/>
          <w:shd w:val="clear" w:color="auto" w:fill="auto"/>
          <w:lang w:val="zh-CN" w:eastAsia="zh-CN" w:bidi="zh-CN"/>
        </w:rPr>
        <w:t>细化预算编制工作，认真做好预算的编制。进一步加强内部机构的预算管理意识，严格按照预算编制的相关制度和要求，本着“勤俭节约、保障运转”的原则进行预算的编制;编制范围尽可能地全面、不漏项，进一步提高预算编制的科学性、合理性、严谨性和可控性。在日常预算管理过程中，进一步加强预算支出的审核、跟踪及预算执行情况分析。加强管理，严格执行单位财务制度。</w:t>
      </w:r>
    </w:p>
    <w:sectPr>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Latha"/>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ath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629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1010920</wp:posOffset>
              </wp:positionH>
              <wp:positionV relativeFrom="page">
                <wp:posOffset>9731375</wp:posOffset>
              </wp:positionV>
              <wp:extent cx="603250" cy="106680"/>
              <wp:effectExtent l="0" t="0" r="0" b="0"/>
              <wp:wrapNone/>
              <wp:docPr id="30" name="Shape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30" o:spid="_x0000_s1026" o:spt="202" type="#_x0000_t202" style="position:absolute;left:0pt;margin-left:79.6pt;margin-top:766.25pt;height:8.4pt;width:47.5pt;mso-position-horizontal-relative:page;mso-position-vertical-relative:page;mso-wrap-style:none;z-index:-44040089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jC3MNgA&#10;AAANAQAADwAAAAAAAAABACAAAAAiAAAAZHJzL2Rvd25yZXYueG1sUEsBAhQAFAAAAAgAh07iQLFp&#10;guatAQAAcQMAAA4AAAAAAAAAAQAgAAAAJwEAAGRycy9lMm9Eb2MueG1sUEsFBgAAAAAGAAYAWQEA&#10;AEYFAAAAAA==&#10;">
              <v:fill on="f" focussize="0,0"/>
              <v:stroke on="f"/>
              <v:imagedata o:title=""/>
              <o:lock v:ext="edit" aspectratio="f"/>
              <v:textbox inset="0mm,0mm,0mm,0mm" style="mso-fit-shape-to-text:t;">
                <w:txbxContent>
                  <w:p>
                    <w:pPr>
                      <w:pStyle w:val="23"/>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CD18C5"/>
    <w:multiLevelType w:val="singleLevel"/>
    <w:tmpl w:val="A5CD18C5"/>
    <w:lvl w:ilvl="0" w:tentative="0">
      <w:start w:val="6"/>
      <w:numFmt w:val="chineseCounting"/>
      <w:suff w:val="nothing"/>
      <w:lvlText w:val="%1、"/>
      <w:lvlJc w:val="left"/>
      <w:rPr>
        <w:rFonts w:hint="eastAsia"/>
      </w:rPr>
    </w:lvl>
  </w:abstractNum>
  <w:abstractNum w:abstractNumId="1">
    <w:nsid w:val="BD478231"/>
    <w:multiLevelType w:val="singleLevel"/>
    <w:tmpl w:val="BD478231"/>
    <w:lvl w:ilvl="0" w:tentative="0">
      <w:start w:val="1"/>
      <w:numFmt w:val="chineseCounting"/>
      <w:suff w:val="nothing"/>
      <w:lvlText w:val="（%1）"/>
      <w:lvlJc w:val="left"/>
      <w:rPr>
        <w:rFonts w:hint="eastAsia"/>
      </w:rPr>
    </w:lvl>
  </w:abstractNum>
  <w:abstractNum w:abstractNumId="2">
    <w:nsid w:val="F51E7F6B"/>
    <w:multiLevelType w:val="singleLevel"/>
    <w:tmpl w:val="F51E7F6B"/>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81120"/>
    <w:rsid w:val="02312FDE"/>
    <w:rsid w:val="02B7667E"/>
    <w:rsid w:val="02F32ED7"/>
    <w:rsid w:val="030A3C3B"/>
    <w:rsid w:val="03737E75"/>
    <w:rsid w:val="04356446"/>
    <w:rsid w:val="047B41EF"/>
    <w:rsid w:val="049B1996"/>
    <w:rsid w:val="04B52A28"/>
    <w:rsid w:val="0A3C2914"/>
    <w:rsid w:val="0B62676C"/>
    <w:rsid w:val="0C505A2A"/>
    <w:rsid w:val="0CE27575"/>
    <w:rsid w:val="10105CDD"/>
    <w:rsid w:val="11803920"/>
    <w:rsid w:val="125D07A0"/>
    <w:rsid w:val="13A608F7"/>
    <w:rsid w:val="13AE577E"/>
    <w:rsid w:val="14612B0A"/>
    <w:rsid w:val="14E74B26"/>
    <w:rsid w:val="15224E9F"/>
    <w:rsid w:val="16B0131F"/>
    <w:rsid w:val="170D15A0"/>
    <w:rsid w:val="17190D77"/>
    <w:rsid w:val="179E6701"/>
    <w:rsid w:val="1810076A"/>
    <w:rsid w:val="1A882BC5"/>
    <w:rsid w:val="1BDC3ADD"/>
    <w:rsid w:val="1CB55F50"/>
    <w:rsid w:val="1D010C08"/>
    <w:rsid w:val="1D8D4567"/>
    <w:rsid w:val="1EB577FE"/>
    <w:rsid w:val="1F6E185C"/>
    <w:rsid w:val="205265F0"/>
    <w:rsid w:val="21FF474D"/>
    <w:rsid w:val="22963E55"/>
    <w:rsid w:val="22BE6110"/>
    <w:rsid w:val="236639AE"/>
    <w:rsid w:val="23B24DA7"/>
    <w:rsid w:val="255A19A9"/>
    <w:rsid w:val="25C70033"/>
    <w:rsid w:val="264B77E9"/>
    <w:rsid w:val="269B5DC7"/>
    <w:rsid w:val="28636AC2"/>
    <w:rsid w:val="28E90C23"/>
    <w:rsid w:val="290A0FAD"/>
    <w:rsid w:val="291B0B92"/>
    <w:rsid w:val="2BB63E23"/>
    <w:rsid w:val="2C3F4D86"/>
    <w:rsid w:val="2C8F18D7"/>
    <w:rsid w:val="2CB73FA4"/>
    <w:rsid w:val="2D5E3A8E"/>
    <w:rsid w:val="2D7D1E7F"/>
    <w:rsid w:val="2F171EEB"/>
    <w:rsid w:val="3283248D"/>
    <w:rsid w:val="33830830"/>
    <w:rsid w:val="33B015AE"/>
    <w:rsid w:val="34167117"/>
    <w:rsid w:val="34FD1F69"/>
    <w:rsid w:val="36D0006A"/>
    <w:rsid w:val="376607D1"/>
    <w:rsid w:val="37751F4B"/>
    <w:rsid w:val="39266F39"/>
    <w:rsid w:val="3A743500"/>
    <w:rsid w:val="3BE645DA"/>
    <w:rsid w:val="3DCE0EAA"/>
    <w:rsid w:val="3F577654"/>
    <w:rsid w:val="3FD84188"/>
    <w:rsid w:val="421B395B"/>
    <w:rsid w:val="423B1DB6"/>
    <w:rsid w:val="450347A2"/>
    <w:rsid w:val="483A7C3D"/>
    <w:rsid w:val="489E0ADE"/>
    <w:rsid w:val="48BE4E84"/>
    <w:rsid w:val="4999703E"/>
    <w:rsid w:val="4A8F5A01"/>
    <w:rsid w:val="4D301426"/>
    <w:rsid w:val="4D625F91"/>
    <w:rsid w:val="50B3284E"/>
    <w:rsid w:val="527541A2"/>
    <w:rsid w:val="52E51199"/>
    <w:rsid w:val="530B538A"/>
    <w:rsid w:val="538776CE"/>
    <w:rsid w:val="53FB0D2B"/>
    <w:rsid w:val="560850A9"/>
    <w:rsid w:val="56C81120"/>
    <w:rsid w:val="56F073BC"/>
    <w:rsid w:val="59502B9B"/>
    <w:rsid w:val="5AF36D78"/>
    <w:rsid w:val="5B247858"/>
    <w:rsid w:val="5B255B5E"/>
    <w:rsid w:val="5B645230"/>
    <w:rsid w:val="5B8E7E9F"/>
    <w:rsid w:val="5C271A10"/>
    <w:rsid w:val="5CB82888"/>
    <w:rsid w:val="5ECF67C5"/>
    <w:rsid w:val="5FE33088"/>
    <w:rsid w:val="60110F3E"/>
    <w:rsid w:val="62513BD9"/>
    <w:rsid w:val="62C13123"/>
    <w:rsid w:val="62D103C9"/>
    <w:rsid w:val="633B6C0F"/>
    <w:rsid w:val="68501C7F"/>
    <w:rsid w:val="688268EC"/>
    <w:rsid w:val="69C01B2E"/>
    <w:rsid w:val="69DC6C4A"/>
    <w:rsid w:val="6A19614E"/>
    <w:rsid w:val="6BB651C2"/>
    <w:rsid w:val="6CB2347A"/>
    <w:rsid w:val="6E867539"/>
    <w:rsid w:val="6FEE5B3D"/>
    <w:rsid w:val="71524C33"/>
    <w:rsid w:val="720B11A1"/>
    <w:rsid w:val="774A7340"/>
    <w:rsid w:val="7A012F4C"/>
    <w:rsid w:val="7AFE10C2"/>
    <w:rsid w:val="7D5403B3"/>
    <w:rsid w:val="7D5869F9"/>
    <w:rsid w:val="7DCC2256"/>
    <w:rsid w:val="7DFE68A7"/>
    <w:rsid w:val="7E082F15"/>
    <w:rsid w:val="7E0A102A"/>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6">
    <w:name w:val="FollowedHyperlink"/>
    <w:basedOn w:val="5"/>
    <w:qFormat/>
    <w:uiPriority w:val="0"/>
    <w:rPr>
      <w:color w:val="800080"/>
      <w:u w:val="none"/>
    </w:rPr>
  </w:style>
  <w:style w:type="character" w:styleId="7">
    <w:name w:val="Emphasis"/>
    <w:basedOn w:val="5"/>
    <w:qFormat/>
    <w:uiPriority w:val="0"/>
  </w:style>
  <w:style w:type="character" w:styleId="8">
    <w:name w:val="HTML Definition"/>
    <w:basedOn w:val="5"/>
    <w:qFormat/>
    <w:uiPriority w:val="0"/>
  </w:style>
  <w:style w:type="character" w:styleId="9">
    <w:name w:val="HTML Typewriter"/>
    <w:basedOn w:val="5"/>
    <w:qFormat/>
    <w:uiPriority w:val="0"/>
    <w:rPr>
      <w:rFonts w:ascii="monospace" w:hAnsi="monospace" w:eastAsia="monospace" w:cs="monospace"/>
      <w:sz w:val="20"/>
    </w:rPr>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0000FF"/>
      <w:u w:val="none"/>
    </w:rPr>
  </w:style>
  <w:style w:type="character" w:styleId="13">
    <w:name w:val="HTML Code"/>
    <w:basedOn w:val="5"/>
    <w:qFormat/>
    <w:uiPriority w:val="0"/>
    <w:rPr>
      <w:rFonts w:ascii="微软雅黑" w:hAnsi="微软雅黑" w:eastAsia="微软雅黑" w:cs="微软雅黑"/>
      <w:sz w:val="14"/>
      <w:szCs w:val="14"/>
    </w:rPr>
  </w:style>
  <w:style w:type="character" w:styleId="14">
    <w:name w:val="HTML Cite"/>
    <w:basedOn w:val="5"/>
    <w:qFormat/>
    <w:uiPriority w:val="0"/>
  </w:style>
  <w:style w:type="character" w:styleId="15">
    <w:name w:val="HTML Keyboard"/>
    <w:basedOn w:val="5"/>
    <w:qFormat/>
    <w:uiPriority w:val="0"/>
    <w:rPr>
      <w:rFonts w:hint="default" w:ascii="monospace" w:hAnsi="monospace" w:eastAsia="monospace" w:cs="monospace"/>
      <w:sz w:val="20"/>
    </w:rPr>
  </w:style>
  <w:style w:type="character" w:styleId="16">
    <w:name w:val="HTML Sample"/>
    <w:basedOn w:val="5"/>
    <w:qFormat/>
    <w:uiPriority w:val="0"/>
    <w:rPr>
      <w:rFonts w:hint="default" w:ascii="monospace" w:hAnsi="monospace" w:eastAsia="monospace" w:cs="monospace"/>
    </w:rPr>
  </w:style>
  <w:style w:type="paragraph" w:customStyle="1" w:styleId="17">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18">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19">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20">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21">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22">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23">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24">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character" w:customStyle="1" w:styleId="25">
    <w:name w:val="bsharetext"/>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温馨</cp:lastModifiedBy>
  <cp:lastPrinted>2020-05-18T02:11:00Z</cp:lastPrinted>
  <dcterms:modified xsi:type="dcterms:W3CDTF">2021-12-15T00:41:06Z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