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180" w:after="480"/>
        <w:jc w:val="left"/>
        <w:rPr>
          <w:rFonts w:ascii="仿宋" w:hAnsi="仿宋" w:eastAsia="仿宋" w:cs="仿宋"/>
          <w:sz w:val="24"/>
          <w:szCs w:val="24"/>
        </w:rPr>
      </w:pPr>
      <w:r>
        <w:rPr>
          <w:rFonts w:hint="eastAsia" w:ascii="仿宋" w:hAnsi="仿宋" w:eastAsia="仿宋" w:cs="仿宋"/>
          <w:b w:val="0"/>
          <w:bCs w:val="0"/>
          <w:color w:val="000000"/>
          <w:sz w:val="24"/>
          <w:szCs w:val="24"/>
        </w:rPr>
        <w:t>附件</w:t>
      </w:r>
      <w:r>
        <w:rPr>
          <w:rFonts w:hint="eastAsia" w:ascii="仿宋" w:hAnsi="仿宋" w:eastAsia="仿宋" w:cs="仿宋"/>
          <w:color w:val="000000"/>
          <w:sz w:val="24"/>
          <w:szCs w:val="24"/>
          <w:lang w:val="en-US" w:bidi="en-US"/>
        </w:rPr>
        <w:t>1-3</w:t>
      </w:r>
    </w:p>
    <w:p>
      <w:pPr>
        <w:pStyle w:val="19"/>
        <w:keepNext/>
        <w:keepLines/>
        <w:spacing w:after="260"/>
        <w:rPr>
          <w:b/>
          <w:color w:val="000000"/>
          <w:lang w:val="en-US"/>
        </w:rPr>
      </w:pPr>
      <w:bookmarkStart w:id="0" w:name="bookmark88"/>
      <w:bookmarkStart w:id="1" w:name="bookmark89"/>
      <w:bookmarkStart w:id="2" w:name="bookmark90"/>
      <w:r>
        <w:rPr>
          <w:rFonts w:hint="eastAsia"/>
          <w:b/>
          <w:color w:val="000000"/>
          <w:lang w:val="en-US"/>
        </w:rPr>
        <w:t>珠晖区人力资源和社会保障局</w:t>
      </w:r>
      <w:r>
        <w:rPr>
          <w:rFonts w:hint="eastAsia"/>
          <w:b/>
          <w:color w:val="000000"/>
          <w:lang w:val="en-US" w:eastAsia="zh-CN"/>
        </w:rPr>
        <w:t>2020</w:t>
      </w:r>
      <w:r>
        <w:rPr>
          <w:rFonts w:hint="eastAsia"/>
          <w:b/>
          <w:color w:val="000000"/>
          <w:lang w:val="en-US"/>
        </w:rPr>
        <w:t>年部门整体支出绩效报告</w:t>
      </w:r>
      <w:bookmarkEnd w:id="0"/>
      <w:bookmarkEnd w:id="1"/>
      <w:bookmarkEnd w:id="2"/>
    </w:p>
    <w:p>
      <w:pPr>
        <w:pStyle w:val="18"/>
        <w:tabs>
          <w:tab w:val="left" w:pos="867"/>
        </w:tabs>
        <w:spacing w:line="360" w:lineRule="auto"/>
        <w:rPr>
          <w:rFonts w:ascii="仿宋" w:hAnsi="仿宋" w:eastAsia="仿宋"/>
          <w:b/>
          <w:sz w:val="32"/>
          <w:szCs w:val="32"/>
        </w:rPr>
      </w:pPr>
      <w:bookmarkStart w:id="3" w:name="bookmark91"/>
      <w:r>
        <w:rPr>
          <w:rFonts w:hint="eastAsia" w:ascii="仿宋" w:hAnsi="仿宋" w:eastAsia="仿宋"/>
          <w:b/>
          <w:color w:val="000000"/>
          <w:sz w:val="32"/>
          <w:szCs w:val="32"/>
        </w:rPr>
        <w:t>一</w:t>
      </w:r>
      <w:bookmarkEnd w:id="3"/>
      <w:r>
        <w:rPr>
          <w:rFonts w:hint="eastAsia" w:ascii="仿宋" w:hAnsi="仿宋" w:eastAsia="仿宋"/>
          <w:b/>
          <w:color w:val="000000"/>
          <w:sz w:val="32"/>
          <w:szCs w:val="32"/>
        </w:rPr>
        <w:t>、部门概况</w:t>
      </w:r>
    </w:p>
    <w:p>
      <w:pPr>
        <w:ind w:left="210" w:leftChars="100"/>
        <w:jc w:val="left"/>
        <w:rPr>
          <w:rFonts w:ascii="仿宋" w:hAnsi="仿宋" w:eastAsia="仿宋"/>
          <w:b/>
          <w:color w:val="000000"/>
          <w:sz w:val="32"/>
          <w:szCs w:val="32"/>
        </w:rPr>
      </w:pPr>
      <w:bookmarkStart w:id="4" w:name="bookmark92"/>
      <w:r>
        <w:rPr>
          <w:rFonts w:hint="eastAsia" w:ascii="仿宋" w:hAnsi="仿宋" w:eastAsia="仿宋"/>
          <w:b/>
          <w:color w:val="000000"/>
          <w:sz w:val="32"/>
          <w:szCs w:val="32"/>
        </w:rPr>
        <w:t>（</w:t>
      </w:r>
      <w:bookmarkEnd w:id="4"/>
      <w:r>
        <w:rPr>
          <w:rFonts w:hint="eastAsia" w:ascii="仿宋" w:hAnsi="仿宋" w:eastAsia="仿宋"/>
          <w:b/>
          <w:color w:val="000000"/>
          <w:sz w:val="32"/>
          <w:szCs w:val="32"/>
        </w:rPr>
        <w:t>一）部门基本情况</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珠晖区人社局为行政单位，执行政府会计制度。现有在职人员1</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人，退休人员8人，内设办公室、事业单位管理股、基金监督股、行政审批股、人力资源流动管理股、就业促进和建设股和规划财务股。</w:t>
      </w:r>
    </w:p>
    <w:p>
      <w:pPr>
        <w:ind w:left="210" w:leftChars="100"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主要职能</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一)贯彻执行国家和省、市有关人力资源和社会保障方面的方针政策和法律法规，贯彻或拟订全区人力资源和社会保障事业发展规划、政策，起草人力资源和社会保障的规范性文件，并组织实施和监督检查其执行情况。对全区人力资源和社会保障工作进行综合管理、监督指导、协调服务。</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(二)贯彻或拟订全区人力资源市场发展规划和人力资源流动的规范性文件，建立全区统一规范的人力资源市场，促进人力资源的科学开发、合理流动、有效配置。</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三)负责促进就业工作，贯彻或拟订统筹城乡的就业发展规划和规范性文件，完善公共就业服务体系;贯彻或拟订就业援助制度，执行职业资格证书制度和相关政策，统筹建立面向城乡劳动者的职业培训制度;贯彻或拟订高校毕业生就业的规范性文件，做好高校毕业生的就业指导工作，落实高技能人才、农村实用人才培养和激励的规范性文件。</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四)统筹建立覆盖城乡的社会保障体系。贯彻或拟订城乡社会养老保险及其补充保险的规范性文件;贯彻或拟订医疗、生育、工伤、失业保险的发展规划、标准及规范性文件;贯彻或拟订社会保险及其补充保险基金管理和监督办法并组织实施;编制全区社会保险基金预决算草案。</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(五)负责全区就业、失业、社会保险基金预测预警和信息引导，拟订应对预案，实施预防、调节和控制，保持就业形势稳定和社会保险基金总体收支平衡。</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六)贯彻或拟订国家和省市机关、事业单位人员工资收入分配办法并组织实施，贯彻或拟订国有企业经营者收入分配政策，建立机关企事业单位人员工资正常增长和支付保障机制;配合相关部门审核纳入区级财政统一发放工资范围的同级党政机关、事业单位人员的工资、奖金、津补贴标准和离退休费;贯彻或拟订机关企事业单位人员福利和离退休的规范性文件并组织实施。</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七)会同有关部门指导事业单位人事制度改革;贯彻或拟订事业单位人员和机关工勤人员管理政策;参与会同有关部门加强人才管理工作;综合管理全区专业技术人员和专业技术队伍建设工作;综合管理全区专业技术人员和机关事业单位工勤人员的培训和继续教育工作;牵头推进深化职称制度改革，归口管理专业技术人员的职称工作;负责高层次专业技术人才选拔、培养和引进工作。</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八)贯彻或拟订全区军队转业干部安置的规范性文件及安置计划;负责军队转业干部教育培训工作;组织落实部分企业军队转业干部解困的政策，配合有关部门做好维稳工作;负责自主择业军队转业干部管理服务工作。</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(九)负责全区行政机关公务员和参照公务员法管理工作人员的综合管理;贯彻或拟订有关人员调配政策和特殊人员安置政策;会同有关部门贯彻或拟订政府奖励制度。</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(十)会同有关部门贯彻或拟订农民工工作的规范性文件，推动农民工相关政策的落实;协调解决有关农民工工作的重点难点问题，维护农民工合法权益。</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十一)统筹实施劳动、人事争议调解仲裁制度;负责落实劳动关系政策，完善劳动关系协调机制;监督落实消除非法使用童工政策和女工、未成年工的特殊劳动保护政策;组织实施劳动监察，协调劳动者维权工作，依法查处重大案件。</w:t>
      </w:r>
    </w:p>
    <w:p>
      <w:pPr>
        <w:ind w:left="210" w:leftChars="100" w:firstLine="640" w:firstLineChars="200"/>
        <w:jc w:val="left"/>
        <w:rPr>
          <w:rFonts w:ascii="仿宋" w:hAnsi="仿宋" w:eastAsia="仿宋"/>
          <w:color w:val="000000"/>
          <w:sz w:val="32"/>
          <w:szCs w:val="32"/>
        </w:rPr>
      </w:pPr>
      <w:r>
        <w:rPr>
          <w:rFonts w:hint="eastAsia" w:ascii="仿宋" w:hAnsi="仿宋" w:eastAsia="仿宋"/>
          <w:color w:val="000000"/>
          <w:sz w:val="32"/>
          <w:szCs w:val="32"/>
        </w:rPr>
        <w:t>(十二)承办区委、区政府交办的其他事项。</w:t>
      </w:r>
    </w:p>
    <w:p>
      <w:pPr>
        <w:pStyle w:val="18"/>
        <w:tabs>
          <w:tab w:val="left" w:pos="1113"/>
        </w:tabs>
        <w:spacing w:line="360" w:lineRule="auto"/>
        <w:ind w:firstLine="500"/>
        <w:rPr>
          <w:sz w:val="28"/>
          <w:szCs w:val="28"/>
          <w:lang w:val="en-US"/>
        </w:rPr>
      </w:pPr>
    </w:p>
    <w:p>
      <w:pPr>
        <w:pStyle w:val="18"/>
        <w:tabs>
          <w:tab w:val="left" w:pos="867"/>
        </w:tabs>
        <w:spacing w:line="360" w:lineRule="auto"/>
        <w:rPr>
          <w:rFonts w:ascii="仿宋" w:hAnsi="仿宋" w:eastAsia="仿宋"/>
          <w:b/>
          <w:color w:val="000000"/>
          <w:sz w:val="32"/>
          <w:szCs w:val="32"/>
        </w:rPr>
      </w:pPr>
      <w:bookmarkStart w:id="5" w:name="bookmark94"/>
      <w:r>
        <w:rPr>
          <w:rFonts w:hint="eastAsia" w:ascii="仿宋" w:hAnsi="仿宋" w:eastAsia="仿宋"/>
          <w:b/>
          <w:color w:val="000000"/>
          <w:sz w:val="32"/>
          <w:szCs w:val="32"/>
        </w:rPr>
        <w:t>二</w:t>
      </w:r>
      <w:bookmarkEnd w:id="5"/>
      <w:r>
        <w:rPr>
          <w:rFonts w:hint="eastAsia" w:ascii="仿宋" w:hAnsi="仿宋" w:eastAsia="仿宋"/>
          <w:b/>
          <w:color w:val="000000"/>
          <w:sz w:val="32"/>
          <w:szCs w:val="32"/>
        </w:rPr>
        <w:t>、部门整体支出管理及使用情况</w:t>
      </w:r>
    </w:p>
    <w:p>
      <w:pPr>
        <w:pStyle w:val="18"/>
        <w:tabs>
          <w:tab w:val="left" w:pos="1111"/>
        </w:tabs>
        <w:spacing w:line="360" w:lineRule="auto"/>
        <w:ind w:firstLine="500"/>
        <w:jc w:val="left"/>
        <w:rPr>
          <w:rFonts w:ascii="仿宋" w:hAnsi="仿宋" w:eastAsia="仿宋"/>
          <w:b/>
          <w:sz w:val="32"/>
          <w:szCs w:val="32"/>
        </w:rPr>
      </w:pPr>
      <w:bookmarkStart w:id="6" w:name="bookmark95"/>
      <w:r>
        <w:rPr>
          <w:rFonts w:hint="eastAsia" w:ascii="仿宋" w:hAnsi="仿宋" w:eastAsia="仿宋"/>
          <w:b/>
          <w:color w:val="000000"/>
          <w:sz w:val="32"/>
          <w:szCs w:val="32"/>
        </w:rPr>
        <w:t>（</w:t>
      </w:r>
      <w:bookmarkEnd w:id="6"/>
      <w:r>
        <w:rPr>
          <w:rFonts w:hint="eastAsia" w:ascii="仿宋" w:hAnsi="仿宋" w:eastAsia="仿宋"/>
          <w:b/>
          <w:color w:val="000000"/>
          <w:sz w:val="32"/>
          <w:szCs w:val="32"/>
        </w:rPr>
        <w:t>一）基本支出</w:t>
      </w:r>
    </w:p>
    <w:p>
      <w:pPr>
        <w:pStyle w:val="18"/>
        <w:tabs>
          <w:tab w:val="left" w:pos="886"/>
        </w:tabs>
        <w:spacing w:line="360" w:lineRule="auto"/>
        <w:ind w:firstLine="800" w:firstLineChars="250"/>
        <w:rPr>
          <w:rFonts w:ascii="Calibri" w:hAnsi="Calibri" w:cs="Times New Roman"/>
          <w:color w:val="000000"/>
          <w:sz w:val="28"/>
          <w:szCs w:val="28"/>
          <w:lang w:val="en-US" w:bidi="ar-SA"/>
        </w:rPr>
      </w:pPr>
      <w:bookmarkStart w:id="7" w:name="bookmark100"/>
      <w:r>
        <w:rPr>
          <w:rFonts w:hint="eastAsia" w:ascii="仿宋" w:hAnsi="仿宋" w:eastAsia="仿宋" w:cs="Times New Roman"/>
          <w:color w:val="000000"/>
          <w:sz w:val="32"/>
          <w:szCs w:val="32"/>
          <w:lang w:val="en-US" w:eastAsia="zh-CN" w:bidi="ar-SA"/>
        </w:rPr>
        <w:t>2020</w:t>
      </w:r>
      <w:r>
        <w:rPr>
          <w:rFonts w:hint="eastAsia" w:ascii="仿宋" w:hAnsi="仿宋" w:eastAsia="仿宋" w:cs="Times New Roman"/>
          <w:color w:val="000000"/>
          <w:sz w:val="32"/>
          <w:szCs w:val="32"/>
          <w:lang w:val="en-US" w:bidi="ar-SA"/>
        </w:rPr>
        <w:t>年总支出</w:t>
      </w:r>
      <w:r>
        <w:rPr>
          <w:rFonts w:hint="eastAsia" w:ascii="仿宋" w:hAnsi="仿宋" w:eastAsia="仿宋" w:cs="Times New Roman"/>
          <w:color w:val="000000"/>
          <w:sz w:val="32"/>
          <w:szCs w:val="32"/>
          <w:lang w:val="en-US" w:eastAsia="zh-CN" w:bidi="ar-SA"/>
        </w:rPr>
        <w:t>458.34万元，财政拨款支出</w:t>
      </w:r>
      <w:r>
        <w:rPr>
          <w:rFonts w:hint="eastAsia" w:ascii="Calibri" w:hAnsi="Calibri" w:cs="Times New Roman"/>
          <w:color w:val="000000"/>
          <w:sz w:val="28"/>
          <w:szCs w:val="28"/>
          <w:lang w:val="en-US" w:eastAsia="zh-CN" w:bidi="ar-SA"/>
        </w:rPr>
        <w:t>314.81</w:t>
      </w:r>
      <w:r>
        <w:rPr>
          <w:rFonts w:hint="eastAsia" w:ascii="仿宋" w:hAnsi="仿宋" w:eastAsia="仿宋" w:cs="Times New Roman"/>
          <w:color w:val="000000"/>
          <w:sz w:val="32"/>
          <w:szCs w:val="32"/>
          <w:lang w:val="en-US" w:bidi="ar-SA"/>
        </w:rPr>
        <w:t>万元。其中基本支出</w:t>
      </w:r>
      <w:r>
        <w:rPr>
          <w:rFonts w:hint="eastAsia" w:ascii="Calibri" w:hAnsi="Calibri" w:cs="Times New Roman"/>
          <w:color w:val="000000"/>
          <w:sz w:val="28"/>
          <w:szCs w:val="28"/>
          <w:lang w:val="en-US" w:bidi="ar-SA"/>
        </w:rPr>
        <w:t>2</w:t>
      </w:r>
      <w:r>
        <w:rPr>
          <w:rFonts w:hint="eastAsia" w:ascii="Calibri" w:hAnsi="Calibri" w:cs="Times New Roman"/>
          <w:color w:val="000000"/>
          <w:sz w:val="28"/>
          <w:szCs w:val="28"/>
          <w:lang w:val="en-US" w:eastAsia="zh-CN" w:bidi="ar-SA"/>
        </w:rPr>
        <w:t>60.19</w:t>
      </w:r>
      <w:r>
        <w:rPr>
          <w:rFonts w:hint="eastAsia" w:ascii="仿宋" w:hAnsi="仿宋" w:eastAsia="仿宋" w:cs="Times New Roman"/>
          <w:color w:val="000000"/>
          <w:sz w:val="32"/>
          <w:szCs w:val="32"/>
          <w:lang w:val="en-US" w:bidi="ar-SA"/>
        </w:rPr>
        <w:t>万元，其中人员经费</w:t>
      </w:r>
      <w:r>
        <w:rPr>
          <w:rFonts w:hint="eastAsia" w:ascii="Calibri" w:hAnsi="Calibri" w:cs="Times New Roman"/>
          <w:color w:val="000000"/>
          <w:sz w:val="28"/>
          <w:szCs w:val="28"/>
          <w:lang w:val="en-US" w:eastAsia="zh-CN" w:bidi="ar-SA"/>
        </w:rPr>
        <w:t>121.92</w:t>
      </w:r>
      <w:r>
        <w:rPr>
          <w:rFonts w:hint="eastAsia" w:ascii="仿宋" w:hAnsi="仿宋" w:eastAsia="仿宋" w:cs="Times New Roman"/>
          <w:color w:val="000000"/>
          <w:sz w:val="32"/>
          <w:szCs w:val="32"/>
          <w:lang w:val="en-US" w:bidi="ar-SA"/>
        </w:rPr>
        <w:t>万元，人员经费包括</w:t>
      </w:r>
      <w:r>
        <w:rPr>
          <w:rFonts w:ascii="仿宋" w:hAnsi="仿宋" w:eastAsia="仿宋" w:cs="Times New Roman"/>
          <w:color w:val="000000"/>
          <w:sz w:val="32"/>
          <w:szCs w:val="32"/>
          <w:lang w:val="en-US" w:bidi="ar-SA"/>
        </w:rPr>
        <w:t>基本工资、津贴补贴、奖金、</w:t>
      </w:r>
      <w:r>
        <w:rPr>
          <w:rFonts w:hint="eastAsia" w:ascii="仿宋" w:hAnsi="仿宋" w:eastAsia="仿宋" w:cs="Times New Roman"/>
          <w:color w:val="000000"/>
          <w:sz w:val="32"/>
          <w:szCs w:val="32"/>
          <w:lang w:val="en-US" w:bidi="ar-SA"/>
        </w:rPr>
        <w:t>机关事业单位基本养老保险、职工基本医疗保险缴费、其他社会保障</w:t>
      </w:r>
      <w:bookmarkStart w:id="13" w:name="_GoBack"/>
      <w:bookmarkEnd w:id="13"/>
      <w:r>
        <w:rPr>
          <w:rFonts w:hint="eastAsia" w:ascii="仿宋" w:hAnsi="仿宋" w:eastAsia="仿宋" w:cs="Times New Roman"/>
          <w:color w:val="000000"/>
          <w:sz w:val="32"/>
          <w:szCs w:val="32"/>
          <w:lang w:val="en-US" w:bidi="ar-SA"/>
        </w:rPr>
        <w:t>缴费、住房公积金、其他工资福利支出、生活补助、其他个人和家庭补助支出；日常运营经费</w:t>
      </w:r>
      <w:r>
        <w:rPr>
          <w:rFonts w:hint="eastAsia" w:ascii="Calibri" w:hAnsi="Calibri" w:cs="Times New Roman"/>
          <w:color w:val="000000"/>
          <w:sz w:val="28"/>
          <w:szCs w:val="28"/>
          <w:lang w:val="en-US" w:eastAsia="zh-CN" w:bidi="ar-SA"/>
        </w:rPr>
        <w:t>138.27</w:t>
      </w:r>
      <w:r>
        <w:rPr>
          <w:rFonts w:hint="eastAsia" w:ascii="仿宋" w:hAnsi="仿宋" w:eastAsia="仿宋" w:cs="Times New Roman"/>
          <w:color w:val="000000"/>
          <w:sz w:val="32"/>
          <w:szCs w:val="32"/>
          <w:lang w:val="en-US" w:bidi="ar-SA"/>
        </w:rPr>
        <w:t>万元（包括项目经费支出），日常运营经费包括</w:t>
      </w:r>
      <w:r>
        <w:rPr>
          <w:rFonts w:ascii="仿宋" w:hAnsi="仿宋" w:eastAsia="仿宋" w:cs="Times New Roman"/>
          <w:color w:val="000000"/>
          <w:sz w:val="32"/>
          <w:szCs w:val="32"/>
          <w:lang w:val="en-US" w:bidi="ar-SA"/>
        </w:rPr>
        <w:t>办公费、</w:t>
      </w:r>
      <w:r>
        <w:rPr>
          <w:rFonts w:hint="eastAsia" w:ascii="仿宋" w:hAnsi="仿宋" w:eastAsia="仿宋" w:cs="Times New Roman"/>
          <w:color w:val="000000"/>
          <w:sz w:val="32"/>
          <w:szCs w:val="32"/>
          <w:lang w:val="en-US" w:eastAsia="zh-CN" w:bidi="ar-SA"/>
        </w:rPr>
        <w:t>劳务费、委托业务费</w:t>
      </w:r>
      <w:r>
        <w:rPr>
          <w:rFonts w:hint="eastAsia" w:ascii="仿宋" w:hAnsi="仿宋" w:eastAsia="仿宋" w:cs="Times New Roman"/>
          <w:color w:val="000000"/>
          <w:sz w:val="32"/>
          <w:szCs w:val="32"/>
          <w:lang w:val="en-US" w:bidi="ar-SA"/>
        </w:rPr>
        <w:t>、工会经费、其他交通费用、其他商品和服务支出、办公设备购置</w:t>
      </w:r>
      <w:r>
        <w:rPr>
          <w:rFonts w:hint="eastAsia" w:ascii="Calibri" w:hAnsi="Calibri" w:cs="Times New Roman"/>
          <w:color w:val="000000"/>
          <w:sz w:val="28"/>
          <w:szCs w:val="28"/>
          <w:lang w:val="en-US" w:bidi="ar-SA"/>
        </w:rPr>
        <w:t>。</w:t>
      </w:r>
    </w:p>
    <w:p>
      <w:pPr>
        <w:pStyle w:val="18"/>
        <w:tabs>
          <w:tab w:val="left" w:pos="1111"/>
        </w:tabs>
        <w:spacing w:line="360" w:lineRule="auto"/>
        <w:ind w:firstLine="500"/>
        <w:jc w:val="left"/>
        <w:rPr>
          <w:rFonts w:ascii="仿宋" w:hAnsi="仿宋" w:eastAsia="仿宋"/>
          <w:b/>
          <w:color w:val="000000"/>
          <w:sz w:val="32"/>
          <w:szCs w:val="32"/>
        </w:rPr>
      </w:pPr>
      <w:bookmarkStart w:id="8" w:name="bookmark96"/>
      <w:r>
        <w:rPr>
          <w:rFonts w:hint="eastAsia" w:ascii="仿宋" w:hAnsi="仿宋" w:eastAsia="仿宋"/>
          <w:b/>
          <w:color w:val="000000"/>
          <w:sz w:val="32"/>
          <w:szCs w:val="32"/>
        </w:rPr>
        <w:t>（</w:t>
      </w:r>
      <w:bookmarkEnd w:id="8"/>
      <w:r>
        <w:rPr>
          <w:rFonts w:hint="eastAsia" w:ascii="仿宋" w:hAnsi="仿宋" w:eastAsia="仿宋"/>
          <w:b/>
          <w:color w:val="000000"/>
          <w:sz w:val="32"/>
          <w:szCs w:val="32"/>
        </w:rPr>
        <w:t>二）项目支出</w:t>
      </w:r>
    </w:p>
    <w:p>
      <w:pPr>
        <w:pStyle w:val="18"/>
        <w:tabs>
          <w:tab w:val="left" w:pos="767"/>
        </w:tabs>
        <w:spacing w:line="360" w:lineRule="auto"/>
        <w:ind w:firstLine="560" w:firstLineChars="175"/>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年我局项目资金共计41万元，计划安排如下：</w:t>
      </w:r>
    </w:p>
    <w:p>
      <w:pPr>
        <w:pStyle w:val="18"/>
        <w:tabs>
          <w:tab w:val="left" w:pos="886"/>
        </w:tabs>
        <w:spacing w:line="360" w:lineRule="auto"/>
        <w:ind w:firstLine="480" w:firstLineChars="150"/>
        <w:rPr>
          <w:rFonts w:ascii="仿宋" w:hAnsi="仿宋" w:eastAsia="仿宋" w:cs="Times New Roman"/>
          <w:color w:val="000000"/>
          <w:sz w:val="32"/>
          <w:szCs w:val="32"/>
          <w:lang w:val="en-US" w:bidi="ar-SA"/>
        </w:rPr>
      </w:pPr>
      <w:r>
        <w:rPr>
          <w:rFonts w:hint="eastAsia" w:ascii="仿宋" w:hAnsi="仿宋" w:eastAsia="仿宋" w:cs="Times New Roman"/>
          <w:color w:val="000000"/>
          <w:sz w:val="32"/>
          <w:szCs w:val="32"/>
          <w:lang w:val="en-US" w:bidi="ar-SA"/>
        </w:rPr>
        <w:t>1、党建工作经费，</w:t>
      </w:r>
      <w:r>
        <w:rPr>
          <w:rFonts w:ascii="仿宋" w:hAnsi="仿宋" w:eastAsia="仿宋" w:cs="Times New Roman"/>
          <w:color w:val="000000"/>
          <w:sz w:val="32"/>
          <w:szCs w:val="32"/>
          <w:lang w:val="en-US" w:bidi="ar-SA"/>
        </w:rPr>
        <w:t xml:space="preserve">资金总额 </w:t>
      </w:r>
      <w:r>
        <w:rPr>
          <w:rFonts w:hint="eastAsia" w:ascii="仿宋" w:hAnsi="仿宋" w:eastAsia="仿宋" w:cs="Times New Roman"/>
          <w:color w:val="000000"/>
          <w:sz w:val="32"/>
          <w:szCs w:val="32"/>
          <w:lang w:val="en-US" w:bidi="ar-SA"/>
        </w:rPr>
        <w:t>4</w:t>
      </w:r>
      <w:r>
        <w:rPr>
          <w:rFonts w:ascii="仿宋" w:hAnsi="仿宋" w:eastAsia="仿宋" w:cs="Times New Roman"/>
          <w:color w:val="000000"/>
          <w:sz w:val="32"/>
          <w:szCs w:val="32"/>
          <w:lang w:val="en-US" w:bidi="ar-SA"/>
        </w:rPr>
        <w:t xml:space="preserve"> 万元，</w:t>
      </w:r>
      <w:r>
        <w:rPr>
          <w:rFonts w:hint="eastAsia" w:ascii="仿宋" w:hAnsi="仿宋" w:eastAsia="仿宋" w:cs="Times New Roman"/>
          <w:color w:val="000000"/>
          <w:sz w:val="32"/>
          <w:szCs w:val="32"/>
          <w:lang w:val="en-US" w:bidi="ar-SA"/>
        </w:rPr>
        <w:t>用于党支部的宣传工作；</w:t>
      </w:r>
    </w:p>
    <w:p>
      <w:pPr>
        <w:pStyle w:val="18"/>
        <w:tabs>
          <w:tab w:val="left" w:pos="886"/>
        </w:tabs>
        <w:spacing w:line="360" w:lineRule="auto"/>
        <w:rPr>
          <w:rFonts w:ascii="仿宋" w:hAnsi="仿宋" w:eastAsia="仿宋" w:cs="Times New Roman"/>
          <w:color w:val="000000"/>
          <w:sz w:val="32"/>
          <w:szCs w:val="32"/>
          <w:lang w:val="en-US" w:bidi="ar-SA"/>
        </w:rPr>
      </w:pPr>
      <w:r>
        <w:rPr>
          <w:rFonts w:hint="eastAsia" w:ascii="仿宋" w:hAnsi="仿宋" w:eastAsia="仿宋" w:cs="Times New Roman"/>
          <w:color w:val="000000"/>
          <w:sz w:val="32"/>
          <w:szCs w:val="32"/>
          <w:lang w:val="en-US" w:bidi="ar-SA"/>
        </w:rPr>
        <w:t>2、工资集体协商工作经费，</w:t>
      </w:r>
      <w:r>
        <w:rPr>
          <w:rFonts w:ascii="仿宋" w:hAnsi="仿宋" w:eastAsia="仿宋" w:cs="Times New Roman"/>
          <w:color w:val="000000"/>
          <w:sz w:val="32"/>
          <w:szCs w:val="32"/>
          <w:lang w:val="en-US" w:bidi="ar-SA"/>
        </w:rPr>
        <w:t xml:space="preserve">资金总额 </w:t>
      </w:r>
      <w:r>
        <w:rPr>
          <w:rFonts w:hint="eastAsia" w:ascii="仿宋" w:hAnsi="仿宋" w:eastAsia="仿宋" w:cs="Times New Roman"/>
          <w:color w:val="000000"/>
          <w:sz w:val="32"/>
          <w:szCs w:val="32"/>
          <w:lang w:val="en-US" w:bidi="ar-SA"/>
        </w:rPr>
        <w:t>1</w:t>
      </w:r>
      <w:r>
        <w:rPr>
          <w:rFonts w:ascii="仿宋" w:hAnsi="仿宋" w:eastAsia="仿宋" w:cs="Times New Roman"/>
          <w:color w:val="000000"/>
          <w:sz w:val="32"/>
          <w:szCs w:val="32"/>
          <w:lang w:val="en-US" w:bidi="ar-SA"/>
        </w:rPr>
        <w:t xml:space="preserve"> 万元，</w:t>
      </w:r>
      <w:r>
        <w:rPr>
          <w:rFonts w:hint="eastAsia" w:ascii="仿宋" w:hAnsi="仿宋" w:eastAsia="仿宋" w:cs="Times New Roman"/>
          <w:color w:val="000000"/>
          <w:sz w:val="32"/>
          <w:szCs w:val="32"/>
          <w:lang w:val="en-US" w:bidi="ar-SA"/>
        </w:rPr>
        <w:t>用于工资协商的工作经费；</w:t>
      </w:r>
    </w:p>
    <w:p>
      <w:pPr>
        <w:pStyle w:val="18"/>
        <w:tabs>
          <w:tab w:val="left" w:pos="886"/>
        </w:tabs>
        <w:spacing w:line="360" w:lineRule="auto"/>
        <w:rPr>
          <w:rFonts w:ascii="仿宋" w:hAnsi="仿宋" w:eastAsia="仿宋" w:cs="Times New Roman"/>
          <w:color w:val="000000"/>
          <w:sz w:val="32"/>
          <w:szCs w:val="32"/>
          <w:lang w:val="en-US" w:bidi="ar-SA"/>
        </w:rPr>
      </w:pPr>
      <w:r>
        <w:rPr>
          <w:rFonts w:hint="eastAsia" w:ascii="仿宋" w:hAnsi="仿宋" w:eastAsia="仿宋" w:cs="Times New Roman"/>
          <w:color w:val="000000"/>
          <w:sz w:val="32"/>
          <w:szCs w:val="32"/>
          <w:lang w:val="en-US" w:bidi="ar-SA"/>
        </w:rPr>
        <w:t>3、“三支一扶”补助资金，</w:t>
      </w:r>
      <w:r>
        <w:rPr>
          <w:rFonts w:ascii="仿宋" w:hAnsi="仿宋" w:eastAsia="仿宋" w:cs="Times New Roman"/>
          <w:color w:val="000000"/>
          <w:sz w:val="32"/>
          <w:szCs w:val="32"/>
          <w:lang w:val="en-US" w:bidi="ar-SA"/>
        </w:rPr>
        <w:t xml:space="preserve">资金总额 </w:t>
      </w:r>
      <w:r>
        <w:rPr>
          <w:rFonts w:hint="eastAsia" w:ascii="仿宋" w:hAnsi="仿宋" w:eastAsia="仿宋" w:cs="Times New Roman"/>
          <w:color w:val="000000"/>
          <w:sz w:val="32"/>
          <w:szCs w:val="32"/>
          <w:lang w:val="en-US" w:bidi="ar-SA"/>
        </w:rPr>
        <w:t>36</w:t>
      </w:r>
      <w:r>
        <w:rPr>
          <w:rFonts w:ascii="仿宋" w:hAnsi="仿宋" w:eastAsia="仿宋" w:cs="Times New Roman"/>
          <w:color w:val="000000"/>
          <w:sz w:val="32"/>
          <w:szCs w:val="32"/>
          <w:lang w:val="en-US" w:bidi="ar-SA"/>
        </w:rPr>
        <w:t xml:space="preserve"> 万元，</w:t>
      </w:r>
      <w:r>
        <w:rPr>
          <w:rFonts w:hint="eastAsia" w:ascii="仿宋" w:hAnsi="仿宋" w:eastAsia="仿宋" w:cs="Times New Roman"/>
          <w:color w:val="000000"/>
          <w:sz w:val="32"/>
          <w:szCs w:val="32"/>
          <w:lang w:val="en-US" w:bidi="ar-SA"/>
        </w:rPr>
        <w:t>用于发放“三支一扶”人员的工资福利支出。</w:t>
      </w:r>
    </w:p>
    <w:p>
      <w:pPr>
        <w:pStyle w:val="18"/>
        <w:tabs>
          <w:tab w:val="left" w:pos="886"/>
        </w:tabs>
        <w:spacing w:line="360" w:lineRule="auto"/>
        <w:ind w:firstLine="480" w:firstLineChars="150"/>
        <w:rPr>
          <w:rFonts w:ascii="仿宋" w:hAnsi="仿宋" w:eastAsia="仿宋" w:cs="Times New Roman"/>
          <w:color w:val="000000"/>
          <w:sz w:val="32"/>
          <w:szCs w:val="32"/>
          <w:lang w:val="en-US" w:bidi="ar-SA"/>
        </w:rPr>
      </w:pPr>
      <w:r>
        <w:rPr>
          <w:rFonts w:hint="eastAsia" w:ascii="仿宋" w:hAnsi="仿宋" w:eastAsia="仿宋" w:cs="Times New Roman"/>
          <w:color w:val="000000"/>
          <w:sz w:val="32"/>
          <w:szCs w:val="32"/>
          <w:lang w:val="en-US" w:eastAsia="zh-CN" w:bidi="ar-SA"/>
        </w:rPr>
        <w:t>2020</w:t>
      </w:r>
      <w:r>
        <w:rPr>
          <w:rFonts w:hint="eastAsia" w:ascii="仿宋" w:hAnsi="仿宋" w:eastAsia="仿宋" w:cs="Times New Roman"/>
          <w:color w:val="000000"/>
          <w:sz w:val="32"/>
          <w:szCs w:val="32"/>
          <w:lang w:val="en-US" w:bidi="ar-SA"/>
        </w:rPr>
        <w:t>年我局项目资金使用情况分析：</w:t>
      </w:r>
    </w:p>
    <w:p>
      <w:pPr>
        <w:pStyle w:val="18"/>
        <w:tabs>
          <w:tab w:val="left" w:pos="886"/>
        </w:tabs>
        <w:spacing w:line="360" w:lineRule="auto"/>
        <w:ind w:firstLine="480" w:firstLineChars="150"/>
        <w:rPr>
          <w:rFonts w:ascii="仿宋" w:hAnsi="仿宋" w:eastAsia="仿宋" w:cs="Times New Roman"/>
          <w:color w:val="000000"/>
          <w:sz w:val="32"/>
          <w:szCs w:val="32"/>
          <w:lang w:val="en-US" w:bidi="ar-SA"/>
        </w:rPr>
      </w:pPr>
      <w:r>
        <w:rPr>
          <w:rFonts w:hint="eastAsia" w:ascii="仿宋" w:hAnsi="仿宋" w:eastAsia="仿宋" w:cs="Times New Roman"/>
          <w:color w:val="000000"/>
          <w:sz w:val="32"/>
          <w:szCs w:val="32"/>
          <w:lang w:val="en-US" w:bidi="ar-SA"/>
        </w:rPr>
        <w:t>根据党员学习的要求，我局组织全体党员进行党员学习</w:t>
      </w:r>
      <w:r>
        <w:rPr>
          <w:rFonts w:hint="eastAsia" w:ascii="仿宋" w:hAnsi="仿宋" w:eastAsia="仿宋" w:cs="Times New Roman"/>
          <w:color w:val="000000"/>
          <w:sz w:val="32"/>
          <w:szCs w:val="32"/>
          <w:lang w:val="en-US" w:eastAsia="zh-CN" w:bidi="ar-SA"/>
        </w:rPr>
        <w:t>、五化建设</w:t>
      </w:r>
      <w:r>
        <w:rPr>
          <w:rFonts w:hint="eastAsia" w:ascii="仿宋" w:hAnsi="仿宋" w:eastAsia="仿宋" w:cs="Times New Roman"/>
          <w:color w:val="000000"/>
          <w:sz w:val="32"/>
          <w:szCs w:val="32"/>
          <w:lang w:val="en-US" w:bidi="ar-SA"/>
        </w:rPr>
        <w:t>，使用党建工作经费</w:t>
      </w:r>
      <w:r>
        <w:rPr>
          <w:rFonts w:hint="eastAsia" w:ascii="仿宋" w:hAnsi="仿宋" w:eastAsia="仿宋" w:cs="Times New Roman"/>
          <w:color w:val="000000"/>
          <w:sz w:val="32"/>
          <w:szCs w:val="32"/>
          <w:lang w:val="en-US" w:eastAsia="zh-CN" w:bidi="ar-SA"/>
        </w:rPr>
        <w:t>2.19</w:t>
      </w:r>
      <w:r>
        <w:rPr>
          <w:rFonts w:hint="eastAsia" w:ascii="仿宋" w:hAnsi="仿宋" w:eastAsia="仿宋" w:cs="Times New Roman"/>
          <w:color w:val="000000"/>
          <w:sz w:val="32"/>
          <w:szCs w:val="32"/>
          <w:lang w:val="en-US" w:bidi="ar-SA"/>
        </w:rPr>
        <w:t>万元；“三支一扶”补助资金</w:t>
      </w:r>
      <w:r>
        <w:rPr>
          <w:rFonts w:hint="eastAsia" w:ascii="仿宋" w:hAnsi="仿宋" w:eastAsia="仿宋" w:cs="Times New Roman"/>
          <w:color w:val="000000"/>
          <w:sz w:val="32"/>
          <w:szCs w:val="32"/>
          <w:lang w:val="en-US" w:eastAsia="zh-CN" w:bidi="ar-SA"/>
        </w:rPr>
        <w:t>52.49万元</w:t>
      </w:r>
      <w:r>
        <w:rPr>
          <w:rFonts w:hint="eastAsia" w:ascii="仿宋" w:hAnsi="仿宋" w:eastAsia="仿宋" w:cs="Times New Roman"/>
          <w:color w:val="000000"/>
          <w:sz w:val="32"/>
          <w:szCs w:val="32"/>
          <w:lang w:val="en-US" w:bidi="ar-SA"/>
        </w:rPr>
        <w:t>用于我区9名“三支一扶”人员的工资、社保和安家费的发放。</w:t>
      </w:r>
    </w:p>
    <w:p>
      <w:pPr>
        <w:pStyle w:val="18"/>
        <w:tabs>
          <w:tab w:val="left" w:pos="886"/>
        </w:tabs>
        <w:spacing w:line="360" w:lineRule="auto"/>
        <w:ind w:firstLine="480" w:firstLineChars="150"/>
        <w:rPr>
          <w:rFonts w:ascii="仿宋" w:hAnsi="仿宋" w:eastAsia="仿宋" w:cs="Times New Roman"/>
          <w:color w:val="000000"/>
          <w:sz w:val="32"/>
          <w:szCs w:val="32"/>
          <w:lang w:val="en-US" w:bidi="ar-SA"/>
        </w:rPr>
      </w:pPr>
      <w:r>
        <w:rPr>
          <w:rFonts w:hint="eastAsia" w:ascii="仿宋" w:hAnsi="仿宋" w:eastAsia="仿宋" w:cs="Times New Roman"/>
          <w:color w:val="000000"/>
          <w:sz w:val="32"/>
          <w:szCs w:val="32"/>
          <w:lang w:val="en-US" w:eastAsia="zh-CN" w:bidi="ar-SA"/>
        </w:rPr>
        <w:t>2020</w:t>
      </w:r>
      <w:r>
        <w:rPr>
          <w:rFonts w:hint="eastAsia" w:ascii="仿宋" w:hAnsi="仿宋" w:eastAsia="仿宋" w:cs="Times New Roman"/>
          <w:color w:val="000000"/>
          <w:sz w:val="32"/>
          <w:szCs w:val="32"/>
          <w:lang w:val="en-US" w:bidi="ar-SA"/>
        </w:rPr>
        <w:t>年没有发生“三公”经费支出。</w:t>
      </w:r>
    </w:p>
    <w:p>
      <w:pPr>
        <w:pStyle w:val="18"/>
        <w:tabs>
          <w:tab w:val="left" w:pos="867"/>
        </w:tabs>
        <w:spacing w:line="360" w:lineRule="auto"/>
        <w:jc w:val="left"/>
        <w:rPr>
          <w:rFonts w:ascii="仿宋" w:hAnsi="仿宋" w:eastAsia="仿宋"/>
          <w:b/>
          <w:sz w:val="32"/>
          <w:szCs w:val="32"/>
        </w:rPr>
      </w:pPr>
      <w:r>
        <w:rPr>
          <w:rFonts w:hint="eastAsia" w:ascii="仿宋" w:hAnsi="仿宋" w:eastAsia="仿宋"/>
          <w:b/>
          <w:color w:val="000000"/>
          <w:sz w:val="32"/>
          <w:szCs w:val="32"/>
        </w:rPr>
        <w:t>三</w:t>
      </w:r>
      <w:bookmarkEnd w:id="7"/>
      <w:r>
        <w:rPr>
          <w:rFonts w:hint="eastAsia" w:ascii="仿宋" w:hAnsi="仿宋" w:eastAsia="仿宋"/>
          <w:b/>
          <w:color w:val="000000"/>
          <w:sz w:val="32"/>
          <w:szCs w:val="32"/>
        </w:rPr>
        <w:t>、部门项目组织实施情况</w:t>
      </w:r>
    </w:p>
    <w:p>
      <w:pPr>
        <w:pStyle w:val="18"/>
        <w:tabs>
          <w:tab w:val="left" w:pos="886"/>
        </w:tabs>
        <w:spacing w:line="360" w:lineRule="auto"/>
        <w:ind w:firstLine="420"/>
        <w:rPr>
          <w:rFonts w:ascii="仿宋" w:hAnsi="仿宋" w:eastAsia="仿宋"/>
          <w:color w:val="000000"/>
          <w:sz w:val="32"/>
          <w:szCs w:val="32"/>
        </w:rPr>
      </w:pPr>
      <w:bookmarkStart w:id="9" w:name="bookmark101"/>
      <w:r>
        <w:rPr>
          <w:rFonts w:hint="eastAsia" w:ascii="仿宋" w:hAnsi="仿宋" w:eastAsia="仿宋"/>
          <w:color w:val="000000"/>
          <w:sz w:val="32"/>
          <w:szCs w:val="32"/>
        </w:rPr>
        <w:t>（一）项目组织情况分析</w:t>
      </w:r>
    </w:p>
    <w:p>
      <w:pPr>
        <w:pStyle w:val="18"/>
        <w:tabs>
          <w:tab w:val="left" w:pos="886"/>
        </w:tabs>
        <w:spacing w:line="360" w:lineRule="auto"/>
        <w:ind w:firstLine="579" w:firstLineChars="181"/>
        <w:rPr>
          <w:rFonts w:ascii="仿宋" w:hAnsi="仿宋" w:eastAsia="仿宋"/>
          <w:color w:val="000000"/>
          <w:sz w:val="32"/>
          <w:szCs w:val="32"/>
        </w:rPr>
      </w:pPr>
      <w:r>
        <w:rPr>
          <w:rFonts w:hint="eastAsia" w:ascii="仿宋" w:hAnsi="仿宋" w:eastAsia="仿宋"/>
          <w:color w:val="000000"/>
          <w:sz w:val="32"/>
          <w:szCs w:val="32"/>
        </w:rPr>
        <w:t>在项目组织实施过程中，一是认真组织各部门各项目的实施，二是规范各项目计划申报，三是督促各业务部门按照进度执行预算。</w:t>
      </w:r>
    </w:p>
    <w:p>
      <w:pPr>
        <w:pStyle w:val="18"/>
        <w:tabs>
          <w:tab w:val="left" w:pos="886"/>
        </w:tabs>
        <w:spacing w:line="360" w:lineRule="auto"/>
        <w:ind w:firstLine="420"/>
        <w:rPr>
          <w:rFonts w:ascii="仿宋" w:hAnsi="仿宋" w:eastAsia="仿宋"/>
          <w:color w:val="000000"/>
          <w:sz w:val="32"/>
          <w:szCs w:val="32"/>
        </w:rPr>
      </w:pPr>
      <w:r>
        <w:rPr>
          <w:rFonts w:hint="eastAsia" w:ascii="仿宋" w:hAnsi="仿宋" w:eastAsia="仿宋"/>
          <w:color w:val="000000"/>
          <w:sz w:val="32"/>
          <w:szCs w:val="32"/>
        </w:rPr>
        <w:t>（二）项目管理情况分析</w:t>
      </w:r>
    </w:p>
    <w:p>
      <w:pPr>
        <w:spacing w:line="490" w:lineRule="exact"/>
        <w:ind w:firstLine="640" w:firstLineChars="200"/>
        <w:rPr>
          <w:rFonts w:ascii="仿宋" w:hAnsi="仿宋" w:eastAsia="仿宋"/>
          <w:color w:val="333333"/>
          <w:kern w:val="0"/>
          <w:sz w:val="32"/>
          <w:szCs w:val="32"/>
        </w:rPr>
      </w:pPr>
      <w:r>
        <w:rPr>
          <w:rFonts w:hint="eastAsia" w:ascii="仿宋" w:hAnsi="仿宋" w:eastAsia="仿宋"/>
          <w:color w:val="000000"/>
          <w:sz w:val="32"/>
          <w:szCs w:val="32"/>
        </w:rPr>
        <w:t>严格依据年初预算的金额，制定了相关财务制度，项目资金使用严格按部门和使用范围支付，并报相关领导层层审批。确保项目资金的专款专用。</w:t>
      </w:r>
    </w:p>
    <w:p>
      <w:pPr>
        <w:pStyle w:val="18"/>
        <w:tabs>
          <w:tab w:val="left" w:pos="876"/>
        </w:tabs>
        <w:spacing w:line="360" w:lineRule="auto"/>
        <w:ind w:firstLine="420"/>
        <w:rPr>
          <w:rFonts w:hint="eastAsia" w:ascii="仿宋" w:hAnsi="仿宋" w:eastAsia="仿宋"/>
          <w:b/>
          <w:color w:val="000000"/>
          <w:sz w:val="32"/>
          <w:szCs w:val="32"/>
        </w:rPr>
      </w:pPr>
    </w:p>
    <w:p>
      <w:pPr>
        <w:pStyle w:val="18"/>
        <w:tabs>
          <w:tab w:val="left" w:pos="876"/>
        </w:tabs>
        <w:spacing w:line="360" w:lineRule="auto"/>
        <w:ind w:firstLine="420"/>
        <w:rPr>
          <w:rFonts w:ascii="仿宋" w:hAnsi="仿宋" w:eastAsia="仿宋"/>
          <w:b/>
          <w:sz w:val="32"/>
          <w:szCs w:val="32"/>
        </w:rPr>
      </w:pPr>
      <w:r>
        <w:rPr>
          <w:rFonts w:hint="eastAsia" w:ascii="仿宋" w:hAnsi="仿宋" w:eastAsia="仿宋"/>
          <w:b/>
          <w:color w:val="000000"/>
          <w:sz w:val="32"/>
          <w:szCs w:val="32"/>
        </w:rPr>
        <w:t>四</w:t>
      </w:r>
      <w:bookmarkEnd w:id="9"/>
      <w:r>
        <w:rPr>
          <w:rFonts w:hint="eastAsia" w:ascii="仿宋" w:hAnsi="仿宋" w:eastAsia="仿宋"/>
          <w:b/>
          <w:color w:val="000000"/>
          <w:sz w:val="32"/>
          <w:szCs w:val="32"/>
        </w:rPr>
        <w:t>、资产管理情况</w:t>
      </w:r>
    </w:p>
    <w:p>
      <w:pPr>
        <w:pStyle w:val="18"/>
        <w:spacing w:line="360" w:lineRule="auto"/>
        <w:ind w:firstLine="420"/>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年年底有固定资产原值9</w:t>
      </w:r>
      <w:r>
        <w:rPr>
          <w:rFonts w:hint="eastAsia" w:ascii="仿宋" w:hAnsi="仿宋" w:eastAsia="仿宋"/>
          <w:color w:val="000000"/>
          <w:sz w:val="32"/>
          <w:szCs w:val="32"/>
          <w:lang w:val="en-US" w:eastAsia="zh-CN"/>
        </w:rPr>
        <w:t>3.57</w:t>
      </w:r>
      <w:r>
        <w:rPr>
          <w:rFonts w:hint="eastAsia" w:ascii="仿宋" w:hAnsi="仿宋" w:eastAsia="仿宋"/>
          <w:color w:val="000000"/>
          <w:sz w:val="32"/>
          <w:szCs w:val="32"/>
        </w:rPr>
        <w:t>万，其中通用设备12</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台，共计5</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万元；家具、用具和装具共394个（套），共计金额38.17万元。</w:t>
      </w:r>
    </w:p>
    <w:p>
      <w:pPr>
        <w:pStyle w:val="18"/>
        <w:tabs>
          <w:tab w:val="left" w:pos="886"/>
        </w:tabs>
        <w:spacing w:line="360" w:lineRule="auto"/>
        <w:ind w:firstLine="579" w:firstLineChars="181"/>
        <w:rPr>
          <w:rFonts w:ascii="仿宋" w:hAnsi="仿宋" w:eastAsia="仿宋"/>
          <w:color w:val="000000"/>
          <w:sz w:val="32"/>
          <w:szCs w:val="32"/>
        </w:rPr>
      </w:pPr>
      <w:r>
        <w:rPr>
          <w:rFonts w:hint="eastAsia" w:ascii="仿宋" w:hAnsi="仿宋" w:eastAsia="仿宋"/>
          <w:color w:val="000000"/>
          <w:sz w:val="32"/>
          <w:szCs w:val="32"/>
        </w:rPr>
        <w:t>为加强和规范单位资产管理，提高财政资金使用效益，保证单位国有资产的安全位完整，进一步提高资产管理水平，认真学习《珠晖区国有资产管理暂行办法》等有关文件，明确工作职责和工作要求，力求做到规范管理、科学统筹，不断提高资产使用效率。</w:t>
      </w:r>
    </w:p>
    <w:p>
      <w:pPr>
        <w:pStyle w:val="18"/>
        <w:tabs>
          <w:tab w:val="left" w:pos="886"/>
        </w:tabs>
        <w:spacing w:line="360" w:lineRule="auto"/>
        <w:ind w:firstLine="579" w:firstLineChars="181"/>
        <w:rPr>
          <w:rFonts w:ascii="仿宋" w:hAnsi="仿宋" w:eastAsia="仿宋"/>
          <w:color w:val="000000"/>
          <w:sz w:val="32"/>
          <w:szCs w:val="32"/>
        </w:rPr>
      </w:pPr>
      <w:r>
        <w:rPr>
          <w:rFonts w:hint="eastAsia" w:ascii="仿宋" w:hAnsi="仿宋" w:eastAsia="仿宋"/>
          <w:color w:val="000000"/>
          <w:sz w:val="32"/>
          <w:szCs w:val="32"/>
        </w:rPr>
        <w:t>一是加强日常资产管理，规范管理程序。在资产的日常管理方面，新增资产向办公室申请经相关领导同意后购买并及时入账，落实保管制度，责任到人。资产盘亏、报废由办公室盘点后提出资产盘亏、报废申请报告，并会同财务部门核查落实后，报财政部门审批，严格规范资产处置程序。二是落实检查制度。对资产的调配、使用、保管进行定期检查，基本做到账物相符，存放地点清楚，责任人明确。在坚持采购必要性前提下，确保采购物品能最大限度的满足工作实际需要，这样可以降低运行成本，减少不必要的浪费。</w:t>
      </w:r>
    </w:p>
    <w:p>
      <w:pPr>
        <w:pStyle w:val="18"/>
        <w:spacing w:line="360" w:lineRule="auto"/>
        <w:ind w:firstLine="420"/>
        <w:rPr>
          <w:rFonts w:ascii="Calibri" w:hAnsi="Calibri" w:cs="Times New Roman"/>
          <w:color w:val="000000"/>
          <w:sz w:val="28"/>
          <w:szCs w:val="28"/>
          <w:lang w:val="en-US" w:bidi="ar-SA"/>
        </w:rPr>
      </w:pPr>
    </w:p>
    <w:p>
      <w:pPr>
        <w:pStyle w:val="18"/>
        <w:tabs>
          <w:tab w:val="left" w:pos="886"/>
        </w:tabs>
        <w:spacing w:line="360" w:lineRule="auto"/>
        <w:ind w:firstLine="420"/>
        <w:rPr>
          <w:rFonts w:ascii="仿宋" w:hAnsi="仿宋" w:eastAsia="仿宋"/>
          <w:b/>
          <w:color w:val="000000"/>
          <w:sz w:val="32"/>
          <w:szCs w:val="32"/>
        </w:rPr>
      </w:pPr>
      <w:bookmarkStart w:id="10" w:name="bookmark102"/>
      <w:r>
        <w:rPr>
          <w:rFonts w:hint="eastAsia" w:ascii="仿宋" w:hAnsi="仿宋" w:eastAsia="仿宋"/>
          <w:b/>
          <w:color w:val="000000"/>
          <w:sz w:val="32"/>
          <w:szCs w:val="32"/>
        </w:rPr>
        <w:t>五</w:t>
      </w:r>
      <w:bookmarkEnd w:id="10"/>
      <w:r>
        <w:rPr>
          <w:rFonts w:hint="eastAsia" w:ascii="仿宋" w:hAnsi="仿宋" w:eastAsia="仿宋"/>
          <w:b/>
          <w:color w:val="000000"/>
          <w:sz w:val="32"/>
          <w:szCs w:val="32"/>
        </w:rPr>
        <w:t>、部门整体支出绩效情况</w:t>
      </w:r>
    </w:p>
    <w:p>
      <w:pPr>
        <w:pStyle w:val="18"/>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从整体上看，</w:t>
      </w:r>
      <w:r>
        <w:rPr>
          <w:rFonts w:hint="eastAsia" w:ascii="仿宋" w:hAnsi="仿宋" w:eastAsia="仿宋"/>
          <w:color w:val="000000"/>
          <w:sz w:val="32"/>
          <w:szCs w:val="32"/>
          <w:lang w:eastAsia="zh-CN"/>
        </w:rPr>
        <w:t>2020</w:t>
      </w:r>
      <w:r>
        <w:rPr>
          <w:rFonts w:hint="eastAsia" w:ascii="仿宋" w:hAnsi="仿宋" w:eastAsia="仿宋"/>
          <w:color w:val="000000"/>
          <w:sz w:val="32"/>
          <w:szCs w:val="32"/>
        </w:rPr>
        <w:t>年我局资金运行维护决策正确，资金管理规范，项目管理到位，政策执行有力，有效发挥了财政资金的使用效率。我局各项资金的支出主要是保障全局工作的稳定开展，在人员经费支出、日常公用经费支出方面严格执行各项财务制度；在项目经费的使用上，在保证各项任务顺利完成的同时，严格落实厉行节约的原则；在三公经费的使用上，严格控制三公经费的支出，将三公经费支出控制在预算的范围内。</w:t>
      </w:r>
    </w:p>
    <w:p>
      <w:pPr>
        <w:pStyle w:val="18"/>
        <w:tabs>
          <w:tab w:val="left" w:pos="886"/>
        </w:tabs>
        <w:spacing w:line="360" w:lineRule="auto"/>
        <w:ind w:firstLine="420"/>
        <w:rPr>
          <w:rFonts w:ascii="仿宋" w:hAnsi="仿宋" w:eastAsia="仿宋"/>
          <w:b/>
          <w:sz w:val="32"/>
          <w:szCs w:val="32"/>
        </w:rPr>
      </w:pPr>
      <w:bookmarkStart w:id="11" w:name="bookmark103"/>
      <w:r>
        <w:rPr>
          <w:rFonts w:hint="eastAsia" w:ascii="仿宋" w:hAnsi="仿宋" w:eastAsia="仿宋"/>
          <w:b/>
          <w:color w:val="000000"/>
          <w:sz w:val="32"/>
          <w:szCs w:val="32"/>
        </w:rPr>
        <w:t>六</w:t>
      </w:r>
      <w:bookmarkEnd w:id="11"/>
      <w:r>
        <w:rPr>
          <w:rFonts w:hint="eastAsia" w:ascii="仿宋" w:hAnsi="仿宋" w:eastAsia="仿宋"/>
          <w:b/>
          <w:color w:val="000000"/>
          <w:sz w:val="32"/>
          <w:szCs w:val="32"/>
        </w:rPr>
        <w:t>、存在的主要问题</w:t>
      </w:r>
    </w:p>
    <w:p>
      <w:pPr>
        <w:widowControl/>
        <w:spacing w:line="600" w:lineRule="exact"/>
        <w:ind w:firstLine="627" w:firstLineChars="196"/>
        <w:jc w:val="left"/>
        <w:rPr>
          <w:rFonts w:ascii="仿宋" w:hAnsi="仿宋" w:eastAsia="仿宋"/>
          <w:color w:val="000000"/>
          <w:sz w:val="32"/>
          <w:szCs w:val="32"/>
        </w:rPr>
      </w:pPr>
      <w:bookmarkStart w:id="12" w:name="bookmark104"/>
      <w:r>
        <w:rPr>
          <w:rFonts w:hint="eastAsia" w:ascii="仿宋" w:hAnsi="仿宋" w:eastAsia="仿宋"/>
          <w:color w:val="000000"/>
          <w:sz w:val="32"/>
          <w:szCs w:val="32"/>
        </w:rPr>
        <w:t>1</w:t>
      </w:r>
      <w:r>
        <w:rPr>
          <w:rFonts w:ascii="仿宋" w:hAnsi="仿宋" w:eastAsia="仿宋"/>
          <w:color w:val="000000"/>
          <w:sz w:val="32"/>
          <w:szCs w:val="32"/>
        </w:rPr>
        <w:t>、业务经费年初预算安排不足。由于预算安排不足，缺口资金只能调剂其他资金使用。</w:t>
      </w:r>
    </w:p>
    <w:p>
      <w:pPr>
        <w:widowControl/>
        <w:spacing w:line="600" w:lineRule="exact"/>
        <w:ind w:firstLine="627" w:firstLineChars="196"/>
        <w:jc w:val="left"/>
        <w:rPr>
          <w:rFonts w:ascii="仿宋" w:hAnsi="仿宋" w:eastAsia="仿宋"/>
          <w:color w:val="000000"/>
          <w:sz w:val="32"/>
          <w:szCs w:val="32"/>
        </w:rPr>
      </w:pPr>
      <w:r>
        <w:rPr>
          <w:rFonts w:ascii="仿宋" w:hAnsi="仿宋" w:eastAsia="仿宋"/>
          <w:color w:val="000000"/>
          <w:sz w:val="32"/>
          <w:szCs w:val="32"/>
        </w:rPr>
        <w:t>2、年初预算编制不够精细，部分支出超预算。预算编制不够明确和细化，预算编制的合理性需要提高。</w:t>
      </w:r>
    </w:p>
    <w:p>
      <w:pPr>
        <w:pStyle w:val="18"/>
        <w:tabs>
          <w:tab w:val="left" w:pos="886"/>
        </w:tabs>
        <w:spacing w:line="360" w:lineRule="auto"/>
        <w:ind w:firstLine="420"/>
        <w:rPr>
          <w:rFonts w:ascii="仿宋" w:hAnsi="仿宋" w:eastAsia="仿宋"/>
          <w:b/>
          <w:sz w:val="32"/>
          <w:szCs w:val="32"/>
        </w:rPr>
      </w:pPr>
      <w:r>
        <w:rPr>
          <w:rFonts w:hint="eastAsia" w:ascii="仿宋" w:hAnsi="仿宋" w:eastAsia="仿宋"/>
          <w:b/>
          <w:color w:val="000000"/>
          <w:sz w:val="32"/>
          <w:szCs w:val="32"/>
        </w:rPr>
        <w:t>七</w:t>
      </w:r>
      <w:bookmarkEnd w:id="12"/>
      <w:r>
        <w:rPr>
          <w:rFonts w:hint="eastAsia" w:ascii="仿宋" w:hAnsi="仿宋" w:eastAsia="仿宋"/>
          <w:b/>
          <w:color w:val="000000"/>
          <w:sz w:val="32"/>
          <w:szCs w:val="32"/>
        </w:rPr>
        <w:t>、改进措施和有关建议</w:t>
      </w:r>
    </w:p>
    <w:p>
      <w:pPr>
        <w:widowControl/>
        <w:spacing w:line="600" w:lineRule="exact"/>
        <w:ind w:firstLine="627" w:firstLineChars="196"/>
        <w:jc w:val="left"/>
        <w:rPr>
          <w:rFonts w:hint="eastAsia" w:ascii="仿宋" w:hAnsi="仿宋" w:eastAsia="仿宋"/>
          <w:color w:val="000000"/>
          <w:sz w:val="32"/>
          <w:szCs w:val="32"/>
        </w:rPr>
      </w:pPr>
      <w:r>
        <w:rPr>
          <w:rFonts w:hint="eastAsia" w:ascii="仿宋" w:hAnsi="仿宋" w:eastAsia="仿宋"/>
          <w:color w:val="000000"/>
          <w:sz w:val="32"/>
          <w:szCs w:val="32"/>
        </w:rPr>
        <w:t>1、增加年初预算；</w:t>
      </w:r>
    </w:p>
    <w:p>
      <w:pPr>
        <w:widowControl/>
        <w:spacing w:line="600" w:lineRule="exact"/>
        <w:ind w:firstLine="627" w:firstLineChars="196"/>
        <w:jc w:val="left"/>
        <w:rPr>
          <w:rFonts w:hint="eastAsia" w:ascii="仿宋" w:hAnsi="仿宋" w:eastAsia="仿宋"/>
          <w:color w:val="000000"/>
          <w:sz w:val="32"/>
          <w:szCs w:val="32"/>
        </w:rPr>
      </w:pPr>
      <w:r>
        <w:rPr>
          <w:rFonts w:hint="eastAsia" w:ascii="仿宋" w:hAnsi="仿宋" w:eastAsia="仿宋"/>
          <w:color w:val="000000"/>
          <w:sz w:val="32"/>
          <w:szCs w:val="32"/>
        </w:rPr>
        <w:t>2、提升预算系统的精确程度，便于将各项开支全部纳入预算。</w:t>
      </w:r>
    </w:p>
    <w:p>
      <w:pPr>
        <w:widowControl/>
        <w:spacing w:line="600" w:lineRule="exact"/>
        <w:ind w:firstLine="627" w:firstLineChars="196"/>
        <w:jc w:val="left"/>
        <w:rPr>
          <w:rFonts w:ascii="仿宋" w:hAnsi="仿宋" w:eastAsia="仿宋"/>
          <w:color w:val="000000"/>
          <w:sz w:val="32"/>
          <w:szCs w:val="32"/>
        </w:rPr>
      </w:pPr>
      <w:r>
        <w:rPr>
          <w:rFonts w:hint="eastAsia" w:ascii="仿宋" w:hAnsi="仿宋" w:eastAsia="仿宋"/>
          <w:color w:val="000000"/>
          <w:sz w:val="32"/>
          <w:szCs w:val="32"/>
        </w:rPr>
        <w:t>3、建立建全各项制度，以制度来管控工作，以制度来考核工作。</w:t>
      </w:r>
    </w:p>
    <w:p>
      <w:pPr>
        <w:spacing w:line="1" w:lineRule="exact"/>
        <w:jc w:val="center"/>
        <w:rPr>
          <w:rFonts w:ascii="仿宋" w:hAnsi="仿宋" w:eastAsia="仿宋" w:cs="宋体"/>
          <w:sz w:val="32"/>
          <w:szCs w:val="32"/>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LU/CM7oBAACXAwAADgAAAGRycy9lMm9Eb2MueG1srVNN&#10;i9swEL0X+h+E7o2dLA1LiLO0hC2F0ha2/QGKLMcCfaFRYuff90l2st3tZQ+9yKOZ0Zv3Zsbbh9Ea&#10;dlaRtHcNXy5qzpSTvtXu2PDfvx4/3HNGSbhWGO9Uwy+K+MPu/bvtEDZq5XtvWhUZQBxthtDwPqWw&#10;qSqSvbKCFj4oh2DnoxUJ13is2igGoFtTrep6XQ0+tiF6qYjg3U9BPiPGtwD6rtNS7b08WeXShBqV&#10;EQmSqNeB+K6w7Tol04+uI5WYaTiUpnKiCOxDPqvdVmyOUYRey5mCeAuFV5qs0A5Fb1B7kQQ7Rf0P&#10;lNUyevJdWkhvq0lI6QhULOtXvXnqRVBFC1pN4dZ0+n+w8vv5Z2S6bfgdWuKExcRLWYY7mjME2iDn&#10;KSArjZ/9iJW5+gnOrHnsos1fqGGIA+dya60aE5Nwruu71UdEJELLer2+L+jV8+MQKX1R3rJsNDxi&#10;cqWh4vyNEogg9ZqSazn/qI0p0zPuhQOJk0eV8c+vs46Jb7bSeBhncQffXqBtwAo03GHjOTNfHToM&#10;sulqxKtxmI1ckcKnUwKNwi6jTlCgmi+YVyE971ZeiL/vJev5f9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wtzDYAAAADQEAAA8AAAAAAAAAAQAgAAAAIgAAAGRycy9kb3ducmV2LnhtbFBLAQIU&#10;ABQAAAAIAIdO4kAtT8IzugEAAJcDAAAOAAAAAAAAAAEAIAAAACcBAABkcnMvZTJvRG9jLnhtbFBL&#10;BQYAAAAABgAGAFkBAABTBQAAAAA=&#10;">
              <v:fill on="f" focussize="0,0"/>
              <v:stroke on="f"/>
              <v:imagedata o:title=""/>
              <o:lock v:ext="edit" aspectratio="f"/>
              <v:textbox inset="0mm,0mm,0mm,0mm" style="mso-fit-shape-to-text:t;">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0050FF1"/>
    <w:rsid w:val="00076B72"/>
    <w:rsid w:val="00141768"/>
    <w:rsid w:val="00172A5D"/>
    <w:rsid w:val="001750C5"/>
    <w:rsid w:val="00193A44"/>
    <w:rsid w:val="001B3408"/>
    <w:rsid w:val="001C6F4A"/>
    <w:rsid w:val="0022525A"/>
    <w:rsid w:val="0024581B"/>
    <w:rsid w:val="002B4620"/>
    <w:rsid w:val="00332355"/>
    <w:rsid w:val="003336F1"/>
    <w:rsid w:val="0034112D"/>
    <w:rsid w:val="00411EC1"/>
    <w:rsid w:val="004254B5"/>
    <w:rsid w:val="00436F79"/>
    <w:rsid w:val="00447A21"/>
    <w:rsid w:val="004A3C41"/>
    <w:rsid w:val="00586B0D"/>
    <w:rsid w:val="005F0E6C"/>
    <w:rsid w:val="00650B26"/>
    <w:rsid w:val="0066281E"/>
    <w:rsid w:val="00690F79"/>
    <w:rsid w:val="006D336B"/>
    <w:rsid w:val="0070626B"/>
    <w:rsid w:val="00720C94"/>
    <w:rsid w:val="007F74B5"/>
    <w:rsid w:val="008013D8"/>
    <w:rsid w:val="00811748"/>
    <w:rsid w:val="00914D24"/>
    <w:rsid w:val="009652BE"/>
    <w:rsid w:val="00965C93"/>
    <w:rsid w:val="00992CCD"/>
    <w:rsid w:val="009B404C"/>
    <w:rsid w:val="009D5144"/>
    <w:rsid w:val="00A10633"/>
    <w:rsid w:val="00A22C4C"/>
    <w:rsid w:val="00A6244E"/>
    <w:rsid w:val="00A773C4"/>
    <w:rsid w:val="00A87F57"/>
    <w:rsid w:val="00A92C8D"/>
    <w:rsid w:val="00AA71A3"/>
    <w:rsid w:val="00AD5CB6"/>
    <w:rsid w:val="00B205E6"/>
    <w:rsid w:val="00B2770F"/>
    <w:rsid w:val="00B4098C"/>
    <w:rsid w:val="00B45044"/>
    <w:rsid w:val="00B515A7"/>
    <w:rsid w:val="00B62381"/>
    <w:rsid w:val="00B653F6"/>
    <w:rsid w:val="00B727D5"/>
    <w:rsid w:val="00B746F4"/>
    <w:rsid w:val="00BA3408"/>
    <w:rsid w:val="00BA719E"/>
    <w:rsid w:val="00BE23EB"/>
    <w:rsid w:val="00BF4A50"/>
    <w:rsid w:val="00C16230"/>
    <w:rsid w:val="00CF5DE6"/>
    <w:rsid w:val="00D0406C"/>
    <w:rsid w:val="00D253E5"/>
    <w:rsid w:val="00DB2818"/>
    <w:rsid w:val="00DB3FC5"/>
    <w:rsid w:val="00DC201E"/>
    <w:rsid w:val="00DD7B3A"/>
    <w:rsid w:val="00E06907"/>
    <w:rsid w:val="00E07EFE"/>
    <w:rsid w:val="00E1571F"/>
    <w:rsid w:val="00E40FD0"/>
    <w:rsid w:val="00E839B9"/>
    <w:rsid w:val="00EA0482"/>
    <w:rsid w:val="00EC4C3A"/>
    <w:rsid w:val="00EF50A4"/>
    <w:rsid w:val="00F20BE2"/>
    <w:rsid w:val="00F27AC1"/>
    <w:rsid w:val="00F5366E"/>
    <w:rsid w:val="00FB16B0"/>
    <w:rsid w:val="00FC322D"/>
    <w:rsid w:val="02312FDE"/>
    <w:rsid w:val="030A3C3B"/>
    <w:rsid w:val="03737E75"/>
    <w:rsid w:val="0A9F4195"/>
    <w:rsid w:val="0C505A2A"/>
    <w:rsid w:val="145D29CB"/>
    <w:rsid w:val="14802019"/>
    <w:rsid w:val="15224E9F"/>
    <w:rsid w:val="1810076A"/>
    <w:rsid w:val="1C9D605B"/>
    <w:rsid w:val="1CB55F50"/>
    <w:rsid w:val="1F6E185C"/>
    <w:rsid w:val="205265F0"/>
    <w:rsid w:val="236639AE"/>
    <w:rsid w:val="290A0FAD"/>
    <w:rsid w:val="2C8F18D7"/>
    <w:rsid w:val="33B015AE"/>
    <w:rsid w:val="3BE645DA"/>
    <w:rsid w:val="3F577654"/>
    <w:rsid w:val="40706D55"/>
    <w:rsid w:val="423B1DB6"/>
    <w:rsid w:val="43E32D28"/>
    <w:rsid w:val="4999703E"/>
    <w:rsid w:val="4D301426"/>
    <w:rsid w:val="4D625F91"/>
    <w:rsid w:val="4E8A1C84"/>
    <w:rsid w:val="527541A2"/>
    <w:rsid w:val="52E51199"/>
    <w:rsid w:val="56105337"/>
    <w:rsid w:val="56C81120"/>
    <w:rsid w:val="56F073BC"/>
    <w:rsid w:val="5B8E7E9F"/>
    <w:rsid w:val="5C8B1978"/>
    <w:rsid w:val="62513BD9"/>
    <w:rsid w:val="688268EC"/>
    <w:rsid w:val="6D254FA9"/>
    <w:rsid w:val="6FA102B6"/>
    <w:rsid w:val="78CC6089"/>
    <w:rsid w:val="7EAD4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微软雅黑" w:hAnsi="微软雅黑" w:eastAsia="微软雅黑" w:cs="微软雅黑"/>
      <w:sz w:val="14"/>
      <w:szCs w:val="14"/>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0">
    <w:name w:val="Body text|3"/>
    <w:basedOn w:val="1"/>
    <w:qFormat/>
    <w:uiPriority w:val="0"/>
    <w:pPr>
      <w:spacing w:before="220" w:after="720"/>
      <w:ind w:firstLine="520"/>
    </w:pPr>
    <w:rPr>
      <w:sz w:val="32"/>
      <w:szCs w:val="32"/>
    </w:rPr>
  </w:style>
  <w:style w:type="paragraph" w:customStyle="1" w:styleId="21">
    <w:name w:val="Other|1"/>
    <w:basedOn w:val="1"/>
    <w:qFormat/>
    <w:uiPriority w:val="0"/>
    <w:pPr>
      <w:spacing w:line="302" w:lineRule="exact"/>
    </w:pPr>
    <w:rPr>
      <w:rFonts w:ascii="宋体" w:hAnsi="宋体" w:cs="宋体"/>
      <w:sz w:val="19"/>
      <w:szCs w:val="19"/>
      <w:lang w:val="zh-CN" w:bidi="zh-CN"/>
    </w:rPr>
  </w:style>
  <w:style w:type="paragraph" w:customStyle="1" w:styleId="22">
    <w:name w:val="Body text|4"/>
    <w:basedOn w:val="1"/>
    <w:qFormat/>
    <w:uiPriority w:val="0"/>
    <w:pPr>
      <w:spacing w:after="60"/>
      <w:ind w:firstLine="320"/>
    </w:pPr>
    <w:rPr>
      <w:rFonts w:ascii="宋体" w:hAnsi="宋体" w:cs="宋体"/>
      <w:lang w:val="zh-CN" w:bidi="zh-CN"/>
    </w:rPr>
  </w:style>
  <w:style w:type="paragraph" w:customStyle="1" w:styleId="23">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4">
    <w:name w:val="Header or footer|2"/>
    <w:basedOn w:val="1"/>
    <w:qFormat/>
    <w:uiPriority w:val="0"/>
    <w:rPr>
      <w:sz w:val="20"/>
      <w:szCs w:val="20"/>
      <w:lang w:val="zh-CN" w:bidi="zh-CN"/>
    </w:rPr>
  </w:style>
  <w:style w:type="paragraph" w:customStyle="1" w:styleId="25">
    <w:name w:val="Body text|2"/>
    <w:basedOn w:val="1"/>
    <w:qFormat/>
    <w:uiPriority w:val="0"/>
    <w:pPr>
      <w:spacing w:after="470"/>
    </w:pPr>
    <w:rPr>
      <w:b/>
      <w:bCs/>
      <w:sz w:val="19"/>
      <w:szCs w:val="19"/>
      <w:lang w:val="zh-CN" w:bidi="zh-CN"/>
    </w:rPr>
  </w:style>
  <w:style w:type="character" w:customStyle="1" w:styleId="26">
    <w:name w:val="bsharetext"/>
    <w:basedOn w:val="6"/>
    <w:qFormat/>
    <w:uiPriority w:val="0"/>
  </w:style>
  <w:style w:type="character" w:customStyle="1" w:styleId="27">
    <w:name w:val="页眉 Char"/>
    <w:basedOn w:val="6"/>
    <w:link w:val="3"/>
    <w:qFormat/>
    <w:uiPriority w:val="0"/>
    <w:rPr>
      <w:rFonts w:ascii="Calibri" w:hAnsi="Calibri"/>
      <w:kern w:val="2"/>
      <w:sz w:val="18"/>
      <w:szCs w:val="18"/>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442</Words>
  <Characters>2525</Characters>
  <Lines>21</Lines>
  <Paragraphs>5</Paragraphs>
  <TotalTime>19</TotalTime>
  <ScaleCrop>false</ScaleCrop>
  <LinksUpToDate>false</LinksUpToDate>
  <CharactersWithSpaces>2962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2021-06-17T03:34:00Z</dcterms:created>
  <dc:creator></dc:creator>
  <cp:lastModifiedBy>Administrator</cp:lastModifiedBy>
  <cp:lastPrinted>2020-06-22T00:56:00Z</cp:lastPrinted>
  <dcterms:modified xsi:type="dcterms:W3CDTF">2021-12-15T02:50:06Z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2D98886CF1754684BE81A36FFBC03F6A</vt:lpwstr>
  </property>
</Properties>
</file>