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32"/>
          <w:szCs w:val="32"/>
          <w:lang w:val="en-US" w:eastAsia="zh-CN" w:bidi="en-US"/>
        </w:rPr>
      </w:pPr>
      <w:r>
        <w:rPr>
          <w:rFonts w:hint="eastAsia" w:ascii="仿宋" w:hAnsi="仿宋" w:eastAsia="仿宋" w:cs="仿宋"/>
          <w:b w:val="0"/>
          <w:bCs w:val="0"/>
          <w:color w:val="000000"/>
          <w:spacing w:val="0"/>
          <w:w w:val="100"/>
          <w:kern w:val="2"/>
          <w:position w:val="0"/>
          <w:sz w:val="28"/>
          <w:szCs w:val="28"/>
          <w:u w:val="none"/>
          <w:shd w:val="clear" w:color="auto" w:fill="auto"/>
          <w:lang w:val="zh-CN" w:eastAsia="zh-CN" w:bidi="zh-CN"/>
        </w:rPr>
        <w:t>附件</w:t>
      </w:r>
      <w:r>
        <w:rPr>
          <w:rFonts w:hint="eastAsia" w:ascii="仿宋" w:hAnsi="仿宋" w:eastAsia="仿宋" w:cs="仿宋"/>
          <w:b w:val="0"/>
          <w:bCs w:val="0"/>
          <w:color w:val="000000"/>
          <w:spacing w:val="0"/>
          <w:w w:val="100"/>
          <w:kern w:val="2"/>
          <w:position w:val="0"/>
          <w:sz w:val="28"/>
          <w:szCs w:val="28"/>
          <w:u w:val="none"/>
          <w:shd w:val="clear" w:color="auto" w:fill="auto"/>
          <w:lang w:val="en-US" w:eastAsia="zh-CN" w:bidi="zh-CN"/>
        </w:rPr>
        <w:t>1</w:t>
      </w:r>
      <w:r>
        <w:rPr>
          <w:rFonts w:hint="eastAsia" w:ascii="仿宋" w:hAnsi="仿宋" w:eastAsia="仿宋" w:cs="仿宋"/>
          <w:b w:val="0"/>
          <w:bCs w:val="0"/>
          <w:color w:val="000000"/>
          <w:spacing w:val="0"/>
          <w:w w:val="100"/>
          <w:kern w:val="2"/>
          <w:position w:val="0"/>
          <w:sz w:val="28"/>
          <w:szCs w:val="28"/>
          <w:u w:val="none"/>
          <w:shd w:val="clear" w:color="auto" w:fill="auto"/>
          <w:lang w:val="en-US" w:eastAsia="en-US" w:bidi="zh-CN"/>
        </w:rPr>
        <w:t>-1</w:t>
      </w:r>
      <w:bookmarkStart w:id="0" w:name="bookmark84"/>
      <w:bookmarkStart w:id="1" w:name="bookmark83"/>
      <w:bookmarkStart w:id="2" w:name="bookmark82"/>
      <w:r>
        <w:rPr>
          <w:rFonts w:hint="eastAsia" w:ascii="仿宋" w:hAnsi="仿宋" w:eastAsia="仿宋" w:cs="仿宋"/>
          <w:b w:val="0"/>
          <w:bCs w:val="0"/>
          <w:color w:val="000000"/>
          <w:spacing w:val="0"/>
          <w:w w:val="100"/>
          <w:kern w:val="2"/>
          <w:position w:val="0"/>
          <w:sz w:val="28"/>
          <w:szCs w:val="28"/>
          <w:u w:val="none"/>
          <w:shd w:val="clear" w:color="auto" w:fill="auto"/>
          <w:lang w:val="en-US" w:eastAsia="zh-CN" w:bidi="zh-CN"/>
        </w:rPr>
        <w:t xml:space="preserve">  </w:t>
      </w:r>
      <w:r>
        <w:rPr>
          <w:rFonts w:hint="eastAsia" w:ascii="宋体" w:hAnsi="宋体" w:eastAsia="宋体" w:cs="宋体"/>
          <w:b w:val="0"/>
          <w:bCs w:val="0"/>
          <w:color w:val="000000"/>
          <w:spacing w:val="0"/>
          <w:w w:val="100"/>
          <w:position w:val="0"/>
          <w:sz w:val="32"/>
          <w:szCs w:val="32"/>
          <w:lang w:val="en-US" w:eastAsia="zh-CN" w:bidi="en-US"/>
        </w:rPr>
        <w:t xml:space="preserve"> </w:t>
      </w:r>
      <w:bookmarkStart w:id="18" w:name="_GoBack"/>
      <w:bookmarkEnd w:id="18"/>
    </w:p>
    <w:p>
      <w:pPr>
        <w:pStyle w:val="19"/>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bookmarkEnd w:id="0"/>
      <w:bookmarkEnd w:id="1"/>
      <w:bookmarkEnd w:id="2"/>
    </w:p>
    <w:tbl>
      <w:tblPr>
        <w:tblStyle w:val="4"/>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2" w:hRule="exact"/>
          <w:jc w:val="center"/>
        </w:trPr>
        <w:tc>
          <w:tcPr>
            <w:tcW w:w="349" w:type="dxa"/>
            <w:shd w:val="clear" w:color="auto" w:fill="FFFFFF"/>
            <w:vAlign w:val="bottom"/>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shd w:val="clear" w:color="auto" w:fill="FFFFFF"/>
            <w:vAlign w:val="bottom"/>
          </w:tcPr>
          <w:p>
            <w:pPr>
              <w:pStyle w:val="20"/>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53" w:hRule="exact"/>
          <w:jc w:val="center"/>
        </w:trPr>
        <w:tc>
          <w:tcPr>
            <w:tcW w:w="349" w:type="dxa"/>
            <w:vMerge w:val="restart"/>
            <w:shd w:val="clear" w:color="auto" w:fill="FFFFFF"/>
            <w:vAlign w:val="center"/>
          </w:tcPr>
          <w:p>
            <w:pPr>
              <w:pStyle w:val="20"/>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shd w:val="clear" w:color="auto" w:fill="FFFFFF"/>
            <w:vAlign w:val="center"/>
          </w:tcPr>
          <w:p>
            <w:pPr>
              <w:pStyle w:val="20"/>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w:t>
            </w:r>
          </w:p>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分，扣完为止。</w:t>
            </w:r>
          </w:p>
        </w:tc>
        <w:tc>
          <w:tcPr>
            <w:tcW w:w="3178" w:type="dxa"/>
            <w:shd w:val="clear" w:color="auto" w:fill="FFFFFF"/>
            <w:vAlign w:val="center"/>
          </w:tcPr>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 财政部门确定的部门决算编制口径为准。</w:t>
            </w:r>
          </w:p>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shd w:val="clear" w:color="auto" w:fill="FFFFFF"/>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1" w:hRule="exact"/>
          <w:jc w:val="center"/>
        </w:trPr>
        <w:tc>
          <w:tcPr>
            <w:tcW w:w="349" w:type="dxa"/>
            <w:vMerge w:val="continue"/>
            <w:shd w:val="clear" w:color="auto" w:fill="FFFFFF"/>
            <w:vAlign w:val="center"/>
          </w:tcPr>
          <w:p>
            <w:pPr>
              <w:jc w:val="center"/>
              <w:rPr>
                <w:rFonts w:hint="eastAsia" w:ascii="宋体" w:hAnsi="宋体" w:eastAsia="宋体" w:cs="宋体"/>
                <w:sz w:val="18"/>
                <w:szCs w:val="18"/>
              </w:rPr>
            </w:pPr>
          </w:p>
        </w:tc>
        <w:tc>
          <w:tcPr>
            <w:tcW w:w="543" w:type="dxa"/>
            <w:vMerge w:val="continue"/>
            <w:shd w:val="clear" w:color="auto" w:fill="FFFFFF"/>
            <w:vAlign w:val="center"/>
          </w:tcPr>
          <w:p>
            <w:pPr>
              <w:jc w:val="center"/>
              <w:rPr>
                <w:rFonts w:hint="eastAsia" w:ascii="宋体" w:hAnsi="宋体" w:eastAsia="宋体" w:cs="宋体"/>
                <w:sz w:val="18"/>
                <w:szCs w:val="18"/>
              </w:rPr>
            </w:pPr>
          </w:p>
        </w:tc>
        <w:tc>
          <w:tcPr>
            <w:tcW w:w="366" w:type="dxa"/>
            <w:vMerge w:val="continue"/>
            <w:shd w:val="clear" w:color="auto" w:fill="FFFFFF"/>
            <w:vAlign w:val="center"/>
          </w:tcPr>
          <w:p>
            <w:pPr>
              <w:jc w:val="center"/>
              <w:rPr>
                <w:rFonts w:hint="eastAsia" w:ascii="宋体" w:hAnsi="宋体" w:eastAsia="宋体" w:cs="宋体"/>
                <w:sz w:val="18"/>
                <w:szCs w:val="18"/>
              </w:rPr>
            </w:pPr>
          </w:p>
        </w:tc>
        <w:tc>
          <w:tcPr>
            <w:tcW w:w="666" w:type="dxa"/>
            <w:vMerge w:val="continue"/>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经费变动率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shd w:val="clear" w:color="auto" w:fill="FFFFFF"/>
            <w:vAlign w:val="center"/>
          </w:tcPr>
          <w:p>
            <w:pPr>
              <w:pStyle w:val="20"/>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shd w:val="clear" w:color="auto" w:fill="FFFFFF"/>
            <w:vAlign w:val="center"/>
          </w:tcPr>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shd w:val="clear" w:color="auto" w:fill="FFFFFF"/>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8" w:hRule="exact"/>
          <w:jc w:val="center"/>
        </w:trPr>
        <w:tc>
          <w:tcPr>
            <w:tcW w:w="349" w:type="dxa"/>
            <w:vMerge w:val="restart"/>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shd w:val="clear" w:color="auto" w:fill="FFFFFF"/>
            <w:vAlign w:val="center"/>
          </w:tcPr>
          <w:p>
            <w:pPr>
              <w:pStyle w:val="20"/>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预算完成率=（上年结转+年初预算+本年追加预算一年末结余/上年结转+年初预算+本年追加预算）×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shd w:val="clear" w:color="auto" w:fill="FFFFFF"/>
            <w:vAlign w:val="top"/>
          </w:tcPr>
          <w:p>
            <w:pPr>
              <w:widowControl w:val="0"/>
              <w:jc w:val="center"/>
              <w:rPr>
                <w:rFonts w:hint="eastAsia" w:ascii="宋体" w:hAnsi="宋体" w:eastAsia="宋体" w:cs="宋体"/>
                <w:sz w:val="18"/>
                <w:szCs w:val="18"/>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4" w:hRule="exact"/>
          <w:jc w:val="center"/>
        </w:trPr>
        <w:tc>
          <w:tcPr>
            <w:tcW w:w="349" w:type="dxa"/>
            <w:vMerge w:val="continue"/>
            <w:shd w:val="clear" w:color="auto" w:fill="FFFFFF"/>
            <w:vAlign w:val="center"/>
          </w:tcPr>
          <w:p>
            <w:pPr>
              <w:jc w:val="center"/>
              <w:rPr>
                <w:rFonts w:hint="eastAsia" w:ascii="宋体" w:hAnsi="宋体" w:eastAsia="宋体" w:cs="宋体"/>
                <w:sz w:val="18"/>
                <w:szCs w:val="18"/>
              </w:rPr>
            </w:pPr>
          </w:p>
        </w:tc>
        <w:tc>
          <w:tcPr>
            <w:tcW w:w="543" w:type="dxa"/>
            <w:vMerge w:val="continue"/>
            <w:shd w:val="clear" w:color="auto" w:fill="FFFFFF"/>
            <w:vAlign w:val="center"/>
          </w:tcPr>
          <w:p>
            <w:pPr>
              <w:jc w:val="center"/>
              <w:rPr>
                <w:rFonts w:hint="eastAsia" w:ascii="宋体" w:hAnsi="宋体" w:eastAsia="宋体" w:cs="宋体"/>
                <w:sz w:val="18"/>
                <w:szCs w:val="18"/>
              </w:rPr>
            </w:pPr>
          </w:p>
        </w:tc>
        <w:tc>
          <w:tcPr>
            <w:tcW w:w="366" w:type="dxa"/>
            <w:vMerge w:val="continue"/>
            <w:shd w:val="clear" w:color="auto" w:fill="FFFFFF"/>
            <w:vAlign w:val="center"/>
          </w:tcPr>
          <w:p>
            <w:pPr>
              <w:jc w:val="center"/>
              <w:rPr>
                <w:rFonts w:hint="eastAsia" w:ascii="宋体" w:hAnsi="宋体" w:eastAsia="宋体" w:cs="宋体"/>
                <w:sz w:val="18"/>
                <w:szCs w:val="18"/>
              </w:rPr>
            </w:pPr>
          </w:p>
        </w:tc>
        <w:tc>
          <w:tcPr>
            <w:tcW w:w="666" w:type="dxa"/>
            <w:vMerge w:val="continue"/>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 制率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r>
              <w:rPr>
                <w:rFonts w:hint="eastAsia" w:cs="宋体"/>
                <w:color w:val="000000"/>
                <w:spacing w:val="0"/>
                <w:w w:val="100"/>
                <w:position w:val="0"/>
                <w:sz w:val="18"/>
                <w:szCs w:val="18"/>
                <w:lang w:eastAsia="zh-CN"/>
              </w:rPr>
              <w:t>。</w:t>
            </w:r>
          </w:p>
        </w:tc>
        <w:tc>
          <w:tcPr>
            <w:tcW w:w="3178" w:type="dxa"/>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shd w:val="clear" w:color="auto" w:fill="FFFFFF"/>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2" w:hRule="exact"/>
          <w:jc w:val="center"/>
        </w:trPr>
        <w:tc>
          <w:tcPr>
            <w:tcW w:w="349" w:type="dxa"/>
            <w:vMerge w:val="continue"/>
            <w:shd w:val="clear" w:color="auto" w:fill="FFFFFF"/>
            <w:vAlign w:val="center"/>
          </w:tcPr>
          <w:p>
            <w:pPr>
              <w:jc w:val="center"/>
              <w:rPr>
                <w:rFonts w:hint="eastAsia" w:ascii="宋体" w:hAnsi="宋体" w:eastAsia="宋体" w:cs="宋体"/>
                <w:sz w:val="18"/>
                <w:szCs w:val="18"/>
              </w:rPr>
            </w:pPr>
          </w:p>
        </w:tc>
        <w:tc>
          <w:tcPr>
            <w:tcW w:w="543" w:type="dxa"/>
            <w:vMerge w:val="continue"/>
            <w:shd w:val="clear" w:color="auto" w:fill="FFFFFF"/>
            <w:vAlign w:val="center"/>
          </w:tcPr>
          <w:p>
            <w:pPr>
              <w:jc w:val="center"/>
              <w:rPr>
                <w:rFonts w:hint="eastAsia" w:ascii="宋体" w:hAnsi="宋体" w:eastAsia="宋体" w:cs="宋体"/>
                <w:sz w:val="18"/>
                <w:szCs w:val="18"/>
              </w:rPr>
            </w:pPr>
          </w:p>
        </w:tc>
        <w:tc>
          <w:tcPr>
            <w:tcW w:w="366" w:type="dxa"/>
            <w:vMerge w:val="continue"/>
            <w:shd w:val="clear" w:color="auto" w:fill="FFFFFF"/>
            <w:vAlign w:val="center"/>
          </w:tcPr>
          <w:p>
            <w:pPr>
              <w:jc w:val="center"/>
              <w:rPr>
                <w:rFonts w:hint="eastAsia" w:ascii="宋体" w:hAnsi="宋体" w:eastAsia="宋体" w:cs="宋体"/>
                <w:sz w:val="18"/>
                <w:szCs w:val="18"/>
              </w:rPr>
            </w:pPr>
          </w:p>
        </w:tc>
        <w:tc>
          <w:tcPr>
            <w:tcW w:w="666" w:type="dxa"/>
            <w:vMerge w:val="continue"/>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 面积控 制率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没有楼梯馆所项目的部门按满分计算</w:t>
            </w:r>
            <w:r>
              <w:rPr>
                <w:rFonts w:hint="eastAsia" w:cs="宋体"/>
                <w:color w:val="000000"/>
                <w:spacing w:val="0"/>
                <w:w w:val="100"/>
                <w:position w:val="0"/>
                <w:sz w:val="18"/>
                <w:szCs w:val="18"/>
                <w:lang w:eastAsia="zh-CN"/>
              </w:rPr>
              <w:t>。</w:t>
            </w:r>
          </w:p>
        </w:tc>
        <w:tc>
          <w:tcPr>
            <w:tcW w:w="3178" w:type="dxa"/>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 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ascii="宋体" w:hAnsi="宋体" w:eastAsia="宋体" w:cs="宋体"/>
                <w:b/>
                <w:bCs/>
                <w:color w:val="000000"/>
                <w:spacing w:val="0"/>
                <w:w w:val="100"/>
                <w:position w:val="0"/>
                <w:sz w:val="18"/>
                <w:szCs w:val="18"/>
              </w:rPr>
              <w:t>201</w:t>
            </w:r>
            <w:r>
              <w:rPr>
                <w:rFonts w:hint="eastAsia" w:ascii="宋体" w:hAnsi="宋体" w:eastAsia="宋体" w:cs="宋体"/>
                <w:b/>
                <w:bCs/>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年完工的新建楼堂馆所为评价内容。</w:t>
            </w:r>
          </w:p>
        </w:tc>
        <w:tc>
          <w:tcPr>
            <w:tcW w:w="732" w:type="dxa"/>
            <w:shd w:val="clear" w:color="auto" w:fill="FFFFFF"/>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6" w:hRule="exact"/>
          <w:jc w:val="center"/>
        </w:trPr>
        <w:tc>
          <w:tcPr>
            <w:tcW w:w="349" w:type="dxa"/>
            <w:shd w:val="clear" w:color="auto" w:fill="FFFFFF"/>
            <w:vAlign w:val="center"/>
          </w:tcPr>
          <w:p>
            <w:pPr>
              <w:jc w:val="center"/>
              <w:rPr>
                <w:rFonts w:hint="eastAsia" w:ascii="宋体" w:hAnsi="宋体" w:eastAsia="宋体" w:cs="宋体"/>
                <w:sz w:val="18"/>
                <w:szCs w:val="18"/>
              </w:rPr>
            </w:pPr>
          </w:p>
        </w:tc>
        <w:tc>
          <w:tcPr>
            <w:tcW w:w="543" w:type="dxa"/>
            <w:shd w:val="clear" w:color="auto" w:fill="FFFFFF"/>
            <w:vAlign w:val="center"/>
          </w:tcPr>
          <w:p>
            <w:pPr>
              <w:jc w:val="center"/>
              <w:rPr>
                <w:rFonts w:hint="eastAsia" w:ascii="宋体" w:hAnsi="宋体" w:eastAsia="宋体" w:cs="宋体"/>
                <w:sz w:val="18"/>
                <w:szCs w:val="18"/>
              </w:rPr>
            </w:pPr>
          </w:p>
        </w:tc>
        <w:tc>
          <w:tcPr>
            <w:tcW w:w="366" w:type="dxa"/>
            <w:shd w:val="clear" w:color="auto" w:fill="FFFFFF"/>
            <w:vAlign w:val="center"/>
          </w:tcPr>
          <w:p>
            <w:pPr>
              <w:jc w:val="center"/>
              <w:rPr>
                <w:rFonts w:hint="eastAsia" w:ascii="宋体" w:hAnsi="宋体" w:eastAsia="宋体" w:cs="宋体"/>
                <w:sz w:val="18"/>
                <w:szCs w:val="18"/>
              </w:rPr>
            </w:pPr>
          </w:p>
        </w:tc>
        <w:tc>
          <w:tcPr>
            <w:tcW w:w="666" w:type="dxa"/>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w:t>
            </w:r>
          </w:p>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，每超出5%扣2分，扣完为止。</w:t>
            </w:r>
          </w:p>
        </w:tc>
        <w:tc>
          <w:tcPr>
            <w:tcW w:w="3178"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 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该指标以201</w:t>
            </w:r>
            <w:r>
              <w:rPr>
                <w:rFonts w:hint="eastAsia" w:ascii="宋体" w:hAnsi="宋体" w:eastAsia="宋体" w:cs="宋体"/>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 堂馆所为评价内容。</w:t>
            </w:r>
          </w:p>
        </w:tc>
        <w:tc>
          <w:tcPr>
            <w:tcW w:w="732" w:type="dxa"/>
            <w:shd w:val="clear" w:color="auto" w:fill="FFFFFF"/>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45" w:hRule="exact"/>
          <w:jc w:val="center"/>
        </w:trPr>
        <w:tc>
          <w:tcPr>
            <w:tcW w:w="36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20"/>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公用经费控制率=（实际支出公用经费总额/预算安排公用经费总额）×</w:t>
            </w:r>
            <w:r>
              <w:rPr>
                <w:rFonts w:hint="eastAsia" w:ascii="宋体" w:hAnsi="宋体" w:eastAsia="宋体" w:cs="宋体"/>
                <w:b/>
                <w:bCs/>
                <w:color w:val="000000"/>
                <w:spacing w:val="0"/>
                <w:w w:val="100"/>
                <w:position w:val="0"/>
                <w:sz w:val="18"/>
                <w:szCs w:val="18"/>
                <w:lang w:val="en-US" w:eastAsia="en-US" w:bidi="en-US"/>
              </w:rPr>
              <w:t xml:space="preserve">100% </w:t>
            </w:r>
          </w:p>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28"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15"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11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 分；</w:t>
            </w:r>
          </w:p>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bCs/>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 分。</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49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bottom"/>
          </w:tcPr>
          <w:p>
            <w:pPr>
              <w:pStyle w:val="20"/>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73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3314"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 行、决算、监督、绩效等管理相关的信息。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根据绩效办对各部门为民办实事和部门重点工程与重点工作考核分数折算。</w:t>
            </w:r>
          </w:p>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821"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550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4</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 xml:space="preserve">分； </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892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center"/>
              <w:rPr>
                <w:rFonts w:hint="eastAsia" w:ascii="宋体" w:hAnsi="宋体" w:eastAsia="宋体" w:cs="宋体"/>
                <w:color w:val="000000"/>
                <w:spacing w:val="0"/>
                <w:w w:val="100"/>
                <w:position w:val="0"/>
                <w:sz w:val="18"/>
                <w:szCs w:val="18"/>
                <w:lang w:eastAsia="zh-CN"/>
              </w:rPr>
            </w:pPr>
            <w:r>
              <w:rPr>
                <w:rFonts w:hint="eastAsia" w:cs="宋体"/>
                <w:b/>
                <w:bCs/>
                <w:color w:val="000000"/>
                <w:spacing w:val="0"/>
                <w:w w:val="100"/>
                <w:position w:val="0"/>
                <w:sz w:val="18"/>
                <w:szCs w:val="18"/>
                <w:lang w:eastAsia="zh-CN"/>
              </w:rPr>
              <w:t>得分</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cs="宋体"/>
                <w:sz w:val="18"/>
                <w:szCs w:val="18"/>
                <w:lang w:val="en-US" w:eastAsia="zh-CN"/>
              </w:rPr>
            </w:pPr>
          </w:p>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96</w:t>
            </w:r>
          </w:p>
        </w:tc>
      </w:tr>
    </w:tbl>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4"/>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b w:val="0"/>
          <w:bCs w:val="0"/>
          <w:color w:val="000000"/>
          <w:spacing w:val="0"/>
          <w:w w:val="100"/>
          <w:position w:val="0"/>
          <w:sz w:val="28"/>
          <w:szCs w:val="28"/>
          <w:lang w:val="zh-CN" w:eastAsia="zh-CN"/>
        </w:rPr>
      </w:pPr>
      <w:r>
        <w:rPr>
          <w:rFonts w:hint="eastAsia" w:ascii="仿宋" w:hAnsi="仿宋" w:eastAsia="仿宋" w:cs="仿宋"/>
          <w:b w:val="0"/>
          <w:bCs w:val="0"/>
          <w:color w:val="000000"/>
          <w:spacing w:val="0"/>
          <w:w w:val="100"/>
          <w:position w:val="0"/>
          <w:sz w:val="28"/>
          <w:szCs w:val="28"/>
          <w:lang w:val="zh-CN" w:eastAsia="zh-CN"/>
        </w:rPr>
        <w:t>附件</w:t>
      </w:r>
      <w:r>
        <w:rPr>
          <w:rFonts w:hint="eastAsia" w:ascii="仿宋" w:hAnsi="仿宋" w:eastAsia="仿宋" w:cs="仿宋"/>
          <w:b w:val="0"/>
          <w:bCs w:val="0"/>
          <w:color w:val="000000"/>
          <w:spacing w:val="0"/>
          <w:w w:val="100"/>
          <w:position w:val="0"/>
          <w:sz w:val="28"/>
          <w:szCs w:val="28"/>
          <w:lang w:val="en-US" w:eastAsia="zh-CN"/>
        </w:rPr>
        <w:t>1</w:t>
      </w:r>
      <w:r>
        <w:rPr>
          <w:rFonts w:hint="eastAsia" w:ascii="仿宋" w:hAnsi="仿宋" w:eastAsia="仿宋" w:cs="仿宋"/>
          <w:b w:val="0"/>
          <w:bCs w:val="0"/>
          <w:color w:val="000000"/>
          <w:spacing w:val="0"/>
          <w:w w:val="100"/>
          <w:position w:val="0"/>
          <w:sz w:val="28"/>
          <w:szCs w:val="28"/>
          <w:lang w:val="en-US" w:eastAsia="en-US"/>
        </w:rPr>
        <w:t>-2</w:t>
      </w:r>
    </w:p>
    <w:p>
      <w:pPr>
        <w:pStyle w:val="19"/>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bookmarkStart w:id="3" w:name="bookmark87"/>
      <w:bookmarkStart w:id="4" w:name="bookmark85"/>
      <w:bookmarkStart w:id="5" w:name="bookmark86"/>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部门整体支出绩效评价基础数据表</w:t>
      </w:r>
      <w:bookmarkEnd w:id="3"/>
      <w:bookmarkEnd w:id="4"/>
      <w:bookmarkEnd w:id="5"/>
    </w:p>
    <w:p>
      <w:pPr>
        <w:pStyle w:val="21"/>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填报单位：</w:t>
      </w:r>
    </w:p>
    <w:tbl>
      <w:tblPr>
        <w:tblStyle w:val="4"/>
        <w:tblW w:w="9437" w:type="dxa"/>
        <w:jc w:val="center"/>
        <w:tblLayout w:type="fixed"/>
        <w:tblCellMar>
          <w:top w:w="0" w:type="dxa"/>
          <w:left w:w="10" w:type="dxa"/>
          <w:bottom w:w="0" w:type="dxa"/>
          <w:right w:w="10" w:type="dxa"/>
        </w:tblCellMar>
      </w:tblPr>
      <w:tblGrid>
        <w:gridCol w:w="3261"/>
        <w:gridCol w:w="795"/>
        <w:gridCol w:w="971"/>
        <w:gridCol w:w="1180"/>
        <w:gridCol w:w="1070"/>
        <w:gridCol w:w="1109"/>
        <w:gridCol w:w="1051"/>
      </w:tblGrid>
      <w:tr>
        <w:tblPrEx>
          <w:tblCellMar>
            <w:top w:w="0" w:type="dxa"/>
            <w:left w:w="10" w:type="dxa"/>
            <w:bottom w:w="0" w:type="dxa"/>
            <w:right w:w="10" w:type="dxa"/>
          </w:tblCellMar>
        </w:tblPrEx>
        <w:trPr>
          <w:trHeight w:val="442" w:hRule="exact"/>
          <w:jc w:val="center"/>
        </w:trPr>
        <w:tc>
          <w:tcPr>
            <w:tcW w:w="9437" w:type="dxa"/>
            <w:gridSpan w:val="7"/>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tabs>
                <w:tab w:val="left" w:pos="2015"/>
              </w:tabs>
              <w:bidi w:val="0"/>
              <w:spacing w:before="0" w:after="0" w:line="240" w:lineRule="auto"/>
              <w:ind w:left="0" w:right="0"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8"/>
                <w:szCs w:val="28"/>
              </w:rPr>
              <w:t>一、部门（单位）基本概况</w:t>
            </w:r>
          </w:p>
        </w:tc>
      </w:tr>
      <w:tr>
        <w:tblPrEx>
          <w:tblCellMar>
            <w:top w:w="0" w:type="dxa"/>
            <w:left w:w="10" w:type="dxa"/>
            <w:bottom w:w="0" w:type="dxa"/>
            <w:right w:w="10" w:type="dxa"/>
          </w:tblCellMar>
        </w:tblPrEx>
        <w:trPr>
          <w:trHeight w:val="54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联系人</w:t>
            </w:r>
          </w:p>
        </w:tc>
        <w:tc>
          <w:tcPr>
            <w:tcW w:w="1766"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left"/>
              <w:rPr>
                <w:rFonts w:hint="eastAsia" w:ascii="宋体" w:hAnsi="宋体" w:eastAsia="宋体" w:cs="宋体"/>
                <w:color w:val="000000"/>
                <w:spacing w:val="0"/>
                <w:w w:val="100"/>
                <w:position w:val="0"/>
                <w:sz w:val="24"/>
                <w:szCs w:val="24"/>
                <w:lang w:val="zh-CN" w:eastAsia="zh-CN"/>
              </w:rPr>
            </w:pPr>
          </w:p>
        </w:tc>
        <w:tc>
          <w:tcPr>
            <w:tcW w:w="2250"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联络电话</w:t>
            </w:r>
          </w:p>
        </w:tc>
        <w:tc>
          <w:tcPr>
            <w:tcW w:w="2160" w:type="dxa"/>
            <w:gridSpan w:val="2"/>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left"/>
              <w:rPr>
                <w:rFonts w:hint="eastAsia" w:ascii="宋体" w:hAnsi="宋体" w:eastAsia="宋体" w:cs="宋体"/>
                <w:color w:val="000000"/>
                <w:spacing w:val="0"/>
                <w:w w:val="100"/>
                <w:position w:val="0"/>
                <w:sz w:val="24"/>
                <w:szCs w:val="24"/>
                <w:lang w:val="zh-CN" w:eastAsia="zh-CN"/>
              </w:rPr>
            </w:pPr>
          </w:p>
        </w:tc>
      </w:tr>
      <w:tr>
        <w:tblPrEx>
          <w:tblCellMar>
            <w:top w:w="0" w:type="dxa"/>
            <w:left w:w="10" w:type="dxa"/>
            <w:bottom w:w="0" w:type="dxa"/>
            <w:right w:w="10" w:type="dxa"/>
          </w:tblCellMar>
        </w:tblPrEx>
        <w:trPr>
          <w:trHeight w:val="617" w:hRule="exact"/>
          <w:jc w:val="center"/>
        </w:trPr>
        <w:tc>
          <w:tcPr>
            <w:tcW w:w="3261"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财政供养人员情况</w:t>
            </w:r>
          </w:p>
        </w:tc>
        <w:tc>
          <w:tcPr>
            <w:tcW w:w="1766"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编制数</w:t>
            </w:r>
          </w:p>
        </w:tc>
        <w:tc>
          <w:tcPr>
            <w:tcW w:w="2250"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cs="宋体"/>
                <w:b w:val="0"/>
                <w:bCs w:val="0"/>
                <w:color w:val="000000"/>
                <w:spacing w:val="0"/>
                <w:w w:val="100"/>
                <w:position w:val="0"/>
                <w:sz w:val="24"/>
                <w:szCs w:val="24"/>
                <w:lang w:eastAsia="zh-CN"/>
              </w:rPr>
              <w:t>2020年</w:t>
            </w:r>
            <w:r>
              <w:rPr>
                <w:rFonts w:hint="eastAsia" w:ascii="宋体" w:hAnsi="宋体" w:eastAsia="宋体" w:cs="宋体"/>
                <w:b w:val="0"/>
                <w:bCs w:val="0"/>
                <w:color w:val="000000"/>
                <w:spacing w:val="0"/>
                <w:w w:val="100"/>
                <w:position w:val="0"/>
                <w:sz w:val="24"/>
                <w:szCs w:val="24"/>
              </w:rPr>
              <w:t>实际在职</w:t>
            </w:r>
            <w:r>
              <w:rPr>
                <w:rFonts w:hint="eastAsia" w:ascii="宋体" w:hAnsi="宋体" w:eastAsia="宋体" w:cs="宋体"/>
                <w:color w:val="000000"/>
                <w:spacing w:val="0"/>
                <w:w w:val="100"/>
                <w:position w:val="0"/>
                <w:sz w:val="24"/>
                <w:szCs w:val="24"/>
              </w:rPr>
              <w:t>人数</w:t>
            </w:r>
          </w:p>
        </w:tc>
        <w:tc>
          <w:tcPr>
            <w:tcW w:w="2160" w:type="dxa"/>
            <w:gridSpan w:val="2"/>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控制率</w:t>
            </w:r>
          </w:p>
        </w:tc>
      </w:tr>
      <w:tr>
        <w:tblPrEx>
          <w:tblCellMar>
            <w:top w:w="0" w:type="dxa"/>
            <w:left w:w="10" w:type="dxa"/>
            <w:bottom w:w="0" w:type="dxa"/>
            <w:right w:w="10" w:type="dxa"/>
          </w:tblCellMar>
        </w:tblPrEx>
        <w:trPr>
          <w:trHeight w:val="535" w:hRule="exact"/>
          <w:jc w:val="center"/>
        </w:trPr>
        <w:tc>
          <w:tcPr>
            <w:tcW w:w="3261" w:type="dxa"/>
            <w:vMerge w:val="continue"/>
            <w:tcBorders>
              <w:left w:val="single" w:color="auto" w:sz="4" w:space="0"/>
              <w:bottom w:val="single" w:color="auto" w:sz="4" w:space="0"/>
            </w:tcBorders>
            <w:shd w:val="clear" w:color="auto" w:fill="FFFFFF"/>
            <w:vAlign w:val="center"/>
          </w:tcPr>
          <w:p>
            <w:pPr>
              <w:rPr>
                <w:rFonts w:hint="eastAsia" w:ascii="宋体" w:hAnsi="宋体" w:eastAsia="宋体" w:cs="宋体"/>
                <w:sz w:val="24"/>
                <w:szCs w:val="24"/>
              </w:rPr>
            </w:pPr>
          </w:p>
        </w:tc>
        <w:tc>
          <w:tcPr>
            <w:tcW w:w="1766" w:type="dxa"/>
            <w:gridSpan w:val="2"/>
            <w:tcBorders>
              <w:top w:val="single" w:color="auto" w:sz="4" w:space="0"/>
              <w:left w:val="single" w:color="auto" w:sz="4" w:space="0"/>
              <w:bottom w:val="single" w:color="auto" w:sz="4" w:space="0"/>
            </w:tcBorders>
            <w:shd w:val="clear" w:color="auto" w:fill="FFFFFF"/>
            <w:vAlign w:val="top"/>
          </w:tcPr>
          <w:p>
            <w:pPr>
              <w:widowControl w:val="0"/>
              <w:jc w:val="both"/>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widowControl w:val="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9</w:t>
            </w:r>
          </w:p>
        </w:tc>
        <w:tc>
          <w:tcPr>
            <w:tcW w:w="2250" w:type="dxa"/>
            <w:gridSpan w:val="2"/>
            <w:tcBorders>
              <w:top w:val="single" w:color="auto" w:sz="4" w:space="0"/>
              <w:left w:val="single" w:color="auto" w:sz="4" w:space="0"/>
              <w:bottom w:val="single" w:color="auto" w:sz="4" w:space="0"/>
            </w:tcBorders>
            <w:shd w:val="clear" w:color="auto" w:fill="FFFFFF"/>
            <w:vAlign w:val="top"/>
          </w:tcPr>
          <w:p>
            <w:pPr>
              <w:widowControl w:val="0"/>
              <w:ind w:firstLine="840" w:firstLineChars="400"/>
              <w:jc w:val="both"/>
              <w:rPr>
                <w:rFonts w:hint="eastAsia" w:ascii="宋体" w:hAnsi="宋体" w:cs="宋体"/>
                <w:color w:val="000000"/>
                <w:spacing w:val="0"/>
                <w:w w:val="100"/>
                <w:position w:val="0"/>
                <w:sz w:val="21"/>
                <w:szCs w:val="21"/>
                <w:lang w:val="en-US" w:eastAsia="zh-CN"/>
              </w:rPr>
            </w:pPr>
          </w:p>
          <w:p>
            <w:pPr>
              <w:widowControl w:val="0"/>
              <w:ind w:firstLine="840" w:firstLineChars="400"/>
              <w:jc w:val="both"/>
              <w:rPr>
                <w:rFonts w:hint="eastAsia" w:ascii="宋体" w:hAnsi="宋体" w:eastAsia="宋体" w:cs="宋体"/>
                <w:color w:val="000000"/>
                <w:spacing w:val="0"/>
                <w:w w:val="100"/>
                <w:position w:val="0"/>
                <w:sz w:val="21"/>
                <w:szCs w:val="21"/>
                <w:lang w:val="en-US" w:eastAsia="zh-CN"/>
              </w:rPr>
            </w:pPr>
            <w:r>
              <w:rPr>
                <w:rFonts w:hint="eastAsia" w:ascii="宋体" w:hAnsi="宋体" w:cs="宋体"/>
                <w:color w:val="000000"/>
                <w:spacing w:val="0"/>
                <w:w w:val="100"/>
                <w:position w:val="0"/>
                <w:sz w:val="21"/>
                <w:szCs w:val="21"/>
                <w:lang w:val="en-US" w:eastAsia="zh-CN"/>
              </w:rPr>
              <w:t>9</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both"/>
              <w:rPr>
                <w:rFonts w:hint="eastAsia" w:ascii="宋体" w:hAnsi="宋体" w:cs="宋体"/>
                <w:color w:val="000000"/>
                <w:spacing w:val="0"/>
                <w:w w:val="100"/>
                <w:position w:val="0"/>
                <w:sz w:val="21"/>
                <w:szCs w:val="21"/>
                <w:lang w:val="en-US" w:eastAsia="zh-CN"/>
              </w:rPr>
            </w:pPr>
          </w:p>
          <w:p>
            <w:pPr>
              <w:widowControl w:val="0"/>
              <w:jc w:val="both"/>
              <w:rPr>
                <w:rFonts w:hint="default" w:ascii="宋体" w:hAnsi="宋体" w:eastAsia="宋体" w:cs="宋体"/>
                <w:color w:val="000000"/>
                <w:spacing w:val="0"/>
                <w:w w:val="100"/>
                <w:position w:val="0"/>
                <w:sz w:val="21"/>
                <w:szCs w:val="21"/>
                <w:lang w:val="en-US" w:eastAsia="zh-CN"/>
              </w:rPr>
            </w:pPr>
            <w:r>
              <w:rPr>
                <w:rFonts w:hint="eastAsia" w:ascii="宋体" w:hAnsi="宋体" w:cs="宋体"/>
                <w:color w:val="000000"/>
                <w:spacing w:val="0"/>
                <w:w w:val="100"/>
                <w:position w:val="0"/>
                <w:sz w:val="21"/>
                <w:szCs w:val="21"/>
                <w:lang w:val="en-US" w:eastAsia="zh-CN"/>
              </w:rPr>
              <w:t>100%</w:t>
            </w:r>
          </w:p>
        </w:tc>
      </w:tr>
      <w:tr>
        <w:tblPrEx>
          <w:tblCellMar>
            <w:top w:w="0" w:type="dxa"/>
            <w:left w:w="10" w:type="dxa"/>
            <w:bottom w:w="0" w:type="dxa"/>
            <w:right w:w="10" w:type="dxa"/>
          </w:tblCellMar>
        </w:tblPrEx>
        <w:trPr>
          <w:trHeight w:val="3176"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4"/>
                <w:szCs w:val="24"/>
              </w:rPr>
              <w:t>职能职责概述</w:t>
            </w:r>
          </w:p>
        </w:tc>
        <w:tc>
          <w:tcPr>
            <w:tcW w:w="6176" w:type="dxa"/>
            <w:gridSpan w:val="6"/>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负责全区工业和信息化领域的日常经济运行调节工作</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rPr>
              <w:t>综合管理全区工业经济，指导、协调和服务工业企业。负责推进信息化和工业化融合，推进全区工业信息化。</w:t>
            </w:r>
            <w:r>
              <w:rPr>
                <w:rFonts w:hint="eastAsia" w:ascii="仿宋" w:hAnsi="仿宋" w:eastAsia="仿宋" w:cs="仿宋"/>
                <w:sz w:val="21"/>
                <w:szCs w:val="21"/>
                <w:lang w:val="en-US" w:eastAsia="zh-CN"/>
              </w:rPr>
              <w:t>3、</w:t>
            </w:r>
            <w:r>
              <w:rPr>
                <w:rFonts w:hint="eastAsia" w:ascii="仿宋" w:hAnsi="仿宋" w:eastAsia="仿宋" w:cs="仿宋"/>
                <w:sz w:val="21"/>
                <w:szCs w:val="21"/>
              </w:rPr>
              <w:t>负责工业固定资产投资项目管理工作</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4、</w:t>
            </w:r>
            <w:r>
              <w:rPr>
                <w:rFonts w:hint="eastAsia" w:ascii="仿宋" w:hAnsi="仿宋" w:eastAsia="仿宋" w:cs="仿宋"/>
                <w:sz w:val="21"/>
                <w:szCs w:val="21"/>
              </w:rPr>
              <w:t>指导高新技术及应用技术的开发与推广</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w:t>
            </w:r>
            <w:r>
              <w:rPr>
                <w:rFonts w:hint="eastAsia" w:ascii="仿宋" w:hAnsi="仿宋" w:eastAsia="仿宋" w:cs="仿宋"/>
                <w:sz w:val="21"/>
                <w:szCs w:val="21"/>
              </w:rPr>
              <w:t>负责技术市场、科技中介组织的指导和监督管理，负责全区科技奖励、科技保密、科技评估、科技统计、科技情况信息</w:t>
            </w:r>
            <w:r>
              <w:rPr>
                <w:rFonts w:hint="eastAsia" w:ascii="仿宋" w:hAnsi="仿宋" w:eastAsia="仿宋" w:cs="仿宋"/>
                <w:sz w:val="21"/>
                <w:szCs w:val="21"/>
                <w:lang w:eastAsia="zh-CN"/>
              </w:rPr>
              <w:t>，</w:t>
            </w:r>
            <w:r>
              <w:rPr>
                <w:rFonts w:hint="eastAsia" w:ascii="仿宋" w:hAnsi="仿宋" w:eastAsia="仿宋" w:cs="仿宋"/>
                <w:sz w:val="21"/>
                <w:szCs w:val="21"/>
              </w:rPr>
              <w:t>推进民营科技工作</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6、</w:t>
            </w:r>
            <w:r>
              <w:rPr>
                <w:rFonts w:hint="eastAsia" w:ascii="仿宋" w:hAnsi="仿宋" w:eastAsia="仿宋" w:cs="仿宋"/>
                <w:sz w:val="21"/>
                <w:szCs w:val="21"/>
              </w:rPr>
              <w:t>负责职责范围内对有关行业、领域的安全生产工作实施监督管理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7、</w:t>
            </w:r>
            <w:r>
              <w:rPr>
                <w:rFonts w:hint="eastAsia" w:ascii="仿宋" w:hAnsi="仿宋" w:eastAsia="仿宋" w:cs="仿宋"/>
                <w:sz w:val="21"/>
                <w:szCs w:val="21"/>
              </w:rPr>
              <w:t>承办区人民政府交办的其他事项。</w:t>
            </w:r>
          </w:p>
          <w:p>
            <w:pPr>
              <w:tabs>
                <w:tab w:val="left" w:pos="908"/>
              </w:tabs>
              <w:bidi w:val="0"/>
              <w:ind w:left="0" w:leftChars="0"/>
              <w:jc w:val="center"/>
              <w:rPr>
                <w:rFonts w:hint="eastAsia" w:eastAsia="宋体"/>
                <w:sz w:val="24"/>
                <w:szCs w:val="24"/>
                <w:lang w:eastAsia="zh-CN"/>
              </w:rPr>
            </w:pPr>
          </w:p>
        </w:tc>
      </w:tr>
      <w:tr>
        <w:tblPrEx>
          <w:tblCellMar>
            <w:top w:w="0" w:type="dxa"/>
            <w:left w:w="10" w:type="dxa"/>
            <w:bottom w:w="0" w:type="dxa"/>
            <w:right w:w="10" w:type="dxa"/>
          </w:tblCellMar>
        </w:tblPrEx>
        <w:trPr>
          <w:trHeight w:val="2812"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4"/>
                <w:szCs w:val="24"/>
              </w:rPr>
              <w:t>年度主要工作内容</w:t>
            </w:r>
          </w:p>
        </w:tc>
        <w:tc>
          <w:tcPr>
            <w:tcW w:w="6176" w:type="dxa"/>
            <w:gridSpan w:val="6"/>
            <w:tcBorders>
              <w:top w:val="single" w:color="auto" w:sz="4" w:space="0"/>
              <w:left w:val="single" w:color="auto" w:sz="4" w:space="0"/>
              <w:right w:val="single" w:color="auto" w:sz="4" w:space="0"/>
            </w:tcBorders>
            <w:shd w:val="clear" w:color="auto" w:fill="FFFFFF"/>
            <w:vAlign w:val="bottom"/>
          </w:tcPr>
          <w:p>
            <w:pPr>
              <w:pStyle w:val="17"/>
              <w:keepNext w:val="0"/>
              <w:keepLines w:val="0"/>
              <w:pageBreakBefore w:val="0"/>
              <w:widowControl w:val="0"/>
              <w:numPr>
                <w:ilvl w:val="0"/>
                <w:numId w:val="0"/>
              </w:numPr>
              <w:shd w:val="clear" w:color="auto" w:fill="auto"/>
              <w:tabs>
                <w:tab w:val="left" w:pos="1113"/>
              </w:tabs>
              <w:kinsoku/>
              <w:wordWrap/>
              <w:overflowPunct/>
              <w:topLinePunct w:val="0"/>
              <w:autoSpaceDE/>
              <w:autoSpaceDN/>
              <w:bidi w:val="0"/>
              <w:adjustRightInd/>
              <w:snapToGrid/>
              <w:spacing w:before="0" w:after="0" w:line="380" w:lineRule="exact"/>
              <w:ind w:right="0" w:rightChars="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完成工信考核指标：</w:t>
            </w:r>
            <w:r>
              <w:rPr>
                <w:rFonts w:hint="eastAsia" w:ascii="仿宋" w:hAnsi="仿宋" w:eastAsia="仿宋" w:cs="仿宋"/>
                <w:sz w:val="21"/>
                <w:szCs w:val="21"/>
              </w:rPr>
              <w:t>规模以上工业总产值</w:t>
            </w:r>
            <w:r>
              <w:rPr>
                <w:rFonts w:hint="eastAsia" w:ascii="仿宋" w:hAnsi="仿宋" w:eastAsia="仿宋" w:cs="仿宋"/>
                <w:sz w:val="21"/>
                <w:szCs w:val="21"/>
                <w:lang w:eastAsia="zh-CN"/>
              </w:rPr>
              <w:t>、</w:t>
            </w:r>
            <w:r>
              <w:rPr>
                <w:rFonts w:hint="eastAsia" w:ascii="仿宋" w:hAnsi="仿宋" w:eastAsia="仿宋" w:cs="仿宋"/>
                <w:sz w:val="21"/>
                <w:szCs w:val="21"/>
              </w:rPr>
              <w:t>规模</w:t>
            </w:r>
            <w:r>
              <w:rPr>
                <w:rFonts w:hint="eastAsia" w:ascii="仿宋" w:hAnsi="仿宋" w:eastAsia="仿宋" w:cs="仿宋"/>
                <w:sz w:val="21"/>
                <w:szCs w:val="21"/>
                <w:lang w:eastAsia="zh-CN"/>
              </w:rPr>
              <w:t>工业增加值、新增</w:t>
            </w:r>
            <w:r>
              <w:rPr>
                <w:rFonts w:hint="eastAsia" w:ascii="仿宋" w:hAnsi="仿宋" w:eastAsia="仿宋" w:cs="仿宋"/>
                <w:sz w:val="21"/>
                <w:szCs w:val="21"/>
                <w:lang w:val="en-US" w:eastAsia="zh-CN"/>
              </w:rPr>
              <w:t>规模以上工业</w:t>
            </w:r>
            <w:r>
              <w:rPr>
                <w:rFonts w:hint="eastAsia" w:ascii="仿宋" w:hAnsi="仿宋" w:eastAsia="仿宋" w:cs="仿宋"/>
                <w:sz w:val="21"/>
                <w:szCs w:val="21"/>
                <w:lang w:eastAsia="zh-CN"/>
              </w:rPr>
              <w:t>企业、工业投资及技改投资等；完成科技考核指标：高新技术产业增加值、技术合同交易额，高企认定，科技型中小企业入库等，</w:t>
            </w:r>
            <w:r>
              <w:rPr>
                <w:rFonts w:hint="eastAsia" w:ascii="仿宋" w:hAnsi="仿宋" w:eastAsia="仿宋" w:cs="仿宋"/>
                <w:sz w:val="21"/>
                <w:szCs w:val="21"/>
                <w:lang w:val="en-US" w:eastAsia="zh-CN"/>
              </w:rPr>
              <w:t>科技专家服务团，乡村振兴科技强农等考核</w:t>
            </w:r>
            <w:r>
              <w:rPr>
                <w:rFonts w:hint="eastAsia" w:ascii="仿宋" w:hAnsi="仿宋" w:eastAsia="仿宋" w:cs="仿宋"/>
                <w:sz w:val="21"/>
                <w:szCs w:val="21"/>
                <w:lang w:eastAsia="zh-CN"/>
              </w:rPr>
              <w:t>；</w:t>
            </w:r>
            <w:r>
              <w:rPr>
                <w:rFonts w:hint="eastAsia" w:ascii="仿宋" w:hAnsi="仿宋" w:eastAsia="仿宋" w:cs="仿宋"/>
                <w:sz w:val="21"/>
                <w:szCs w:val="21"/>
              </w:rPr>
              <w:t>抓</w:t>
            </w:r>
            <w:r>
              <w:rPr>
                <w:rFonts w:hint="eastAsia" w:ascii="仿宋" w:hAnsi="仿宋" w:eastAsia="仿宋" w:cs="仿宋"/>
                <w:sz w:val="21"/>
                <w:szCs w:val="21"/>
                <w:lang w:eastAsia="zh-CN"/>
              </w:rPr>
              <w:t>好企业</w:t>
            </w:r>
            <w:r>
              <w:rPr>
                <w:rFonts w:hint="eastAsia" w:ascii="仿宋" w:hAnsi="仿宋" w:eastAsia="仿宋" w:cs="仿宋"/>
                <w:sz w:val="21"/>
                <w:szCs w:val="21"/>
              </w:rPr>
              <w:t>安全生产和环保督查整改工作</w:t>
            </w:r>
            <w:r>
              <w:rPr>
                <w:rFonts w:hint="eastAsia" w:ascii="仿宋" w:hAnsi="仿宋" w:eastAsia="仿宋" w:cs="仿宋"/>
                <w:sz w:val="21"/>
                <w:szCs w:val="21"/>
                <w:lang w:eastAsia="zh-CN"/>
              </w:rPr>
              <w:t>；</w:t>
            </w:r>
            <w:r>
              <w:rPr>
                <w:rFonts w:hint="eastAsia" w:ascii="仿宋" w:hAnsi="仿宋" w:eastAsia="仿宋" w:cs="仿宋"/>
                <w:sz w:val="21"/>
                <w:szCs w:val="21"/>
              </w:rPr>
              <w:t>脱贫攻坚工作</w:t>
            </w:r>
            <w:r>
              <w:rPr>
                <w:rFonts w:hint="eastAsia" w:ascii="仿宋" w:hAnsi="仿宋" w:eastAsia="仿宋" w:cs="仿宋"/>
                <w:sz w:val="21"/>
                <w:szCs w:val="21"/>
                <w:lang w:eastAsia="zh-CN"/>
              </w:rPr>
              <w:t>：</w:t>
            </w:r>
            <w:r>
              <w:rPr>
                <w:rFonts w:hint="eastAsia" w:ascii="仿宋" w:hAnsi="仿宋" w:eastAsia="仿宋" w:cs="仿宋"/>
                <w:sz w:val="21"/>
                <w:szCs w:val="21"/>
              </w:rPr>
              <w:t>做好驻村帮扶、科技扶贫</w:t>
            </w:r>
            <w:r>
              <w:rPr>
                <w:rFonts w:hint="eastAsia" w:ascii="仿宋" w:hAnsi="仿宋" w:eastAsia="仿宋" w:cs="仿宋"/>
                <w:sz w:val="21"/>
                <w:szCs w:val="21"/>
                <w:lang w:val="en-US" w:eastAsia="zh-CN"/>
              </w:rPr>
              <w:t>等；抓好工业企业三供一业改造，区属企业改制，区属企业困难职工帮扶等，党建工作和工会工作.</w:t>
            </w:r>
          </w:p>
          <w:p>
            <w:pPr>
              <w:pStyle w:val="17"/>
              <w:keepNext w:val="0"/>
              <w:keepLines w:val="0"/>
              <w:pageBreakBefore w:val="0"/>
              <w:widowControl w:val="0"/>
              <w:numPr>
                <w:ilvl w:val="0"/>
                <w:numId w:val="0"/>
              </w:numPr>
              <w:shd w:val="clear" w:color="auto" w:fill="auto"/>
              <w:tabs>
                <w:tab w:val="left" w:pos="1113"/>
              </w:tabs>
              <w:kinsoku/>
              <w:wordWrap/>
              <w:overflowPunct/>
              <w:topLinePunct w:val="0"/>
              <w:autoSpaceDE/>
              <w:autoSpaceDN/>
              <w:bidi w:val="0"/>
              <w:adjustRightInd/>
              <w:snapToGrid/>
              <w:spacing w:before="0" w:after="0" w:line="380" w:lineRule="exact"/>
              <w:ind w:right="0" w:rightChars="0"/>
              <w:jc w:val="both"/>
              <w:textAlignment w:val="auto"/>
              <w:rPr>
                <w:rFonts w:hint="default" w:ascii="仿宋" w:hAnsi="仿宋" w:eastAsia="仿宋" w:cs="仿宋"/>
                <w:sz w:val="21"/>
                <w:szCs w:val="21"/>
                <w:lang w:val="en-US" w:eastAsia="zh-CN"/>
              </w:rPr>
            </w:pPr>
          </w:p>
          <w:p>
            <w:pPr>
              <w:pStyle w:val="17"/>
              <w:keepNext w:val="0"/>
              <w:keepLines w:val="0"/>
              <w:pageBreakBefore w:val="0"/>
              <w:widowControl w:val="0"/>
              <w:numPr>
                <w:ilvl w:val="0"/>
                <w:numId w:val="0"/>
              </w:numPr>
              <w:shd w:val="clear" w:color="auto" w:fill="auto"/>
              <w:tabs>
                <w:tab w:val="left" w:pos="1113"/>
              </w:tabs>
              <w:kinsoku/>
              <w:wordWrap/>
              <w:overflowPunct/>
              <w:topLinePunct w:val="0"/>
              <w:autoSpaceDE/>
              <w:autoSpaceDN/>
              <w:bidi w:val="0"/>
              <w:adjustRightInd/>
              <w:snapToGrid/>
              <w:spacing w:before="0" w:after="0" w:line="560" w:lineRule="exact"/>
              <w:ind w:right="0" w:rightChars="0"/>
              <w:jc w:val="both"/>
              <w:textAlignment w:val="auto"/>
              <w:rPr>
                <w:rFonts w:hint="eastAsia" w:ascii="仿宋" w:hAnsi="仿宋" w:eastAsia="仿宋" w:cs="仿宋"/>
                <w:kern w:val="2"/>
                <w:sz w:val="21"/>
                <w:szCs w:val="21"/>
                <w:u w:val="none"/>
                <w:shd w:val="clear"/>
                <w:lang w:val="en-US" w:eastAsia="zh-CN" w:bidi="ar-SA"/>
              </w:rPr>
            </w:pPr>
          </w:p>
          <w:p>
            <w:pPr>
              <w:bidi w:val="0"/>
              <w:ind w:left="0" w:leftChars="0"/>
              <w:jc w:val="left"/>
              <w:rPr>
                <w:rFonts w:hint="eastAsia"/>
                <w:sz w:val="24"/>
                <w:szCs w:val="24"/>
              </w:rPr>
            </w:pPr>
          </w:p>
        </w:tc>
      </w:tr>
      <w:tr>
        <w:tblPrEx>
          <w:tblCellMar>
            <w:top w:w="0" w:type="dxa"/>
            <w:left w:w="10" w:type="dxa"/>
            <w:bottom w:w="0" w:type="dxa"/>
            <w:right w:w="10" w:type="dxa"/>
          </w:tblCellMar>
        </w:tblPrEx>
        <w:trPr>
          <w:trHeight w:val="3553" w:hRule="exact"/>
          <w:jc w:val="center"/>
        </w:trPr>
        <w:tc>
          <w:tcPr>
            <w:tcW w:w="3261" w:type="dxa"/>
            <w:tcBorders>
              <w:top w:val="single" w:color="auto" w:sz="4" w:space="0"/>
              <w:left w:val="single" w:color="auto" w:sz="4" w:space="0"/>
              <w:bottom w:val="single" w:color="auto" w:sz="4" w:space="0"/>
              <w:right w:val="single" w:color="auto" w:sz="4" w:space="0"/>
            </w:tcBorders>
            <w:shd w:val="clear" w:color="auto" w:fill="FFFFFF"/>
            <w:vAlign w:val="bottom"/>
          </w:tcPr>
          <w:p>
            <w:pPr>
              <w:bidi w:val="0"/>
              <w:ind w:left="0" w:leftChars="0"/>
              <w:jc w:val="left"/>
              <w:rPr>
                <w:rFonts w:hint="eastAsia" w:ascii="宋体" w:hAnsi="宋体" w:eastAsia="宋体" w:cs="宋体"/>
                <w:color w:val="000000"/>
                <w:spacing w:val="0"/>
                <w:w w:val="100"/>
                <w:kern w:val="2"/>
                <w:position w:val="0"/>
                <w:sz w:val="24"/>
                <w:szCs w:val="24"/>
                <w:u w:val="none"/>
                <w:shd w:val="clear" w:color="auto" w:fill="auto"/>
                <w:lang w:val="zh-CN" w:eastAsia="zh-CN" w:bidi="zh-CN"/>
              </w:rPr>
            </w:pPr>
          </w:p>
          <w:p>
            <w:pPr>
              <w:bidi w:val="0"/>
              <w:ind w:left="0" w:leftChars="0"/>
              <w:jc w:val="left"/>
              <w:rPr>
                <w:rFonts w:hint="eastAsia" w:ascii="宋体" w:hAnsi="宋体" w:eastAsia="宋体" w:cs="宋体"/>
                <w:color w:val="000000"/>
                <w:spacing w:val="0"/>
                <w:w w:val="100"/>
                <w:kern w:val="2"/>
                <w:position w:val="0"/>
                <w:sz w:val="24"/>
                <w:szCs w:val="24"/>
                <w:u w:val="none"/>
                <w:shd w:val="clear" w:color="auto" w:fill="auto"/>
                <w:lang w:val="zh-CN" w:eastAsia="zh-CN" w:bidi="zh-CN"/>
              </w:rPr>
            </w:pPr>
          </w:p>
          <w:p>
            <w:pPr>
              <w:bidi w:val="0"/>
              <w:ind w:left="0" w:leftChars="0"/>
              <w:jc w:val="left"/>
              <w:rPr>
                <w:rFonts w:hint="eastAsia" w:ascii="宋体" w:hAnsi="宋体" w:eastAsia="宋体" w:cs="宋体"/>
                <w:color w:val="000000"/>
                <w:spacing w:val="0"/>
                <w:w w:val="100"/>
                <w:kern w:val="2"/>
                <w:position w:val="0"/>
                <w:sz w:val="24"/>
                <w:szCs w:val="24"/>
                <w:u w:val="none"/>
                <w:shd w:val="clear" w:color="auto" w:fill="auto"/>
                <w:lang w:val="zh-CN" w:eastAsia="zh-CN" w:bidi="zh-CN"/>
              </w:rPr>
            </w:pPr>
          </w:p>
          <w:p>
            <w:pPr>
              <w:bidi w:val="0"/>
              <w:ind w:left="0" w:leftChars="0"/>
              <w:jc w:val="left"/>
              <w:rPr>
                <w:rFonts w:hint="eastAsia"/>
                <w:sz w:val="24"/>
                <w:szCs w:val="24"/>
              </w:rPr>
            </w:pPr>
            <w:r>
              <w:rPr>
                <w:rFonts w:hint="eastAsia" w:ascii="宋体" w:hAnsi="宋体" w:eastAsia="宋体" w:cs="宋体"/>
                <w:color w:val="000000"/>
                <w:spacing w:val="0"/>
                <w:w w:val="100"/>
                <w:kern w:val="2"/>
                <w:position w:val="0"/>
                <w:sz w:val="24"/>
                <w:szCs w:val="24"/>
                <w:u w:val="none"/>
                <w:shd w:val="clear" w:color="auto" w:fill="auto"/>
                <w:lang w:val="zh-CN" w:eastAsia="zh-CN" w:bidi="zh-CN"/>
              </w:rPr>
              <w:t>年度部门（单位）总体运行情况及取得的成绩</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pPr>
              <w:bidi w:val="0"/>
              <w:ind w:left="0" w:leftChars="0"/>
              <w:jc w:val="both"/>
              <w:rPr>
                <w:rFonts w:hint="default" w:eastAsia="宋体"/>
                <w:sz w:val="24"/>
                <w:szCs w:val="24"/>
                <w:lang w:val="en-US" w:eastAsia="zh-CN"/>
              </w:rPr>
            </w:pPr>
            <w:r>
              <w:rPr>
                <w:rFonts w:hint="eastAsia" w:ascii="仿宋" w:hAnsi="仿宋" w:eastAsia="仿宋" w:cs="仿宋"/>
                <w:kern w:val="2"/>
                <w:sz w:val="21"/>
                <w:szCs w:val="21"/>
                <w:u w:val="none"/>
                <w:shd w:val="clear" w:color="auto" w:fill="auto"/>
                <w:lang w:val="en-US" w:eastAsia="zh-CN" w:bidi="zh-CN"/>
              </w:rPr>
              <w:t>保障了单位正常运转，单位在职9人退休17人正常工资福利待遇。较好的完成了绩效考核、小康考核、乡村振兴、其他考核等各项考核指标。</w:t>
            </w:r>
            <w:r>
              <w:rPr>
                <w:rFonts w:hint="eastAsia" w:ascii="仿宋" w:hAnsi="仿宋" w:eastAsia="仿宋" w:cs="仿宋"/>
                <w:kern w:val="2"/>
                <w:sz w:val="21"/>
                <w:szCs w:val="21"/>
                <w:u w:val="none"/>
                <w:shd w:val="clear" w:color="auto" w:fill="auto"/>
                <w:lang w:val="zh-CN" w:eastAsia="zh-CN" w:bidi="zh-CN"/>
              </w:rPr>
              <w:t>全年地区生产总值(GDP)271.49亿元，比上年增长3.9%。全区共有规模以上工业企业23个，实现规模以上工业增加值增长4.8%。规模以上工业企业产销率达99.0%。</w:t>
            </w:r>
            <w:r>
              <w:rPr>
                <w:rFonts w:hint="eastAsia" w:ascii="仿宋" w:hAnsi="仿宋" w:eastAsia="仿宋" w:cs="仿宋"/>
                <w:kern w:val="2"/>
                <w:sz w:val="21"/>
                <w:szCs w:val="21"/>
                <w:u w:val="none"/>
                <w:shd w:val="clear" w:color="auto" w:fill="auto"/>
                <w:lang w:val="en-US" w:eastAsia="zh-CN" w:bidi="zh-CN"/>
              </w:rPr>
              <w:t>2020年我区全社会R&amp;D经费投入总量4.8亿元；培育高新技术企业6家。科技型中小企业入库15家，</w:t>
            </w:r>
            <w:r>
              <w:rPr>
                <w:rFonts w:hint="eastAsia" w:ascii="仿宋" w:hAnsi="仿宋" w:eastAsia="仿宋" w:cs="仿宋"/>
                <w:kern w:val="2"/>
                <w:sz w:val="21"/>
                <w:szCs w:val="21"/>
                <w:u w:val="none"/>
                <w:shd w:val="clear" w:color="auto" w:fill="auto"/>
                <w:lang w:val="zh-CN" w:eastAsia="zh-CN" w:bidi="zh-CN"/>
              </w:rPr>
              <w:t>全年实现高新技术产业增加值62.9亿元，增长10.7%。完成专利申请559项，其中实用新型申请量208件，外观设计申请量39件。年度发明专利申请量312件，年度授权3件，总有效发明专利378件，</w:t>
            </w:r>
            <w:r>
              <w:rPr>
                <w:rFonts w:hint="eastAsia" w:ascii="仿宋" w:hAnsi="仿宋" w:eastAsia="仿宋" w:cs="仿宋"/>
                <w:kern w:val="2"/>
                <w:sz w:val="21"/>
                <w:szCs w:val="21"/>
                <w:u w:val="none"/>
                <w:shd w:val="clear" w:color="auto" w:fill="auto"/>
                <w:lang w:val="en-US" w:eastAsia="zh-CN" w:bidi="zh-CN"/>
              </w:rPr>
              <w:t>积极争资跑项：2020年获得企业研发奖补资金382.63万元，市科技计划项目200万元，制造强省奖励类90万元，补助类130万元，省中小企业专项74万元，市中小企业发展专项资金201万元。</w:t>
            </w:r>
          </w:p>
        </w:tc>
      </w:tr>
      <w:tr>
        <w:tblPrEx>
          <w:tblCellMar>
            <w:top w:w="0" w:type="dxa"/>
            <w:left w:w="10" w:type="dxa"/>
            <w:bottom w:w="0" w:type="dxa"/>
            <w:right w:w="10" w:type="dxa"/>
          </w:tblCellMar>
        </w:tblPrEx>
        <w:trPr>
          <w:trHeight w:val="437" w:hRule="exact"/>
          <w:jc w:val="center"/>
        </w:trPr>
        <w:tc>
          <w:tcPr>
            <w:tcW w:w="9437" w:type="dxa"/>
            <w:gridSpan w:val="7"/>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8"/>
                <w:szCs w:val="28"/>
              </w:rPr>
              <w:t>二、部门（单位）收支情况</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经费控制情况</w:t>
            </w:r>
          </w:p>
        </w:tc>
        <w:tc>
          <w:tcPr>
            <w:tcW w:w="1766" w:type="dxa"/>
            <w:gridSpan w:val="2"/>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201</w:t>
            </w:r>
            <w:r>
              <w:rPr>
                <w:rFonts w:hint="eastAsia" w:cs="宋体"/>
                <w:b/>
                <w:bCs/>
                <w:color w:val="000000"/>
                <w:spacing w:val="0"/>
                <w:w w:val="100"/>
                <w:position w:val="0"/>
                <w:sz w:val="24"/>
                <w:szCs w:val="24"/>
                <w:lang w:val="en-US" w:eastAsia="zh-CN"/>
              </w:rPr>
              <w:t>9</w:t>
            </w:r>
            <w:r>
              <w:rPr>
                <w:rFonts w:hint="eastAsia" w:ascii="宋体" w:hAnsi="宋体" w:eastAsia="宋体" w:cs="宋体"/>
                <w:b/>
                <w:bCs/>
                <w:color w:val="000000"/>
                <w:spacing w:val="0"/>
                <w:w w:val="100"/>
                <w:position w:val="0"/>
                <w:sz w:val="24"/>
                <w:szCs w:val="24"/>
              </w:rPr>
              <w:t>年决算数</w:t>
            </w:r>
          </w:p>
        </w:tc>
        <w:tc>
          <w:tcPr>
            <w:tcW w:w="2250" w:type="dxa"/>
            <w:gridSpan w:val="2"/>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cs="宋体"/>
                <w:b/>
                <w:bCs/>
                <w:color w:val="000000"/>
                <w:spacing w:val="0"/>
                <w:w w:val="100"/>
                <w:position w:val="0"/>
                <w:sz w:val="24"/>
                <w:szCs w:val="24"/>
                <w:lang w:eastAsia="zh-CN"/>
              </w:rPr>
              <w:t>2020年</w:t>
            </w:r>
            <w:r>
              <w:rPr>
                <w:rFonts w:hint="eastAsia" w:ascii="宋体" w:hAnsi="宋体" w:eastAsia="宋体" w:cs="宋体"/>
                <w:b/>
                <w:bCs/>
                <w:color w:val="000000"/>
                <w:spacing w:val="0"/>
                <w:w w:val="100"/>
                <w:position w:val="0"/>
                <w:sz w:val="24"/>
                <w:szCs w:val="24"/>
              </w:rPr>
              <w:t>预算数</w:t>
            </w:r>
          </w:p>
        </w:tc>
        <w:tc>
          <w:tcPr>
            <w:tcW w:w="2160" w:type="dxa"/>
            <w:gridSpan w:val="2"/>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cs="宋体"/>
                <w:b/>
                <w:bCs/>
                <w:color w:val="000000"/>
                <w:spacing w:val="0"/>
                <w:w w:val="100"/>
                <w:position w:val="0"/>
                <w:sz w:val="24"/>
                <w:szCs w:val="24"/>
                <w:lang w:eastAsia="zh-CN"/>
              </w:rPr>
              <w:t>2020年</w:t>
            </w:r>
            <w:r>
              <w:rPr>
                <w:rFonts w:hint="eastAsia" w:ascii="宋体" w:hAnsi="宋体" w:eastAsia="宋体" w:cs="宋体"/>
                <w:b/>
                <w:bCs/>
                <w:color w:val="000000"/>
                <w:spacing w:val="0"/>
                <w:w w:val="100"/>
                <w:position w:val="0"/>
                <w:sz w:val="24"/>
                <w:szCs w:val="24"/>
              </w:rPr>
              <w:t>决算数</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三公经费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2.68</w:t>
            </w: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3.7</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2.93</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、公务用车购置和维护经费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其中：公车购置</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公车运行维护</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、出国经费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3</w:t>
            </w:r>
            <w:r>
              <w:rPr>
                <w:rFonts w:hint="eastAsia" w:ascii="宋体" w:hAnsi="宋体" w:eastAsia="宋体" w:cs="宋体"/>
                <w:color w:val="000000"/>
                <w:spacing w:val="0"/>
                <w:w w:val="100"/>
                <w:position w:val="0"/>
                <w:sz w:val="24"/>
                <w:szCs w:val="24"/>
              </w:rPr>
              <w:t>、公务接待</w:t>
            </w:r>
          </w:p>
        </w:tc>
        <w:tc>
          <w:tcPr>
            <w:tcW w:w="176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2.68</w:t>
            </w: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3.7</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2.93</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项目支出：</w:t>
            </w:r>
          </w:p>
        </w:tc>
        <w:tc>
          <w:tcPr>
            <w:tcW w:w="176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34.56</w:t>
            </w: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256.58</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、业务工作专项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34.56</w:t>
            </w: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256.58</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、运行维护专项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leader="dot" w:pos="1539"/>
              </w:tabs>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ab/>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公用经费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17.24</w:t>
            </w: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5.4</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5.28</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其中：办公经费</w:t>
            </w:r>
          </w:p>
        </w:tc>
        <w:tc>
          <w:tcPr>
            <w:tcW w:w="176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8.79</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1.71</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水费、电费、差旅费</w:t>
            </w:r>
          </w:p>
        </w:tc>
        <w:tc>
          <w:tcPr>
            <w:tcW w:w="176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0.69</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0.15</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会议费、培训费</w:t>
            </w:r>
          </w:p>
        </w:tc>
        <w:tc>
          <w:tcPr>
            <w:tcW w:w="176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0.4</w:t>
            </w: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0.4</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政府采购金额</w:t>
            </w:r>
          </w:p>
        </w:tc>
        <w:tc>
          <w:tcPr>
            <w:tcW w:w="1766"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cs="宋体"/>
                <w:color w:val="000000"/>
                <w:spacing w:val="0"/>
                <w:w w:val="100"/>
                <w:position w:val="0"/>
                <w:sz w:val="24"/>
                <w:szCs w:val="24"/>
                <w:lang w:val="en-US" w:eastAsia="zh-CN"/>
              </w:rPr>
              <w:t>0</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部门整体支出预算调整</w:t>
            </w:r>
          </w:p>
        </w:tc>
        <w:tc>
          <w:tcPr>
            <w:tcW w:w="1766"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cs="宋体"/>
                <w:sz w:val="24"/>
                <w:szCs w:val="24"/>
                <w:lang w:val="en-US" w:eastAsia="zh-CN"/>
              </w:rPr>
              <w:t>231.65</w:t>
            </w: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173.06</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466.25</w:t>
            </w:r>
          </w:p>
        </w:tc>
      </w:tr>
      <w:tr>
        <w:tblPrEx>
          <w:tblCellMar>
            <w:top w:w="0" w:type="dxa"/>
            <w:left w:w="10" w:type="dxa"/>
            <w:bottom w:w="0" w:type="dxa"/>
            <w:right w:w="10" w:type="dxa"/>
          </w:tblCellMar>
        </w:tblPrEx>
        <w:trPr>
          <w:trHeight w:val="1162" w:hRule="exact"/>
          <w:jc w:val="center"/>
        </w:trPr>
        <w:tc>
          <w:tcPr>
            <w:tcW w:w="3261"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楼堂馆所控制情况 </w:t>
            </w:r>
            <w:r>
              <w:rPr>
                <w:rFonts w:hint="eastAsia" w:ascii="宋体" w:hAnsi="宋体" w:eastAsia="宋体" w:cs="宋体"/>
                <w:b/>
                <w:bCs/>
                <w:color w:val="000000"/>
                <w:spacing w:val="0"/>
                <w:w w:val="100"/>
                <w:position w:val="0"/>
                <w:sz w:val="24"/>
                <w:szCs w:val="24"/>
              </w:rPr>
              <w:t>（</w:t>
            </w:r>
            <w:r>
              <w:rPr>
                <w:rFonts w:hint="eastAsia" w:cs="宋体"/>
                <w:b/>
                <w:bCs/>
                <w:color w:val="000000"/>
                <w:spacing w:val="0"/>
                <w:w w:val="100"/>
                <w:position w:val="0"/>
                <w:sz w:val="24"/>
                <w:szCs w:val="24"/>
                <w:lang w:eastAsia="zh-CN"/>
              </w:rPr>
              <w:t>2020年</w:t>
            </w:r>
            <w:r>
              <w:rPr>
                <w:rFonts w:hint="eastAsia" w:ascii="宋体" w:hAnsi="宋体" w:eastAsia="宋体" w:cs="宋体"/>
                <w:color w:val="000000"/>
                <w:spacing w:val="0"/>
                <w:w w:val="100"/>
                <w:position w:val="0"/>
                <w:sz w:val="24"/>
                <w:szCs w:val="24"/>
              </w:rPr>
              <w:t>完工项目）</w:t>
            </w:r>
          </w:p>
        </w:tc>
        <w:tc>
          <w:tcPr>
            <w:tcW w:w="795"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批复 规模 </w:t>
            </w: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1</w:t>
            </w:r>
            <w:r>
              <w:rPr>
                <w:rFonts w:hint="eastAsia" w:ascii="宋体" w:hAnsi="宋体" w:eastAsia="宋体" w:cs="宋体"/>
                <w:color w:val="000000"/>
                <w:spacing w:val="0"/>
                <w:w w:val="100"/>
                <w:position w:val="0"/>
                <w:sz w:val="24"/>
                <w:szCs w:val="24"/>
                <w:lang w:val="en-US" w:eastAsia="en-US" w:bidi="en-US"/>
              </w:rPr>
              <w:t>）</w:t>
            </w:r>
          </w:p>
        </w:tc>
        <w:tc>
          <w:tcPr>
            <w:tcW w:w="9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40" w:line="312" w:lineRule="exact"/>
              <w:ind w:left="220" w:right="0" w:firstLine="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 规模</w:t>
            </w:r>
          </w:p>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2</w:t>
            </w:r>
            <w:r>
              <w:rPr>
                <w:rFonts w:hint="eastAsia" w:ascii="宋体" w:hAnsi="宋体" w:eastAsia="宋体" w:cs="宋体"/>
                <w:color w:val="000000"/>
                <w:spacing w:val="0"/>
                <w:w w:val="100"/>
                <w:position w:val="0"/>
                <w:sz w:val="24"/>
                <w:szCs w:val="24"/>
                <w:lang w:val="en-US" w:eastAsia="en-US" w:bidi="en-US"/>
              </w:rPr>
              <w:t>）</w:t>
            </w:r>
          </w:p>
        </w:tc>
        <w:tc>
          <w:tcPr>
            <w:tcW w:w="118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规模控制率</w:t>
            </w:r>
          </w:p>
        </w:tc>
        <w:tc>
          <w:tcPr>
            <w:tcW w:w="107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预算投资 （万元）</w:t>
            </w:r>
          </w:p>
        </w:tc>
        <w:tc>
          <w:tcPr>
            <w:tcW w:w="1109"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实际投资 （万元）</w:t>
            </w:r>
          </w:p>
        </w:tc>
        <w:tc>
          <w:tcPr>
            <w:tcW w:w="1051"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83"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投资概 算控制 率</w:t>
            </w:r>
          </w:p>
        </w:tc>
      </w:tr>
      <w:tr>
        <w:tblPrEx>
          <w:tblCellMar>
            <w:top w:w="0" w:type="dxa"/>
            <w:left w:w="10" w:type="dxa"/>
            <w:bottom w:w="0" w:type="dxa"/>
            <w:right w:w="10" w:type="dxa"/>
          </w:tblCellMar>
        </w:tblPrEx>
        <w:trPr>
          <w:trHeight w:val="466" w:hRule="exact"/>
          <w:jc w:val="center"/>
        </w:trPr>
        <w:tc>
          <w:tcPr>
            <w:tcW w:w="3261" w:type="dxa"/>
            <w:vMerge w:val="continue"/>
            <w:tcBorders>
              <w:left w:val="single" w:color="auto" w:sz="4" w:space="0"/>
            </w:tcBorders>
            <w:shd w:val="clear" w:color="auto" w:fill="FFFFFF"/>
            <w:vAlign w:val="center"/>
          </w:tcPr>
          <w:p>
            <w:pPr>
              <w:rPr>
                <w:rFonts w:hint="eastAsia" w:ascii="宋体" w:hAnsi="宋体" w:eastAsia="宋体" w:cs="宋体"/>
                <w:sz w:val="24"/>
                <w:szCs w:val="24"/>
              </w:rPr>
            </w:pPr>
          </w:p>
        </w:tc>
        <w:tc>
          <w:tcPr>
            <w:tcW w:w="795"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971"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180"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70"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109"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51"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1480" w:hRule="exact"/>
          <w:jc w:val="center"/>
        </w:trPr>
        <w:tc>
          <w:tcPr>
            <w:tcW w:w="3261"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80" w:after="0" w:line="240" w:lineRule="auto"/>
              <w:ind w:left="0" w:right="0" w:firstLine="6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厉行节约保障措施</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1严格执行中央八项规定，同城不接待，严格按照接待标准接待；2厉行节约，杜绝铺张浪费；3规范职工福利发放；严控培训费会议费等经费支出。</w:t>
            </w:r>
          </w:p>
        </w:tc>
      </w:tr>
    </w:tbl>
    <w:p>
      <w:pPr>
        <w:pStyle w:val="22"/>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22"/>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24"/>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8"/>
          <w:szCs w:val="28"/>
        </w:rPr>
      </w:pPr>
      <w:r>
        <w:rPr>
          <w:rFonts w:hint="eastAsia" w:ascii="仿宋" w:hAnsi="仿宋" w:eastAsia="仿宋" w:cs="仿宋"/>
          <w:b w:val="0"/>
          <w:bCs w:val="0"/>
          <w:color w:val="000000"/>
          <w:spacing w:val="0"/>
          <w:w w:val="100"/>
          <w:position w:val="0"/>
          <w:sz w:val="28"/>
          <w:szCs w:val="28"/>
        </w:rPr>
        <w:t>附件</w:t>
      </w:r>
      <w:r>
        <w:rPr>
          <w:rFonts w:hint="eastAsia" w:ascii="仿宋" w:hAnsi="仿宋" w:eastAsia="仿宋" w:cs="仿宋"/>
          <w:color w:val="000000"/>
          <w:spacing w:val="0"/>
          <w:w w:val="100"/>
          <w:position w:val="0"/>
          <w:sz w:val="28"/>
          <w:szCs w:val="28"/>
          <w:lang w:val="en-US" w:eastAsia="zh-CN" w:bidi="en-US"/>
        </w:rPr>
        <w:t>1</w:t>
      </w:r>
      <w:r>
        <w:rPr>
          <w:rFonts w:hint="eastAsia" w:ascii="仿宋" w:hAnsi="仿宋" w:eastAsia="仿宋" w:cs="仿宋"/>
          <w:color w:val="000000"/>
          <w:spacing w:val="0"/>
          <w:w w:val="100"/>
          <w:position w:val="0"/>
          <w:sz w:val="28"/>
          <w:szCs w:val="28"/>
          <w:lang w:val="en-US" w:eastAsia="en-US" w:bidi="en-US"/>
        </w:rPr>
        <w:t>-3</w:t>
      </w:r>
    </w:p>
    <w:p>
      <w:pPr>
        <w:pStyle w:val="18"/>
        <w:keepNext/>
        <w:keepLines/>
        <w:widowControl w:val="0"/>
        <w:shd w:val="clear" w:color="auto" w:fill="auto"/>
        <w:bidi w:val="0"/>
        <w:spacing w:before="0" w:after="260" w:line="240" w:lineRule="auto"/>
        <w:ind w:left="0" w:right="0" w:firstLine="0"/>
        <w:jc w:val="center"/>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pPr>
      <w:bookmarkStart w:id="6" w:name="bookmark90"/>
      <w:bookmarkStart w:id="7" w:name="bookmark88"/>
      <w:bookmarkStart w:id="8" w:name="bookmark89"/>
      <w:r>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t>部门整体支出绩效报告</w:t>
      </w:r>
      <w:bookmarkEnd w:id="6"/>
      <w:bookmarkEnd w:id="7"/>
      <w:bookmarkEnd w:id="8"/>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right="0"/>
        <w:jc w:val="both"/>
        <w:textAlignment w:val="auto"/>
        <w:rPr>
          <w:rFonts w:hint="eastAsia" w:ascii="黑体" w:hAnsi="黑体" w:eastAsia="黑体" w:cs="黑体"/>
          <w:b/>
          <w:bCs/>
          <w:sz w:val="32"/>
          <w:szCs w:val="32"/>
        </w:rPr>
      </w:pPr>
      <w:bookmarkStart w:id="9" w:name="bookmark91"/>
      <w:r>
        <w:rPr>
          <w:rFonts w:hint="eastAsia" w:ascii="黑体" w:hAnsi="黑体" w:eastAsia="黑体" w:cs="黑体"/>
          <w:b/>
          <w:bCs/>
          <w:color w:val="000000"/>
          <w:spacing w:val="0"/>
          <w:w w:val="100"/>
          <w:position w:val="0"/>
          <w:sz w:val="32"/>
          <w:szCs w:val="32"/>
        </w:rPr>
        <w:t>一</w:t>
      </w:r>
      <w:bookmarkEnd w:id="9"/>
      <w:r>
        <w:rPr>
          <w:rFonts w:hint="eastAsia" w:ascii="黑体" w:hAnsi="黑体" w:eastAsia="黑体" w:cs="黑体"/>
          <w:b/>
          <w:bCs/>
          <w:color w:val="000000"/>
          <w:spacing w:val="0"/>
          <w:w w:val="100"/>
          <w:position w:val="0"/>
          <w:sz w:val="32"/>
          <w:szCs w:val="32"/>
        </w:rPr>
        <w:t>、部门概况</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0" w:name="bookmark92"/>
      <w:r>
        <w:rPr>
          <w:rFonts w:hint="eastAsia" w:ascii="仿宋_GB2312" w:hAnsi="仿宋_GB2312" w:eastAsia="仿宋_GB2312" w:cs="仿宋_GB2312"/>
          <w:color w:val="000000"/>
          <w:spacing w:val="0"/>
          <w:w w:val="100"/>
          <w:position w:val="0"/>
          <w:sz w:val="32"/>
          <w:szCs w:val="32"/>
        </w:rPr>
        <w:t>（</w:t>
      </w:r>
      <w:bookmarkEnd w:id="10"/>
      <w:r>
        <w:rPr>
          <w:rFonts w:hint="eastAsia" w:ascii="仿宋_GB2312" w:hAnsi="仿宋_GB2312" w:eastAsia="仿宋_GB2312" w:cs="仿宋_GB2312"/>
          <w:color w:val="000000"/>
          <w:spacing w:val="0"/>
          <w:w w:val="100"/>
          <w:position w:val="0"/>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1、在职人员情况：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本部门有行政编4个，事业编制5个，2020年底实际在职有行政人员4名，事业人员5名。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2、主要职责：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①</w:t>
      </w:r>
      <w:r>
        <w:rPr>
          <w:rFonts w:hint="eastAsia" w:ascii="仿宋" w:hAnsi="仿宋" w:eastAsia="仿宋" w:cs="仿宋"/>
          <w:sz w:val="32"/>
          <w:szCs w:val="32"/>
        </w:rPr>
        <w:t>贯彻落实国家、省、市有关科学技术、工业经济和信息化方面的方针政策和法律法规。组织起草科学技术、工业经济和信息化有关规范性文件草案，拟订并组织实施科学技术、工业经济和信息化规划和年度计划。指导协调政府各部门和乡镇街道的科技、工业、信息化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default" w:ascii="微软雅黑" w:hAnsi="微软雅黑" w:eastAsia="微软雅黑" w:cs="微软雅黑"/>
          <w:color w:val="000000"/>
          <w:spacing w:val="0"/>
          <w:w w:val="100"/>
          <w:kern w:val="2"/>
          <w:position w:val="0"/>
          <w:sz w:val="32"/>
          <w:szCs w:val="32"/>
          <w:u w:val="none"/>
          <w:shd w:val="clear" w:color="auto" w:fill="auto"/>
          <w:lang w:val="zh-CN" w:eastAsia="zh-CN" w:bidi="zh-CN"/>
        </w:rPr>
        <w:t>②</w:t>
      </w:r>
      <w:r>
        <w:rPr>
          <w:rFonts w:hint="eastAsia" w:ascii="仿宋" w:hAnsi="仿宋" w:eastAsia="仿宋" w:cs="仿宋"/>
          <w:sz w:val="32"/>
          <w:szCs w:val="32"/>
        </w:rPr>
        <w:t>负责全区工业和信息化领域的日常经济运行调节工作，编制并组织实施近期工业经济和信息化领域的经济运行调控目标、政策和措施。监测分析近期全区工业和信息化领域的经济运行态势，统计并发布相关信息，协调解决工业经济运行中的突出矛盾和问题并提出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微软雅黑" w:hAnsi="微软雅黑" w:eastAsia="微软雅黑" w:cs="微软雅黑"/>
          <w:color w:val="000000"/>
          <w:spacing w:val="0"/>
          <w:w w:val="100"/>
          <w:kern w:val="2"/>
          <w:position w:val="0"/>
          <w:sz w:val="32"/>
          <w:szCs w:val="32"/>
          <w:u w:val="none"/>
          <w:shd w:val="clear" w:color="auto" w:fill="auto"/>
          <w:lang w:val="zh-CN" w:eastAsia="zh-CN" w:bidi="zh-CN"/>
        </w:rPr>
        <w:t>③</w:t>
      </w:r>
      <w:r>
        <w:rPr>
          <w:rFonts w:hint="eastAsia" w:ascii="仿宋" w:hAnsi="仿宋" w:eastAsia="仿宋" w:cs="仿宋"/>
          <w:sz w:val="32"/>
          <w:szCs w:val="32"/>
        </w:rPr>
        <w:t xml:space="preserve">拟订全区新型工业化的发展战略，协调解决有关重大问题；综合管理全区工业经济，指导、协调和服务工业企业。负责推进信息化和工业化融合，推进全区工业信息化。指导全区工业技术创新、品牌升级和管理创新，引导优先发展高科技、高附加值产业，大力推进节能减排，发展低碳工业经济。负责全区优势工业产业与重点工业企业的培育和发展工作。负责指导全区规模工业企业的统计和考核工作。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default" w:ascii="微软雅黑" w:hAnsi="微软雅黑" w:eastAsia="微软雅黑" w:cs="微软雅黑"/>
          <w:color w:val="000000"/>
          <w:spacing w:val="0"/>
          <w:w w:val="100"/>
          <w:kern w:val="2"/>
          <w:position w:val="0"/>
          <w:sz w:val="32"/>
          <w:szCs w:val="32"/>
          <w:u w:val="none"/>
          <w:shd w:val="clear" w:color="auto" w:fill="auto"/>
          <w:lang w:val="zh-CN" w:eastAsia="zh-CN" w:bidi="zh-CN"/>
        </w:rPr>
        <w:t>④</w:t>
      </w:r>
      <w:r>
        <w:rPr>
          <w:rFonts w:hint="eastAsia" w:ascii="仿宋" w:hAnsi="仿宋" w:eastAsia="仿宋" w:cs="仿宋"/>
          <w:sz w:val="32"/>
          <w:szCs w:val="32"/>
        </w:rPr>
        <w:t>会同有关部门研究提出全区科技发展、工业企业发展重大布局政策建议，参与对经济、多学科的综合性项目、引进项目的论证与决策，组织实施省、市、区科技专项、关键技术和共性技术攻关。会同有关部门提出科技体制改革的政策和措施建议、推进科技体制改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zh-CN" w:eastAsia="zh-CN"/>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⑤</w:t>
      </w:r>
      <w:r>
        <w:rPr>
          <w:rFonts w:hint="eastAsia" w:ascii="仿宋" w:hAnsi="仿宋" w:eastAsia="仿宋" w:cs="仿宋"/>
          <w:sz w:val="32"/>
          <w:szCs w:val="32"/>
        </w:rPr>
        <w:t>负责提出工业和信息化固定资产投资规模和方向的意见，按规定权限负责工业固定资产投资项目管理工作。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⑥</w:t>
      </w:r>
      <w:r>
        <w:rPr>
          <w:rFonts w:hint="eastAsia" w:ascii="仿宋" w:hAnsi="仿宋" w:eastAsia="仿宋" w:cs="仿宋"/>
          <w:sz w:val="32"/>
          <w:szCs w:val="32"/>
        </w:rPr>
        <w:t>推进全区创新体系建设,会同有关部门推荐或认定创新型企业、民营科技企业和自主创新产品，加强技术创新平台的建设，促进民营科技和科技型中小企业的技术创新工作，推进中小企业服务体系建设和全民创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⑦</w:t>
      </w:r>
      <w:r>
        <w:rPr>
          <w:rFonts w:hint="eastAsia" w:ascii="仿宋" w:hAnsi="仿宋" w:eastAsia="仿宋" w:cs="仿宋"/>
          <w:sz w:val="32"/>
          <w:szCs w:val="32"/>
        </w:rPr>
        <w:t>会同有关部门拟订高新技术发展的政策措施，指导高新技术及应用技术的开发与推广，会同有关部门推荐或认定高新技术企业和高新技术产品，指导各类科技示范推广基地的建设与管理。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⑧</w:t>
      </w:r>
      <w:r>
        <w:rPr>
          <w:rFonts w:hint="eastAsia" w:ascii="仿宋" w:hAnsi="仿宋" w:eastAsia="仿宋" w:cs="仿宋"/>
          <w:sz w:val="32"/>
          <w:szCs w:val="32"/>
        </w:rPr>
        <w:t>拟订科技服务业发展的政策和规划，拟订促进技术市场、科技中介组织发展的政策措施，负责技术市场、科技中介组织的指导和监督管理，负责全区科技奖励、科技保密、科技评估、科技统计、科技情况信息。推进民营科技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⑨</w:t>
      </w:r>
      <w:r>
        <w:rPr>
          <w:rFonts w:hint="eastAsia" w:ascii="仿宋" w:hAnsi="仿宋" w:eastAsia="仿宋" w:cs="仿宋"/>
          <w:sz w:val="32"/>
          <w:szCs w:val="32"/>
        </w:rPr>
        <w:t>研究提出多渠道增加科技投入的措施建议，优化科技资源；会同有关部门提出科技资源合理配置的政策建议，推动科技资源共建共享，促进科技和金融结合，建立科技金融服务的统筹协调机制。负责科技经费的预、决算和经费使用的监督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⑩</w:t>
      </w:r>
      <w:r>
        <w:rPr>
          <w:rFonts w:hint="eastAsia" w:ascii="仿宋" w:hAnsi="仿宋" w:eastAsia="仿宋" w:cs="仿宋"/>
          <w:sz w:val="32"/>
          <w:szCs w:val="32"/>
        </w:rPr>
        <w:t>牵头组织协调产学研结合工作，推进产学研创新联盟建设，会同有关部门制定科技成果推广政策，指导科技成果转化。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⑪</w:t>
      </w:r>
      <w:r>
        <w:rPr>
          <w:rFonts w:hint="eastAsia" w:ascii="仿宋" w:hAnsi="仿宋" w:eastAsia="仿宋" w:cs="仿宋"/>
          <w:sz w:val="32"/>
          <w:szCs w:val="32"/>
        </w:rPr>
        <w:t>组织拟订科技促进农村和社会发展的政策措施，会同有关部门推进全区农村科技创新示范点建设，促进以科技改善民生为重点的农村建设和社会建设。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⑫</w:t>
      </w:r>
      <w:r>
        <w:rPr>
          <w:rFonts w:hint="eastAsia" w:ascii="仿宋" w:hAnsi="仿宋" w:eastAsia="仿宋" w:cs="仿宋"/>
          <w:sz w:val="32"/>
          <w:szCs w:val="32"/>
        </w:rPr>
        <w:t>指导、协调全区科技、工业经济和信息化领域的对外交流与合作；指导全区科技、工业经济和信息化领域人才开发与培训工作。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⑬</w:t>
      </w:r>
      <w:r>
        <w:rPr>
          <w:rFonts w:hint="eastAsia" w:ascii="仿宋" w:hAnsi="仿宋" w:eastAsia="仿宋" w:cs="仿宋"/>
          <w:sz w:val="32"/>
          <w:szCs w:val="32"/>
        </w:rPr>
        <w:t>负责职责范围内对有关行业、领域的安全生产工作实施监督管理。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⑭</w:t>
      </w:r>
      <w:r>
        <w:rPr>
          <w:rFonts w:hint="eastAsia" w:ascii="仿宋" w:hAnsi="仿宋" w:eastAsia="仿宋" w:cs="仿宋"/>
          <w:sz w:val="32"/>
          <w:szCs w:val="32"/>
        </w:rPr>
        <w:t>负责统计监测全面建成小康社会相关指标数据，并分析研究提出对策建议，及时发出预警信息。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color w:val="000000"/>
          <w:spacing w:val="0"/>
          <w:w w:val="100"/>
          <w:kern w:val="2"/>
          <w:position w:val="0"/>
          <w:sz w:val="32"/>
          <w:szCs w:val="32"/>
          <w:u w:val="none"/>
          <w:shd w:val="clear" w:color="auto" w:fill="auto"/>
          <w:lang w:val="zh-CN" w:eastAsia="zh-CN" w:bidi="zh-CN"/>
        </w:rPr>
        <w:t>⑮</w:t>
      </w:r>
      <w:r>
        <w:rPr>
          <w:rFonts w:hint="eastAsia" w:ascii="仿宋" w:hAnsi="仿宋" w:eastAsia="仿宋" w:cs="仿宋"/>
          <w:sz w:val="32"/>
          <w:szCs w:val="32"/>
        </w:rPr>
        <w:t>承办区人民政府交办的其他事项。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3、机构设置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 xml:space="preserve">    </w:t>
      </w:r>
      <w:r>
        <w:rPr>
          <w:rFonts w:hint="eastAsia" w:ascii="仿宋" w:hAnsi="仿宋" w:eastAsia="仿宋" w:cs="仿宋"/>
          <w:sz w:val="32"/>
          <w:szCs w:val="32"/>
        </w:rPr>
        <w:t>珠晖区科技和工业信息化局设下列内设机构:办公室</w:t>
      </w:r>
      <w:r>
        <w:rPr>
          <w:rFonts w:hint="eastAsia" w:ascii="仿宋" w:hAnsi="仿宋" w:eastAsia="仿宋" w:cs="仿宋"/>
          <w:sz w:val="32"/>
          <w:szCs w:val="32"/>
          <w:lang w:eastAsia="zh-CN"/>
        </w:rPr>
        <w:t>、</w:t>
      </w:r>
      <w:r>
        <w:rPr>
          <w:rFonts w:hint="eastAsia" w:ascii="仿宋" w:hAnsi="仿宋" w:eastAsia="仿宋" w:cs="仿宋"/>
          <w:sz w:val="32"/>
          <w:szCs w:val="32"/>
        </w:rPr>
        <w:t>经济运行股</w:t>
      </w:r>
      <w:r>
        <w:rPr>
          <w:rFonts w:hint="eastAsia" w:ascii="仿宋" w:hAnsi="仿宋" w:eastAsia="仿宋" w:cs="仿宋"/>
          <w:sz w:val="32"/>
          <w:szCs w:val="32"/>
          <w:lang w:eastAsia="zh-CN"/>
        </w:rPr>
        <w:t>、</w:t>
      </w:r>
      <w:r>
        <w:rPr>
          <w:rFonts w:hint="eastAsia" w:ascii="仿宋" w:hAnsi="仿宋" w:eastAsia="仿宋" w:cs="仿宋"/>
          <w:sz w:val="32"/>
          <w:szCs w:val="32"/>
        </w:rPr>
        <w:t>计划与科技成果股</w:t>
      </w:r>
      <w:r>
        <w:rPr>
          <w:rFonts w:hint="eastAsia" w:ascii="仿宋" w:hAnsi="仿宋" w:eastAsia="仿宋" w:cs="仿宋"/>
          <w:sz w:val="32"/>
          <w:szCs w:val="32"/>
          <w:lang w:eastAsia="zh-CN"/>
        </w:rPr>
        <w:t>、</w:t>
      </w:r>
      <w:r>
        <w:rPr>
          <w:rFonts w:hint="eastAsia" w:ascii="仿宋" w:hAnsi="仿宋" w:eastAsia="仿宋" w:cs="仿宋"/>
          <w:sz w:val="32"/>
          <w:szCs w:val="32"/>
        </w:rPr>
        <w:t>经济发展股</w:t>
      </w:r>
      <w:r>
        <w:rPr>
          <w:rFonts w:hint="eastAsia" w:ascii="仿宋" w:hAnsi="仿宋" w:eastAsia="仿宋" w:cs="仿宋"/>
          <w:sz w:val="32"/>
          <w:szCs w:val="32"/>
          <w:lang w:eastAsia="zh-CN"/>
        </w:rPr>
        <w:t>。</w:t>
      </w:r>
    </w:p>
    <w:p>
      <w:pPr>
        <w:pStyle w:val="17"/>
        <w:keepNext w:val="0"/>
        <w:keepLines w:val="0"/>
        <w:pageBreakBefore w:val="0"/>
        <w:widowControl w:val="0"/>
        <w:numPr>
          <w:ilvl w:val="0"/>
          <w:numId w:val="2"/>
        </w:numPr>
        <w:shd w:val="clear" w:color="auto" w:fill="auto"/>
        <w:tabs>
          <w:tab w:val="left" w:pos="1113"/>
        </w:tabs>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 w:hAnsi="仿宋" w:eastAsia="仿宋" w:cs="仿宋"/>
          <w:sz w:val="32"/>
          <w:szCs w:val="32"/>
        </w:rPr>
      </w:pPr>
      <w:r>
        <w:rPr>
          <w:rFonts w:hint="eastAsia" w:ascii="仿宋_GB2312" w:hAnsi="仿宋_GB2312" w:eastAsia="仿宋_GB2312" w:cs="仿宋_GB2312"/>
          <w:color w:val="000000"/>
          <w:spacing w:val="0"/>
          <w:w w:val="100"/>
          <w:position w:val="0"/>
          <w:sz w:val="32"/>
          <w:szCs w:val="32"/>
          <w:lang w:val="en-US" w:eastAsia="zh-CN"/>
        </w:rPr>
        <w:t>重点工作计划</w:t>
      </w:r>
    </w:p>
    <w:p>
      <w:pPr>
        <w:pStyle w:val="17"/>
        <w:keepNext w:val="0"/>
        <w:keepLines w:val="0"/>
        <w:pageBreakBefore w:val="0"/>
        <w:widowControl w:val="0"/>
        <w:numPr>
          <w:ilvl w:val="0"/>
          <w:numId w:val="0"/>
        </w:numPr>
        <w:shd w:val="clear" w:color="auto" w:fill="auto"/>
        <w:tabs>
          <w:tab w:val="left" w:pos="1113"/>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 w:hAnsi="仿宋" w:eastAsia="仿宋" w:cs="仿宋"/>
          <w:sz w:val="32"/>
          <w:szCs w:val="32"/>
          <w:lang w:val="en-US" w:eastAsia="zh-CN"/>
        </w:rPr>
        <w:t>完成工信考核指标：</w:t>
      </w:r>
      <w:r>
        <w:rPr>
          <w:rFonts w:hint="eastAsia" w:ascii="仿宋" w:hAnsi="仿宋" w:eastAsia="仿宋" w:cs="仿宋"/>
          <w:sz w:val="32"/>
          <w:szCs w:val="32"/>
        </w:rPr>
        <w:t>规模以上工业总产值</w:t>
      </w:r>
      <w:r>
        <w:rPr>
          <w:rFonts w:hint="eastAsia" w:ascii="仿宋" w:hAnsi="仿宋" w:eastAsia="仿宋" w:cs="仿宋"/>
          <w:sz w:val="32"/>
          <w:szCs w:val="32"/>
          <w:lang w:eastAsia="zh-CN"/>
        </w:rPr>
        <w:t>、</w:t>
      </w:r>
      <w:r>
        <w:rPr>
          <w:rFonts w:hint="eastAsia" w:ascii="仿宋" w:hAnsi="仿宋" w:eastAsia="仿宋" w:cs="仿宋"/>
          <w:sz w:val="32"/>
          <w:szCs w:val="32"/>
        </w:rPr>
        <w:t>规模</w:t>
      </w:r>
      <w:r>
        <w:rPr>
          <w:rFonts w:hint="eastAsia" w:ascii="仿宋" w:hAnsi="仿宋" w:eastAsia="仿宋" w:cs="仿宋"/>
          <w:sz w:val="32"/>
          <w:szCs w:val="32"/>
          <w:lang w:eastAsia="zh-CN"/>
        </w:rPr>
        <w:t>工业增加值、新增四上企业、工业投资及技改投资等；完成科技考核指标：高新技术产业增加值、技术合同交易额，高企认定，科技型中小企业入库等；</w:t>
      </w:r>
      <w:r>
        <w:rPr>
          <w:rFonts w:hint="eastAsia" w:ascii="仿宋" w:hAnsi="仿宋" w:eastAsia="仿宋" w:cs="仿宋"/>
          <w:sz w:val="32"/>
          <w:szCs w:val="32"/>
        </w:rPr>
        <w:t>抓</w:t>
      </w:r>
      <w:r>
        <w:rPr>
          <w:rFonts w:hint="eastAsia" w:ascii="仿宋" w:hAnsi="仿宋" w:eastAsia="仿宋" w:cs="仿宋"/>
          <w:sz w:val="32"/>
          <w:szCs w:val="32"/>
          <w:lang w:eastAsia="zh-CN"/>
        </w:rPr>
        <w:t>好企业</w:t>
      </w:r>
      <w:r>
        <w:rPr>
          <w:rFonts w:hint="eastAsia" w:ascii="仿宋" w:hAnsi="仿宋" w:eastAsia="仿宋" w:cs="仿宋"/>
          <w:sz w:val="32"/>
          <w:szCs w:val="32"/>
        </w:rPr>
        <w:t>安全生产和环保督查整改工作</w:t>
      </w:r>
      <w:r>
        <w:rPr>
          <w:rFonts w:hint="eastAsia" w:ascii="仿宋" w:hAnsi="仿宋" w:eastAsia="仿宋" w:cs="仿宋"/>
          <w:sz w:val="32"/>
          <w:szCs w:val="32"/>
          <w:lang w:eastAsia="zh-CN"/>
        </w:rPr>
        <w:t>；</w:t>
      </w:r>
      <w:r>
        <w:rPr>
          <w:rFonts w:hint="eastAsia" w:ascii="仿宋" w:hAnsi="仿宋" w:eastAsia="仿宋" w:cs="仿宋"/>
          <w:sz w:val="32"/>
          <w:szCs w:val="32"/>
        </w:rPr>
        <w:t>脱贫攻坚工作</w:t>
      </w:r>
      <w:r>
        <w:rPr>
          <w:rFonts w:hint="eastAsia" w:ascii="仿宋" w:hAnsi="仿宋" w:eastAsia="仿宋" w:cs="仿宋"/>
          <w:sz w:val="32"/>
          <w:szCs w:val="32"/>
          <w:lang w:eastAsia="zh-CN"/>
        </w:rPr>
        <w:t>：</w:t>
      </w:r>
      <w:r>
        <w:rPr>
          <w:rFonts w:hint="eastAsia" w:ascii="仿宋" w:hAnsi="仿宋" w:eastAsia="仿宋" w:cs="仿宋"/>
          <w:sz w:val="32"/>
          <w:szCs w:val="32"/>
        </w:rPr>
        <w:t>做好驻村帮扶、科技扶贫</w:t>
      </w:r>
      <w:r>
        <w:rPr>
          <w:rFonts w:hint="eastAsia" w:ascii="仿宋" w:hAnsi="仿宋" w:eastAsia="仿宋" w:cs="仿宋"/>
          <w:sz w:val="32"/>
          <w:szCs w:val="32"/>
          <w:lang w:val="en-US" w:eastAsia="zh-CN"/>
        </w:rPr>
        <w:t>等；抓好工业企业三供一业改造，区属企业改制，区属企业困难职工帮扶等</w:t>
      </w:r>
    </w:p>
    <w:p>
      <w:pPr>
        <w:pStyle w:val="17"/>
        <w:keepNext w:val="0"/>
        <w:keepLines w:val="0"/>
        <w:pageBreakBefore w:val="0"/>
        <w:widowControl w:val="0"/>
        <w:numPr>
          <w:ilvl w:val="0"/>
          <w:numId w:val="3"/>
        </w:numPr>
        <w:shd w:val="clear" w:color="auto" w:fill="auto"/>
        <w:tabs>
          <w:tab w:val="left" w:pos="1101"/>
        </w:tabs>
        <w:kinsoku/>
        <w:wordWrap/>
        <w:overflowPunct/>
        <w:topLinePunct w:val="0"/>
        <w:autoSpaceDE/>
        <w:autoSpaceDN/>
        <w:bidi w:val="0"/>
        <w:adjustRightInd/>
        <w:snapToGrid/>
        <w:spacing w:before="0" w:after="0" w:line="560" w:lineRule="exact"/>
        <w:ind w:left="130" w:leftChars="0" w:right="0" w:firstLine="500" w:firstLineChars="0"/>
        <w:jc w:val="both"/>
        <w:textAlignment w:val="auto"/>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t>部门整体支出规模、使用方向和主要内容、涉及范围等。</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left="500" w:leftChars="0" w:right="0" w:rightChars="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2020年区科工信局整体支出</w:t>
      </w:r>
      <w:bookmarkStart w:id="11" w:name="bookmark94"/>
      <w:r>
        <w:rPr>
          <w:rFonts w:hint="eastAsia" w:ascii="仿宋_GB2312" w:hAnsi="仿宋_GB2312" w:eastAsia="仿宋_GB2312" w:cs="仿宋_GB2312"/>
          <w:color w:val="000000"/>
          <w:spacing w:val="0"/>
          <w:w w:val="100"/>
          <w:position w:val="0"/>
          <w:sz w:val="32"/>
          <w:szCs w:val="32"/>
          <w:lang w:val="en-US" w:eastAsia="zh-CN"/>
        </w:rPr>
        <w:t>466.25万元，其中：基本支出209.67万元，项目支出256.58万元。一般公共预算财政拨款支出429.34万元，基本支出172.76万元，项目支出256.58万元。一般公共预算财政拨款人员经费支出167.47万元，公用经费支出5.28万元。项目支出中2020年衡阳市科技计划项目支出200万元，区科技基金项目支出9万元，区属企业困难职工扶助金支出6万元，科技服务能力提升支出10万元。市支持中小企业发展和管理专项资金支出28.7万元，招商引资专项工作支出2.88万元</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left="500" w:leftChars="0" w:right="0" w:right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二</w:t>
      </w:r>
      <w:bookmarkEnd w:id="11"/>
      <w:r>
        <w:rPr>
          <w:rFonts w:hint="eastAsia" w:ascii="仿宋_GB2312" w:hAnsi="仿宋_GB2312" w:eastAsia="仿宋_GB2312" w:cs="仿宋_GB2312"/>
          <w:b/>
          <w:bCs/>
          <w:color w:val="000000"/>
          <w:spacing w:val="0"/>
          <w:w w:val="100"/>
          <w:position w:val="0"/>
          <w:sz w:val="32"/>
          <w:szCs w:val="32"/>
        </w:rPr>
        <w:t>、部门整体支出管理及使用情况</w:t>
      </w:r>
    </w:p>
    <w:p>
      <w:pPr>
        <w:pStyle w:val="1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right="0" w:firstLine="500"/>
        <w:jc w:val="left"/>
        <w:textAlignment w:val="auto"/>
        <w:rPr>
          <w:rFonts w:hint="eastAsia" w:ascii="仿宋_GB2312" w:hAnsi="仿宋_GB2312" w:eastAsia="仿宋_GB2312" w:cs="仿宋_GB2312"/>
          <w:sz w:val="32"/>
          <w:szCs w:val="32"/>
        </w:rPr>
      </w:pPr>
      <w:bookmarkStart w:id="12" w:name="bookmark95"/>
      <w:r>
        <w:rPr>
          <w:rFonts w:hint="eastAsia" w:ascii="仿宋_GB2312" w:hAnsi="仿宋_GB2312" w:eastAsia="仿宋_GB2312" w:cs="仿宋_GB2312"/>
          <w:color w:val="000000"/>
          <w:spacing w:val="0"/>
          <w:w w:val="100"/>
          <w:position w:val="0"/>
          <w:sz w:val="32"/>
          <w:szCs w:val="32"/>
        </w:rPr>
        <w:t>（</w:t>
      </w:r>
      <w:bookmarkEnd w:id="12"/>
      <w:r>
        <w:rPr>
          <w:rFonts w:hint="eastAsia" w:ascii="仿宋_GB2312" w:hAnsi="仿宋_GB2312" w:eastAsia="仿宋_GB2312" w:cs="仿宋_GB2312"/>
          <w:color w:val="000000"/>
          <w:spacing w:val="0"/>
          <w:w w:val="100"/>
          <w:position w:val="0"/>
          <w:sz w:val="32"/>
          <w:szCs w:val="32"/>
        </w:rPr>
        <w:t>一）基本支出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bookmarkStart w:id="13" w:name="bookmark96"/>
      <w:r>
        <w:rPr>
          <w:rFonts w:hint="eastAsia" w:ascii="仿宋" w:hAnsi="仿宋" w:eastAsia="仿宋" w:cs="仿宋"/>
          <w:color w:val="000000"/>
          <w:spacing w:val="0"/>
          <w:w w:val="100"/>
          <w:position w:val="0"/>
          <w:sz w:val="32"/>
          <w:szCs w:val="32"/>
          <w:lang w:val="en-US" w:eastAsia="zh-CN"/>
        </w:rPr>
        <w:t>2019年区科工信局</w:t>
      </w:r>
      <w:r>
        <w:rPr>
          <w:rFonts w:hint="eastAsia" w:ascii="仿宋" w:hAnsi="仿宋" w:eastAsia="仿宋" w:cs="仿宋"/>
          <w:color w:val="000000"/>
          <w:spacing w:val="0"/>
          <w:w w:val="100"/>
          <w:position w:val="0"/>
          <w:sz w:val="32"/>
          <w:szCs w:val="32"/>
          <w:lang w:eastAsia="zh-CN"/>
        </w:rPr>
        <w:t>基本支出</w:t>
      </w:r>
      <w:r>
        <w:rPr>
          <w:rFonts w:hint="eastAsia" w:ascii="仿宋" w:hAnsi="仿宋" w:eastAsia="仿宋" w:cs="仿宋"/>
          <w:color w:val="000000"/>
          <w:spacing w:val="0"/>
          <w:w w:val="100"/>
          <w:position w:val="0"/>
          <w:sz w:val="32"/>
          <w:szCs w:val="32"/>
          <w:lang w:val="en-US" w:eastAsia="zh-CN"/>
        </w:rPr>
        <w:t>197.08万元，其中人员经费 179.84万元，日常公用经费17.24万元，其中：工资、津贴补贴、十三个月工资、绩效奖等工资福利支出121.63万元，</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11.52</w:t>
      </w:r>
      <w:r>
        <w:rPr>
          <w:rFonts w:hint="eastAsia" w:ascii="仿宋" w:hAnsi="仿宋" w:eastAsia="仿宋" w:cs="仿宋"/>
          <w:color w:val="000000"/>
          <w:spacing w:val="0"/>
          <w:w w:val="100"/>
          <w:position w:val="0"/>
          <w:sz w:val="32"/>
          <w:szCs w:val="32"/>
          <w:lang w:val="en-US" w:eastAsia="zh-CN"/>
        </w:rPr>
        <w:t>万元，</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14.01</w:t>
      </w:r>
      <w:r>
        <w:rPr>
          <w:rFonts w:hint="eastAsia" w:ascii="仿宋" w:hAnsi="仿宋" w:eastAsia="仿宋" w:cs="仿宋"/>
          <w:color w:val="000000"/>
          <w:spacing w:val="0"/>
          <w:w w:val="100"/>
          <w:position w:val="0"/>
          <w:sz w:val="32"/>
          <w:szCs w:val="32"/>
          <w:lang w:val="en-US" w:eastAsia="zh-CN"/>
        </w:rPr>
        <w:t>万元，住房公积金支出9.2万元。“三公”经费支出2.68万元，其中：公务接待费2.68万元。</w:t>
      </w:r>
    </w:p>
    <w:p>
      <w:pPr>
        <w:pStyle w:val="1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right="0" w:firstLine="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bookmarkEnd w:id="13"/>
      <w:r>
        <w:rPr>
          <w:rFonts w:hint="eastAsia" w:ascii="仿宋_GB2312" w:hAnsi="仿宋_GB2312" w:eastAsia="仿宋_GB2312" w:cs="仿宋_GB2312"/>
          <w:color w:val="000000"/>
          <w:spacing w:val="0"/>
          <w:w w:val="100"/>
          <w:position w:val="0"/>
          <w:sz w:val="32"/>
          <w:szCs w:val="32"/>
        </w:rPr>
        <w:t>二）项目支出</w:t>
      </w:r>
    </w:p>
    <w:p>
      <w:pPr>
        <w:pStyle w:val="1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项目资金（包括财政资金、自筹资金等）安排落实、总投入等情况分析。</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2019年区财政安排预算内项目资金20万元，其中：科技基金10万元， 区属企业困难职工扶助金6万元，防震减灾经费2万元，企业改制工作经费2万元。科技基金主要用于开展科普宣传，科技服务能力提升等，区属企业困难职工扶助金用于帮扶区属改制企业困难职工的生活补助，防震减灾用于防震减灾宣传，企业改制工作经费用于推进企业改制工作的开支。都进行了专项核算。年中安排了10万元的科技专家服务团工作经费和10万元的科技服务能力提升专项工作经费。</w:t>
      </w:r>
    </w:p>
    <w:p>
      <w:pPr>
        <w:pStyle w:val="17"/>
        <w:keepNext w:val="0"/>
        <w:keepLines w:val="0"/>
        <w:pageBreakBefore w:val="0"/>
        <w:widowControl w:val="0"/>
        <w:numPr>
          <w:ilvl w:val="0"/>
          <w:numId w:val="4"/>
        </w:numPr>
        <w:shd w:val="clear" w:color="auto" w:fill="auto"/>
        <w:tabs>
          <w:tab w:val="left" w:pos="76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项目资金（主要指财政资金）实际使用情况分析。</w:t>
      </w:r>
    </w:p>
    <w:p>
      <w:pPr>
        <w:pStyle w:val="17"/>
        <w:keepNext w:val="0"/>
        <w:keepLines w:val="0"/>
        <w:pageBreakBefore w:val="0"/>
        <w:widowControl w:val="0"/>
        <w:numPr>
          <w:ilvl w:val="0"/>
          <w:numId w:val="0"/>
        </w:numPr>
        <w:shd w:val="clear" w:color="auto" w:fill="auto"/>
        <w:tabs>
          <w:tab w:val="left" w:pos="76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项目支出中科技基金支出10万元，区属企业困难职工扶助金支出6万元，防震减灾经费支出2万元，企业改制支出2万元，科技专家服务团专项工作支出10万元，科技服务能力提升支出4。56万元</w:t>
      </w:r>
    </w:p>
    <w:p>
      <w:pPr>
        <w:pStyle w:val="17"/>
        <w:keepNext w:val="0"/>
        <w:keepLines w:val="0"/>
        <w:pageBreakBefore w:val="0"/>
        <w:widowControl w:val="0"/>
        <w:numPr>
          <w:ilvl w:val="0"/>
          <w:numId w:val="0"/>
        </w:numPr>
        <w:shd w:val="clear" w:color="auto" w:fill="auto"/>
        <w:tabs>
          <w:tab w:val="left" w:pos="77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我局严格按照《预算法》、《行政单位财务制度》等管理制度执行，按规定使用项目资金，专款专用，不存在超范围超标准支出、转移资金、挤占挪用等违法违规问题。</w:t>
      </w:r>
    </w:p>
    <w:p>
      <w:pPr>
        <w:pStyle w:val="17"/>
        <w:keepNext w:val="0"/>
        <w:keepLines w:val="0"/>
        <w:pageBreakBefore w:val="0"/>
        <w:widowControl w:val="0"/>
        <w:numPr>
          <w:ilvl w:val="0"/>
          <w:numId w:val="0"/>
        </w:numPr>
        <w:shd w:val="clear" w:color="auto" w:fill="auto"/>
        <w:tabs>
          <w:tab w:val="left" w:pos="770"/>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right="0"/>
        <w:jc w:val="left"/>
        <w:textAlignment w:val="auto"/>
        <w:rPr>
          <w:rFonts w:hint="eastAsia" w:ascii="仿宋_GB2312" w:hAnsi="仿宋_GB2312" w:eastAsia="仿宋_GB2312" w:cs="仿宋_GB2312"/>
          <w:b/>
          <w:bCs/>
          <w:color w:val="auto"/>
          <w:sz w:val="32"/>
          <w:szCs w:val="32"/>
        </w:rPr>
      </w:pPr>
      <w:bookmarkStart w:id="14" w:name="bookmark100"/>
      <w:r>
        <w:rPr>
          <w:rFonts w:hint="eastAsia" w:ascii="仿宋_GB2312" w:hAnsi="仿宋_GB2312" w:eastAsia="仿宋_GB2312" w:cs="仿宋_GB2312"/>
          <w:b/>
          <w:bCs/>
          <w:color w:val="auto"/>
          <w:spacing w:val="0"/>
          <w:w w:val="100"/>
          <w:position w:val="0"/>
          <w:sz w:val="32"/>
          <w:szCs w:val="32"/>
        </w:rPr>
        <w:t>三</w:t>
      </w:r>
      <w:bookmarkEnd w:id="14"/>
      <w:r>
        <w:rPr>
          <w:rFonts w:hint="eastAsia" w:ascii="仿宋_GB2312" w:hAnsi="仿宋_GB2312" w:eastAsia="仿宋_GB2312" w:cs="仿宋_GB2312"/>
          <w:b/>
          <w:bCs/>
          <w:color w:val="auto"/>
          <w:spacing w:val="0"/>
          <w:w w:val="100"/>
          <w:position w:val="0"/>
          <w:sz w:val="32"/>
          <w:szCs w:val="32"/>
        </w:rPr>
        <w:t>、部门项目组织实施情况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（一）项目组织情况分析，主要包括项目招投标、调整、竣工验收等情况。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无。</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eastAsia="zh-CN"/>
        </w:rPr>
        <w:t>（二）</w:t>
      </w:r>
      <w:r>
        <w:rPr>
          <w:rFonts w:hint="eastAsia" w:ascii="仿宋_GB2312" w:hAnsi="仿宋_GB2312" w:eastAsia="仿宋_GB2312" w:cs="仿宋_GB2312"/>
          <w:color w:val="auto"/>
          <w:spacing w:val="0"/>
          <w:w w:val="100"/>
          <w:position w:val="0"/>
          <w:sz w:val="32"/>
          <w:szCs w:val="32"/>
        </w:rPr>
        <w:t>项目管理情况分析，主要包括项目管理制度建设</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日常检查监督管理等情况。</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500" w:leftChars="0" w:right="0" w:rightChars="0"/>
        <w:jc w:val="both"/>
        <w:textAlignment w:val="auto"/>
        <w:rPr>
          <w:rFonts w:hint="eastAsia" w:ascii="仿宋_GB2312" w:hAnsi="仿宋_GB2312" w:eastAsia="仿宋_GB2312" w:cs="仿宋_GB2312"/>
          <w:color w:val="auto"/>
          <w:spacing w:val="0"/>
          <w:w w:val="100"/>
          <w:position w:val="0"/>
          <w:sz w:val="32"/>
          <w:szCs w:val="32"/>
          <w:lang w:eastAsia="zh-CN"/>
        </w:rPr>
      </w:pPr>
      <w:r>
        <w:rPr>
          <w:rFonts w:hint="eastAsia" w:ascii="仿宋_GB2312" w:hAnsi="仿宋_GB2312" w:eastAsia="仿宋_GB2312" w:cs="仿宋_GB2312"/>
          <w:color w:val="auto"/>
          <w:spacing w:val="0"/>
          <w:w w:val="100"/>
          <w:position w:val="0"/>
          <w:sz w:val="32"/>
          <w:szCs w:val="32"/>
          <w:lang w:eastAsia="zh-CN"/>
        </w:rPr>
        <w:t>无。</w:t>
      </w:r>
    </w:p>
    <w:p>
      <w:pPr>
        <w:pStyle w:val="1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auto"/>
          <w:sz w:val="32"/>
          <w:szCs w:val="32"/>
        </w:rPr>
      </w:pPr>
      <w:bookmarkStart w:id="15" w:name="bookmark101"/>
      <w:r>
        <w:rPr>
          <w:rFonts w:hint="eastAsia" w:ascii="仿宋_GB2312" w:hAnsi="仿宋_GB2312" w:eastAsia="仿宋_GB2312" w:cs="仿宋_GB2312"/>
          <w:b/>
          <w:bCs/>
          <w:color w:val="auto"/>
          <w:spacing w:val="0"/>
          <w:w w:val="100"/>
          <w:position w:val="0"/>
          <w:sz w:val="32"/>
          <w:szCs w:val="32"/>
        </w:rPr>
        <w:t>四</w:t>
      </w:r>
      <w:bookmarkEnd w:id="15"/>
      <w:r>
        <w:rPr>
          <w:rFonts w:hint="eastAsia" w:ascii="仿宋_GB2312" w:hAnsi="仿宋_GB2312" w:eastAsia="仿宋_GB2312" w:cs="仿宋_GB2312"/>
          <w:b/>
          <w:bCs/>
          <w:color w:val="auto"/>
          <w:spacing w:val="0"/>
          <w:w w:val="100"/>
          <w:position w:val="0"/>
          <w:sz w:val="32"/>
          <w:szCs w:val="32"/>
        </w:rPr>
        <w:t>、资产管理情况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pacing w:val="0"/>
          <w:w w:val="100"/>
          <w:position w:val="0"/>
          <w:sz w:val="32"/>
          <w:szCs w:val="32"/>
          <w:lang w:eastAsia="zh-CN"/>
        </w:rPr>
        <w:t>我局</w:t>
      </w:r>
      <w:r>
        <w:rPr>
          <w:rFonts w:hint="eastAsia" w:ascii="仿宋_GB2312" w:hAnsi="仿宋_GB2312" w:eastAsia="仿宋_GB2312" w:cs="仿宋_GB2312"/>
          <w:color w:val="auto"/>
          <w:spacing w:val="0"/>
          <w:w w:val="100"/>
          <w:position w:val="0"/>
          <w:sz w:val="32"/>
          <w:szCs w:val="32"/>
        </w:rPr>
        <w:t>资产的配置、管理、处置</w:t>
      </w:r>
      <w:r>
        <w:rPr>
          <w:rFonts w:hint="eastAsia" w:ascii="仿宋_GB2312" w:hAnsi="仿宋_GB2312" w:eastAsia="仿宋_GB2312" w:cs="仿宋_GB2312"/>
          <w:color w:val="auto"/>
          <w:spacing w:val="0"/>
          <w:w w:val="100"/>
          <w:position w:val="0"/>
          <w:sz w:val="32"/>
          <w:szCs w:val="32"/>
          <w:lang w:eastAsia="zh-CN"/>
        </w:rPr>
        <w:t>均按财政相关制度执行，安排专人负责固定资产管理，定期进行资产清查盘点、账实核对，及时处理报废资产，确保了国有资产安全完整。</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16" w:name="bookmark102"/>
      <w:r>
        <w:rPr>
          <w:rFonts w:hint="eastAsia" w:ascii="仿宋_GB2312" w:hAnsi="仿宋_GB2312" w:eastAsia="仿宋_GB2312" w:cs="仿宋_GB2312"/>
          <w:b/>
          <w:bCs/>
          <w:color w:val="000000"/>
          <w:spacing w:val="0"/>
          <w:w w:val="100"/>
          <w:position w:val="0"/>
          <w:sz w:val="32"/>
          <w:szCs w:val="32"/>
        </w:rPr>
        <w:t>五</w:t>
      </w:r>
      <w:bookmarkEnd w:id="16"/>
      <w:r>
        <w:rPr>
          <w:rFonts w:hint="eastAsia" w:ascii="仿宋_GB2312" w:hAnsi="仿宋_GB2312" w:eastAsia="仿宋_GB2312" w:cs="仿宋_GB2312"/>
          <w:b/>
          <w:bCs/>
          <w:color w:val="000000"/>
          <w:spacing w:val="0"/>
          <w:w w:val="100"/>
          <w:position w:val="0"/>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1.经济性分析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（1）（预算）控制情况。</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2020</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年我局各项经费控制在预算内，未超出预算支出。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（2）（预算）节约情况。截至201</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9</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年底，</w:t>
      </w:r>
      <w:r>
        <w:rPr>
          <w:rFonts w:hint="eastAsia" w:ascii="仿宋_GB2312" w:hAnsi="仿宋_GB2312" w:eastAsia="仿宋_GB2312" w:cs="仿宋_GB2312"/>
          <w:color w:val="000000"/>
          <w:spacing w:val="0"/>
          <w:w w:val="100"/>
          <w:position w:val="0"/>
          <w:sz w:val="32"/>
          <w:szCs w:val="32"/>
          <w:lang w:val="en-US" w:eastAsia="zh-CN"/>
        </w:rPr>
        <w:t>科技基金支出10万元，区属企业困难职工扶助金支出6万元，防震减灾经费支出2万元，企业改制支出2万元，预算内项目预算执行率100%。科技专家服务团专项工作支出10万元，科技服务能力提升支出4.56万元。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2.效率性分析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2019年全年</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各项工作任务圆满完成，各项目经费已经按计划使用，已达到预期使用目的，各项工作均高质量完成。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3.效益性分析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（1）预期目标完成程度。各项经费已按预期目标计划基本完成。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（2）对经济和社会的影响。</w:t>
      </w:r>
      <w:r>
        <w:rPr>
          <w:rFonts w:hint="eastAsia" w:ascii="仿宋" w:hAnsi="仿宋" w:eastAsia="仿宋" w:cs="仿宋"/>
          <w:kern w:val="2"/>
          <w:sz w:val="32"/>
          <w:szCs w:val="32"/>
          <w:u w:val="none"/>
          <w:shd w:val="clear" w:color="auto" w:fill="auto"/>
          <w:lang w:val="en-US" w:eastAsia="zh-CN" w:bidi="zh-CN"/>
        </w:rPr>
        <w:t>较好的完成了绩效考核、小康考核、乡村振兴、其他考核等各项考核指标。</w:t>
      </w:r>
      <w:r>
        <w:rPr>
          <w:rFonts w:hint="eastAsia" w:ascii="仿宋" w:hAnsi="仿宋" w:eastAsia="仿宋" w:cs="仿宋"/>
          <w:kern w:val="2"/>
          <w:sz w:val="32"/>
          <w:szCs w:val="32"/>
          <w:u w:val="none"/>
          <w:shd w:val="clear" w:color="auto" w:fill="auto"/>
          <w:lang w:val="zh-CN" w:eastAsia="zh-CN" w:bidi="zh-CN"/>
        </w:rPr>
        <w:t>全年地区生产总值(GDP)271.49亿元，比上年增长3.9%；全区共有规模以上工业企业23个，实现规模以上工业增加值增长4.8%，规模以上工业企业产销率达99.0%；</w:t>
      </w:r>
      <w:r>
        <w:rPr>
          <w:rFonts w:hint="eastAsia" w:ascii="仿宋" w:hAnsi="仿宋" w:eastAsia="仿宋" w:cs="仿宋"/>
          <w:kern w:val="2"/>
          <w:sz w:val="32"/>
          <w:szCs w:val="32"/>
          <w:u w:val="none"/>
          <w:shd w:val="clear" w:color="auto" w:fill="auto"/>
          <w:lang w:val="en-US" w:eastAsia="zh-CN" w:bidi="zh-CN"/>
        </w:rPr>
        <w:t>2020年我区全社会R&amp;D经费投入总量4.8亿元；培育高新技术企业6家；科技型中小企业入库15家；</w:t>
      </w:r>
      <w:r>
        <w:rPr>
          <w:rFonts w:hint="eastAsia" w:ascii="仿宋" w:hAnsi="仿宋" w:eastAsia="仿宋" w:cs="仿宋"/>
          <w:kern w:val="2"/>
          <w:sz w:val="32"/>
          <w:szCs w:val="32"/>
          <w:u w:val="none"/>
          <w:shd w:val="clear" w:color="auto" w:fill="auto"/>
          <w:lang w:val="zh-CN" w:eastAsia="zh-CN" w:bidi="zh-CN"/>
        </w:rPr>
        <w:t>全年实现高新技术产业增加值62.9亿元，增长10.7%；完成专利申请559项，其中实用新型申请量208件，外观设计申请量39件，年度发明专利申请量312件，年度授权3件，总有效发明专利378件；</w:t>
      </w:r>
      <w:r>
        <w:rPr>
          <w:rFonts w:hint="eastAsia" w:ascii="仿宋" w:hAnsi="仿宋" w:eastAsia="仿宋" w:cs="仿宋"/>
          <w:kern w:val="2"/>
          <w:sz w:val="32"/>
          <w:szCs w:val="32"/>
          <w:u w:val="none"/>
          <w:shd w:val="clear" w:color="auto" w:fill="auto"/>
          <w:lang w:val="en-US" w:eastAsia="zh-CN" w:bidi="zh-CN"/>
        </w:rPr>
        <w:t>争资跑项成果显著：2020年获得企业研发奖补资金382.63万元，市科技计划项目200万元，制造强省奖励类90万元，补助类130万元，省中小企业专项74万元，市中小企业发展专项资金201万元。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420"/>
        <w:jc w:val="both"/>
        <w:textAlignment w:val="auto"/>
        <w:rPr>
          <w:rFonts w:hint="eastAsia" w:ascii="仿宋_GB2312" w:hAnsi="仿宋_GB2312" w:eastAsia="仿宋_GB2312" w:cs="仿宋_GB2312"/>
          <w:color w:val="000000"/>
          <w:spacing w:val="0"/>
          <w:w w:val="100"/>
          <w:position w:val="0"/>
          <w:sz w:val="32"/>
          <w:szCs w:val="32"/>
        </w:rPr>
      </w:pPr>
    </w:p>
    <w:p>
      <w:pPr>
        <w:pStyle w:val="17"/>
        <w:keepNext w:val="0"/>
        <w:keepLines w:val="0"/>
        <w:pageBreakBefore w:val="0"/>
        <w:widowControl w:val="0"/>
        <w:numPr>
          <w:ilvl w:val="0"/>
          <w:numId w:val="5"/>
        </w:numPr>
        <w:shd w:val="clear" w:color="auto" w:fill="auto"/>
        <w:tabs>
          <w:tab w:val="left" w:pos="886"/>
        </w:tabs>
        <w:kinsoku/>
        <w:wordWrap/>
        <w:overflowPunct/>
        <w:topLinePunct w:val="0"/>
        <w:autoSpaceDE/>
        <w:autoSpaceDN/>
        <w:bidi w:val="0"/>
        <w:adjustRightInd/>
        <w:snapToGrid/>
        <w:spacing w:before="0" w:after="0" w:line="560" w:lineRule="exact"/>
        <w:ind w:left="0" w:right="0" w:firstLine="42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存在的主要问题</w:t>
      </w:r>
    </w:p>
    <w:p>
      <w:pPr>
        <w:pStyle w:val="1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left="420" w:leftChars="0" w:right="0" w:rightChars="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预算管理精细化有待提升，预算执行过程中存在着不同性质的资金中混用，增加了记账难度，资金使用有待进一步规范。</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560" w:lineRule="exact"/>
        <w:ind w:left="0" w:right="0" w:firstLine="420"/>
        <w:jc w:val="both"/>
        <w:textAlignment w:val="auto"/>
        <w:rPr>
          <w:rFonts w:hint="eastAsia" w:ascii="仿宋_GB2312" w:hAnsi="仿宋_GB2312" w:eastAsia="仿宋_GB2312" w:cs="仿宋_GB2312"/>
          <w:b/>
          <w:bCs/>
          <w:sz w:val="32"/>
          <w:szCs w:val="32"/>
        </w:rPr>
      </w:pPr>
      <w:bookmarkStart w:id="17" w:name="bookmark104"/>
      <w:r>
        <w:rPr>
          <w:rFonts w:hint="eastAsia" w:ascii="仿宋_GB2312" w:hAnsi="仿宋_GB2312" w:eastAsia="仿宋_GB2312" w:cs="仿宋_GB2312"/>
          <w:b/>
          <w:bCs/>
          <w:color w:val="000000"/>
          <w:spacing w:val="0"/>
          <w:w w:val="100"/>
          <w:position w:val="0"/>
          <w:sz w:val="32"/>
          <w:szCs w:val="32"/>
        </w:rPr>
        <w:t>七</w:t>
      </w:r>
      <w:bookmarkEnd w:id="17"/>
      <w:r>
        <w:rPr>
          <w:rFonts w:hint="eastAsia" w:ascii="仿宋_GB2312" w:hAnsi="仿宋_GB2312" w:eastAsia="仿宋_GB2312" w:cs="仿宋_GB2312"/>
          <w:b/>
          <w:bCs/>
          <w:color w:val="000000"/>
          <w:spacing w:val="0"/>
          <w:w w:val="100"/>
          <w:position w:val="0"/>
          <w:sz w:val="32"/>
          <w:szCs w:val="32"/>
        </w:rPr>
        <w:t>、改进措施和有关建议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pStyle w:val="3"/>
        <w:keepNext w:val="0"/>
        <w:keepLines w:val="0"/>
        <w:pageBreakBefore w:val="0"/>
        <w:widowControl w:val="0"/>
        <w:shd w:val="clear" w:color="auto"/>
        <w:kinsoku/>
        <w:wordWrap/>
        <w:overflowPunct/>
        <w:topLinePunct w:val="0"/>
        <w:autoSpaceDE/>
        <w:autoSpaceDN/>
        <w:bidi w:val="0"/>
        <w:adjustRightInd/>
        <w:snapToGrid/>
        <w:spacing w:line="560" w:lineRule="exact"/>
        <w:ind w:firstLine="585"/>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进一步健全和完善</w:t>
      </w:r>
      <w:r>
        <w:rPr>
          <w:rFonts w:hint="eastAsia" w:ascii="仿宋_GB2312" w:hAnsi="仿宋_GB2312" w:eastAsia="仿宋_GB2312" w:cs="仿宋_GB2312"/>
          <w:kern w:val="2"/>
          <w:sz w:val="32"/>
          <w:szCs w:val="32"/>
          <w:lang w:eastAsia="zh-CN"/>
        </w:rPr>
        <w:t>资产</w:t>
      </w:r>
      <w:r>
        <w:rPr>
          <w:rFonts w:hint="eastAsia" w:ascii="仿宋_GB2312" w:hAnsi="仿宋_GB2312" w:eastAsia="仿宋_GB2312" w:cs="仿宋_GB2312"/>
          <w:kern w:val="2"/>
          <w:sz w:val="32"/>
          <w:szCs w:val="32"/>
        </w:rPr>
        <w:t>管理制度及内部控制制度，创新管理手段，用新思路、新方法，改进完善</w:t>
      </w:r>
      <w:r>
        <w:rPr>
          <w:rFonts w:hint="eastAsia" w:ascii="仿宋_GB2312" w:hAnsi="仿宋_GB2312" w:eastAsia="仿宋_GB2312" w:cs="仿宋_GB2312"/>
          <w:kern w:val="2"/>
          <w:sz w:val="32"/>
          <w:szCs w:val="32"/>
          <w:lang w:eastAsia="zh-CN"/>
        </w:rPr>
        <w:t>资产</w:t>
      </w:r>
      <w:r>
        <w:rPr>
          <w:rFonts w:hint="eastAsia" w:ascii="仿宋_GB2312" w:hAnsi="仿宋_GB2312" w:eastAsia="仿宋_GB2312" w:cs="仿宋_GB2312"/>
          <w:kern w:val="2"/>
          <w:sz w:val="32"/>
          <w:szCs w:val="32"/>
        </w:rPr>
        <w:t>管理方法。</w:t>
      </w:r>
    </w:p>
    <w:p>
      <w:pPr>
        <w:pStyle w:val="3"/>
        <w:keepNext w:val="0"/>
        <w:keepLines w:val="0"/>
        <w:pageBreakBefore w:val="0"/>
        <w:widowControl w:val="0"/>
        <w:shd w:val="clear" w:color="auto"/>
        <w:kinsoku/>
        <w:wordWrap/>
        <w:overflowPunct/>
        <w:topLinePunct w:val="0"/>
        <w:autoSpaceDE/>
        <w:autoSpaceDN/>
        <w:bidi w:val="0"/>
        <w:adjustRightInd/>
        <w:snapToGrid/>
        <w:spacing w:line="560" w:lineRule="exact"/>
        <w:ind w:firstLine="585"/>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spacing w:line="1" w:lineRule="exact"/>
        <w:jc w:val="center"/>
        <w:rPr>
          <w:rFonts w:hint="eastAsia" w:ascii="宋体" w:hAnsi="宋体" w:eastAsia="宋体" w:cs="宋体"/>
          <w:sz w:val="18"/>
          <w:szCs w:val="18"/>
          <w:lang w:eastAsia="zh-CN"/>
        </w:rPr>
      </w:pPr>
    </w:p>
    <w:sectPr>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FEB67"/>
    <w:multiLevelType w:val="singleLevel"/>
    <w:tmpl w:val="ECBFEB67"/>
    <w:lvl w:ilvl="0" w:tentative="0">
      <w:start w:val="6"/>
      <w:numFmt w:val="chineseCounting"/>
      <w:suff w:val="nothing"/>
      <w:lvlText w:val="%1、"/>
      <w:lvlJc w:val="left"/>
      <w:rPr>
        <w:rFonts w:hint="eastAsia"/>
      </w:rPr>
    </w:lvl>
  </w:abstractNum>
  <w:abstractNum w:abstractNumId="1">
    <w:nsid w:val="F51E7F6B"/>
    <w:multiLevelType w:val="singleLevel"/>
    <w:tmpl w:val="F51E7F6B"/>
    <w:lvl w:ilvl="0" w:tentative="0">
      <w:start w:val="1"/>
      <w:numFmt w:val="decimal"/>
      <w:suff w:val="nothing"/>
      <w:lvlText w:val="%1、"/>
      <w:lvlJc w:val="left"/>
    </w:lvl>
  </w:abstractNum>
  <w:abstractNum w:abstractNumId="2">
    <w:nsid w:val="0AECB0E5"/>
    <w:multiLevelType w:val="singleLevel"/>
    <w:tmpl w:val="0AECB0E5"/>
    <w:lvl w:ilvl="0" w:tentative="0">
      <w:start w:val="2"/>
      <w:numFmt w:val="decimal"/>
      <w:suff w:val="nothing"/>
      <w:lvlText w:val="%1、"/>
      <w:lvlJc w:val="left"/>
    </w:lvl>
  </w:abstractNum>
  <w:abstractNum w:abstractNumId="3">
    <w:nsid w:val="6694FE7B"/>
    <w:multiLevelType w:val="singleLevel"/>
    <w:tmpl w:val="6694FE7B"/>
    <w:lvl w:ilvl="0" w:tentative="0">
      <w:start w:val="4"/>
      <w:numFmt w:val="decimal"/>
      <w:suff w:val="nothing"/>
      <w:lvlText w:val="%1、"/>
      <w:lvlJc w:val="left"/>
    </w:lvl>
  </w:abstractNum>
  <w:abstractNum w:abstractNumId="4">
    <w:nsid w:val="7A2D8E99"/>
    <w:multiLevelType w:val="singleLevel"/>
    <w:tmpl w:val="7A2D8E99"/>
    <w:lvl w:ilvl="0" w:tentative="0">
      <w:start w:val="2"/>
      <w:numFmt w:val="chineseCounting"/>
      <w:suff w:val="nothing"/>
      <w:lvlText w:val="（%1）"/>
      <w:lvlJc w:val="left"/>
      <w:pPr>
        <w:ind w:left="13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2312FDE"/>
    <w:rsid w:val="030A3C3B"/>
    <w:rsid w:val="03737E75"/>
    <w:rsid w:val="0C505A2A"/>
    <w:rsid w:val="0D6974DF"/>
    <w:rsid w:val="0DCF742F"/>
    <w:rsid w:val="15224E9F"/>
    <w:rsid w:val="1810076A"/>
    <w:rsid w:val="1CB55F50"/>
    <w:rsid w:val="1F6E185C"/>
    <w:rsid w:val="1FC35006"/>
    <w:rsid w:val="205265F0"/>
    <w:rsid w:val="236639AE"/>
    <w:rsid w:val="281F749A"/>
    <w:rsid w:val="290A0FAD"/>
    <w:rsid w:val="2A0222CB"/>
    <w:rsid w:val="2C8F18D7"/>
    <w:rsid w:val="2DF12EAF"/>
    <w:rsid w:val="33B015AE"/>
    <w:rsid w:val="375A4A11"/>
    <w:rsid w:val="380456FC"/>
    <w:rsid w:val="39BC1E30"/>
    <w:rsid w:val="39FE7598"/>
    <w:rsid w:val="3A365FAA"/>
    <w:rsid w:val="3A970F0F"/>
    <w:rsid w:val="3BE645DA"/>
    <w:rsid w:val="3F577654"/>
    <w:rsid w:val="40902688"/>
    <w:rsid w:val="423B1DB6"/>
    <w:rsid w:val="45DB5484"/>
    <w:rsid w:val="4999703E"/>
    <w:rsid w:val="4A8F126D"/>
    <w:rsid w:val="4B7F06A5"/>
    <w:rsid w:val="4D301426"/>
    <w:rsid w:val="4D625F91"/>
    <w:rsid w:val="527541A2"/>
    <w:rsid w:val="52E51199"/>
    <w:rsid w:val="54A5106A"/>
    <w:rsid w:val="56C81120"/>
    <w:rsid w:val="56EF6996"/>
    <w:rsid w:val="56F073BC"/>
    <w:rsid w:val="5B8E7E9F"/>
    <w:rsid w:val="5C222FD4"/>
    <w:rsid w:val="5D297D93"/>
    <w:rsid w:val="62513BD9"/>
    <w:rsid w:val="62696597"/>
    <w:rsid w:val="64492486"/>
    <w:rsid w:val="64F92503"/>
    <w:rsid w:val="67356573"/>
    <w:rsid w:val="688268EC"/>
    <w:rsid w:val="72206E63"/>
    <w:rsid w:val="749D2395"/>
    <w:rsid w:val="75227E34"/>
    <w:rsid w:val="7D6B6009"/>
    <w:rsid w:val="7EAD4C52"/>
    <w:rsid w:val="7F0A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微软雅黑" w:hAnsi="微软雅黑" w:eastAsia="微软雅黑" w:cs="微软雅黑"/>
      <w:sz w:val="14"/>
      <w:szCs w:val="1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paragraph" w:customStyle="1" w:styleId="1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8">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9">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0">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3">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4">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5">
    <w:name w:val="bsharetext"/>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流年</cp:lastModifiedBy>
  <cp:lastPrinted>2020-05-18T02:11:00Z</cp:lastPrinted>
  <dcterms:modified xsi:type="dcterms:W3CDTF">2021-11-11T01:22:34Z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C55E8A6AE3B648048CF1CC164DD9885D</vt:lpwstr>
  </property>
</Properties>
</file>