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keepNext w:val="0"/>
        <w:keepLines w:val="0"/>
        <w:widowControl w:val="0"/>
        <w:shd w:val="clear" w:color="auto" w:fill="auto"/>
        <w:bidi w:val="0"/>
        <w:spacing w:after="420" w:line="240" w:lineRule="auto"/>
        <w:ind w:left="0" w:leftChars="0" w:right="0" w:firstLine="0" w:firstLineChars="0"/>
        <w:jc w:val="left"/>
        <w:rPr>
          <w:rFonts w:hint="eastAsia" w:ascii="宋体" w:hAnsi="宋体" w:eastAsia="宋体" w:cs="宋体"/>
          <w:b w:val="0"/>
          <w:bCs w:val="0"/>
          <w:color w:val="000000"/>
          <w:spacing w:val="0"/>
          <w:w w:val="100"/>
          <w:position w:val="0"/>
          <w:sz w:val="32"/>
          <w:szCs w:val="32"/>
          <w:lang w:val="en-US" w:eastAsia="zh-CN" w:bidi="en-US"/>
        </w:rPr>
      </w:pPr>
      <w:r>
        <w:rPr>
          <w:rFonts w:hint="eastAsia" w:ascii="仿宋" w:hAnsi="仿宋" w:eastAsia="仿宋" w:cs="仿宋"/>
          <w:b w:val="0"/>
          <w:bCs w:val="0"/>
          <w:color w:val="000000"/>
          <w:spacing w:val="0"/>
          <w:w w:val="100"/>
          <w:kern w:val="2"/>
          <w:position w:val="0"/>
          <w:sz w:val="28"/>
          <w:szCs w:val="28"/>
          <w:u w:val="none"/>
          <w:shd w:val="clear" w:color="auto" w:fill="auto"/>
          <w:lang w:val="zh-CN" w:eastAsia="zh-CN" w:bidi="zh-CN"/>
        </w:rPr>
        <w:t>附件</w:t>
      </w:r>
      <w:r>
        <w:rPr>
          <w:rFonts w:hint="eastAsia" w:ascii="仿宋" w:hAnsi="仿宋" w:eastAsia="仿宋" w:cs="仿宋"/>
          <w:b w:val="0"/>
          <w:bCs w:val="0"/>
          <w:color w:val="000000"/>
          <w:spacing w:val="0"/>
          <w:w w:val="100"/>
          <w:kern w:val="2"/>
          <w:position w:val="0"/>
          <w:sz w:val="28"/>
          <w:szCs w:val="28"/>
          <w:u w:val="none"/>
          <w:shd w:val="clear" w:color="auto" w:fill="auto"/>
          <w:lang w:val="en-US" w:eastAsia="zh-CN" w:bidi="zh-CN"/>
        </w:rPr>
        <w:t>1</w:t>
      </w:r>
      <w:r>
        <w:rPr>
          <w:rFonts w:hint="eastAsia" w:ascii="仿宋" w:hAnsi="仿宋" w:eastAsia="仿宋" w:cs="仿宋"/>
          <w:b w:val="0"/>
          <w:bCs w:val="0"/>
          <w:color w:val="000000"/>
          <w:spacing w:val="0"/>
          <w:w w:val="100"/>
          <w:kern w:val="2"/>
          <w:position w:val="0"/>
          <w:sz w:val="28"/>
          <w:szCs w:val="28"/>
          <w:u w:val="none"/>
          <w:shd w:val="clear" w:color="auto" w:fill="auto"/>
          <w:lang w:val="en-US" w:eastAsia="en-US" w:bidi="zh-CN"/>
        </w:rPr>
        <w:t>-1</w:t>
      </w:r>
      <w:bookmarkStart w:id="0" w:name="bookmark84"/>
      <w:bookmarkStart w:id="1" w:name="bookmark83"/>
      <w:bookmarkStart w:id="2" w:name="bookmark82"/>
      <w:r>
        <w:rPr>
          <w:rFonts w:hint="eastAsia" w:ascii="仿宋" w:hAnsi="仿宋" w:eastAsia="仿宋" w:cs="仿宋"/>
          <w:b w:val="0"/>
          <w:bCs w:val="0"/>
          <w:color w:val="000000"/>
          <w:spacing w:val="0"/>
          <w:w w:val="100"/>
          <w:kern w:val="2"/>
          <w:position w:val="0"/>
          <w:sz w:val="28"/>
          <w:szCs w:val="28"/>
          <w:u w:val="none"/>
          <w:shd w:val="clear" w:color="auto" w:fill="auto"/>
          <w:lang w:val="en-US" w:eastAsia="zh-CN" w:bidi="zh-CN"/>
        </w:rPr>
        <w:t xml:space="preserve">  </w:t>
      </w:r>
      <w:r>
        <w:rPr>
          <w:rFonts w:hint="eastAsia" w:ascii="宋体" w:hAnsi="宋体" w:eastAsia="宋体" w:cs="宋体"/>
          <w:b w:val="0"/>
          <w:bCs w:val="0"/>
          <w:color w:val="000000"/>
          <w:spacing w:val="0"/>
          <w:w w:val="100"/>
          <w:position w:val="0"/>
          <w:sz w:val="32"/>
          <w:szCs w:val="32"/>
          <w:lang w:val="en-US" w:eastAsia="zh-CN" w:bidi="en-US"/>
        </w:rPr>
        <w:t xml:space="preserve"> </w:t>
      </w:r>
    </w:p>
    <w:p>
      <w:pPr>
        <w:pStyle w:val="23"/>
        <w:keepNext w:val="0"/>
        <w:keepLines w:val="0"/>
        <w:widowControl w:val="0"/>
        <w:shd w:val="clear" w:color="auto" w:fill="auto"/>
        <w:bidi w:val="0"/>
        <w:spacing w:after="420" w:line="240" w:lineRule="auto"/>
        <w:ind w:left="0" w:leftChars="0" w:right="0" w:firstLine="0" w:firstLineChars="0"/>
        <w:jc w:val="cente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pPr>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部</w:t>
      </w:r>
      <w:r>
        <w:rPr>
          <w:rFonts w:hint="eastAsia" w:ascii="Times New Roman" w:hAnsi="Times New Roman" w:eastAsia="仿宋" w:cs="Times New Roman"/>
          <w:b/>
          <w:bCs/>
          <w:color w:val="000000"/>
          <w:spacing w:val="0"/>
          <w:w w:val="100"/>
          <w:position w:val="0"/>
          <w:sz w:val="32"/>
          <w:szCs w:val="32"/>
          <w:u w:val="none"/>
          <w:shd w:val="clear" w:color="auto" w:fill="auto"/>
          <w:lang w:val="en-US" w:eastAsia="zh-CN" w:bidi="zh-CN"/>
        </w:rPr>
        <w:t>门</w:t>
      </w:r>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整体支出绩效评价指标表</w:t>
      </w:r>
      <w:bookmarkEnd w:id="0"/>
      <w:bookmarkEnd w:id="1"/>
      <w:bookmarkEnd w:id="2"/>
    </w:p>
    <w:tbl>
      <w:tblPr>
        <w:tblStyle w:val="8"/>
        <w:tblW w:w="9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49"/>
        <w:gridCol w:w="543"/>
        <w:gridCol w:w="366"/>
        <w:gridCol w:w="666"/>
        <w:gridCol w:w="936"/>
        <w:gridCol w:w="398"/>
        <w:gridCol w:w="2704"/>
        <w:gridCol w:w="3178"/>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72" w:hRule="exact"/>
          <w:jc w:val="center"/>
        </w:trPr>
        <w:tc>
          <w:tcPr>
            <w:tcW w:w="349" w:type="dxa"/>
            <w:shd w:val="clear" w:color="auto" w:fill="FFFFFF"/>
            <w:vAlign w:val="bottom"/>
          </w:tcPr>
          <w:p>
            <w:pPr>
              <w:pStyle w:val="24"/>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一</w:t>
            </w:r>
            <w:r>
              <w:rPr>
                <w:rFonts w:hint="eastAsia" w:ascii="宋体" w:hAnsi="宋体" w:eastAsia="宋体" w:cs="宋体"/>
                <w:color w:val="000000"/>
                <w:spacing w:val="0"/>
                <w:w w:val="100"/>
                <w:position w:val="0"/>
                <w:sz w:val="18"/>
                <w:szCs w:val="18"/>
              </w:rPr>
              <w:t>级 指 标</w:t>
            </w:r>
          </w:p>
        </w:tc>
        <w:tc>
          <w:tcPr>
            <w:tcW w:w="543" w:type="dxa"/>
            <w:shd w:val="clear" w:color="auto" w:fill="FFFFFF"/>
            <w:vAlign w:val="center"/>
          </w:tcPr>
          <w:p>
            <w:pPr>
              <w:pStyle w:val="24"/>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366" w:type="dxa"/>
            <w:shd w:val="clear" w:color="auto" w:fill="FFFFFF"/>
            <w:vAlign w:val="bottom"/>
          </w:tcPr>
          <w:p>
            <w:pPr>
              <w:pStyle w:val="24"/>
              <w:keepNext w:val="0"/>
              <w:keepLines w:val="0"/>
              <w:widowControl w:val="0"/>
              <w:shd w:val="clear" w:color="auto" w:fill="auto"/>
              <w:bidi w:val="0"/>
              <w:spacing w:before="0" w:after="0" w:line="312"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二</w:t>
            </w:r>
            <w:r>
              <w:rPr>
                <w:rFonts w:hint="eastAsia" w:ascii="宋体" w:hAnsi="宋体" w:eastAsia="宋体" w:cs="宋体"/>
                <w:color w:val="000000"/>
                <w:spacing w:val="0"/>
                <w:w w:val="100"/>
                <w:position w:val="0"/>
                <w:sz w:val="18"/>
                <w:szCs w:val="18"/>
              </w:rPr>
              <w:t>级 指 标</w:t>
            </w:r>
          </w:p>
        </w:tc>
        <w:tc>
          <w:tcPr>
            <w:tcW w:w="666" w:type="dxa"/>
            <w:shd w:val="clear" w:color="auto" w:fill="FFFFFF"/>
            <w:vAlign w:val="center"/>
          </w:tcPr>
          <w:p>
            <w:pPr>
              <w:pStyle w:val="24"/>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936" w:type="dxa"/>
            <w:shd w:val="clear" w:color="auto" w:fill="FFFFFF"/>
            <w:vAlign w:val="center"/>
          </w:tcPr>
          <w:p>
            <w:pPr>
              <w:pStyle w:val="24"/>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三级指标</w:t>
            </w:r>
          </w:p>
        </w:tc>
        <w:tc>
          <w:tcPr>
            <w:tcW w:w="398" w:type="dxa"/>
            <w:shd w:val="clear" w:color="auto" w:fill="FFFFFF"/>
            <w:vAlign w:val="center"/>
          </w:tcPr>
          <w:p>
            <w:pPr>
              <w:pStyle w:val="24"/>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704" w:type="dxa"/>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3178" w:type="dxa"/>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732" w:type="dxa"/>
            <w:shd w:val="clear" w:color="auto" w:fill="FFFFFF"/>
            <w:vAlign w:val="center"/>
          </w:tcPr>
          <w:p>
            <w:pPr>
              <w:pStyle w:val="24"/>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53" w:hRule="exact"/>
          <w:jc w:val="center"/>
        </w:trPr>
        <w:tc>
          <w:tcPr>
            <w:tcW w:w="349" w:type="dxa"/>
            <w:vMerge w:val="restart"/>
            <w:shd w:val="clear" w:color="auto" w:fill="FFFFFF"/>
            <w:vAlign w:val="center"/>
          </w:tcPr>
          <w:p>
            <w:pPr>
              <w:pStyle w:val="24"/>
              <w:keepNext w:val="0"/>
              <w:keepLines w:val="0"/>
              <w:widowControl w:val="0"/>
              <w:shd w:val="clear" w:color="auto" w:fill="auto"/>
              <w:bidi w:val="0"/>
              <w:spacing w:before="0" w:after="8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投</w:t>
            </w:r>
          </w:p>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入</w:t>
            </w:r>
          </w:p>
        </w:tc>
        <w:tc>
          <w:tcPr>
            <w:tcW w:w="543" w:type="dxa"/>
            <w:vMerge w:val="restart"/>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13</w:t>
            </w:r>
          </w:p>
        </w:tc>
        <w:tc>
          <w:tcPr>
            <w:tcW w:w="366" w:type="dxa"/>
            <w:vMerge w:val="restart"/>
            <w:shd w:val="clear" w:color="auto" w:fill="FFFFFF"/>
            <w:vAlign w:val="center"/>
          </w:tcPr>
          <w:p>
            <w:pPr>
              <w:pStyle w:val="24"/>
              <w:keepNext w:val="0"/>
              <w:keepLines w:val="0"/>
              <w:widowControl w:val="0"/>
              <w:shd w:val="clear" w:color="auto" w:fill="auto"/>
              <w:bidi w:val="0"/>
              <w:spacing w:before="0" w:after="0" w:line="310"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 算 配 置</w:t>
            </w:r>
          </w:p>
        </w:tc>
        <w:tc>
          <w:tcPr>
            <w:tcW w:w="666" w:type="dxa"/>
            <w:vMerge w:val="restart"/>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13</w:t>
            </w:r>
          </w:p>
        </w:tc>
        <w:tc>
          <w:tcPr>
            <w:tcW w:w="936" w:type="dxa"/>
            <w:shd w:val="clear" w:color="auto" w:fill="FFFFFF"/>
            <w:vAlign w:val="center"/>
          </w:tcPr>
          <w:p>
            <w:pPr>
              <w:pStyle w:val="24"/>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在职人员控制率</w:t>
            </w:r>
          </w:p>
        </w:tc>
        <w:tc>
          <w:tcPr>
            <w:tcW w:w="398" w:type="dxa"/>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shd w:val="clear" w:color="auto" w:fill="FFFFFF"/>
            <w:vAlign w:val="center"/>
          </w:tcPr>
          <w:p>
            <w:pPr>
              <w:pStyle w:val="24"/>
              <w:keepNext w:val="0"/>
              <w:keepLines w:val="0"/>
              <w:widowControl w:val="0"/>
              <w:shd w:val="clear" w:color="auto" w:fill="auto"/>
              <w:bidi w:val="0"/>
              <w:spacing w:before="0" w:after="0" w:line="314"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以</w:t>
            </w: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为标准。</w:t>
            </w:r>
          </w:p>
          <w:p>
            <w:pPr>
              <w:pStyle w:val="24"/>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在职人员控制率</w:t>
            </w:r>
            <w:r>
              <w:rPr>
                <w:rFonts w:hint="eastAsia" w:ascii="宋体" w:hAnsi="宋体" w:eastAsia="宋体" w:cs="宋体"/>
                <w:b/>
                <w:bCs/>
                <w:color w:val="000000"/>
                <w:spacing w:val="0"/>
                <w:w w:val="100"/>
                <w:position w:val="0"/>
                <w:sz w:val="18"/>
                <w:szCs w:val="18"/>
                <w:lang w:val="en-US" w:eastAsia="en-US" w:bidi="en-US"/>
              </w:rPr>
              <w:t xml:space="preserve">≦ </w:t>
            </w: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分；每超过一个百分点扣</w:t>
            </w:r>
            <w:r>
              <w:rPr>
                <w:rFonts w:hint="eastAsia" w:ascii="宋体" w:hAnsi="宋体" w:eastAsia="宋体" w:cs="宋体"/>
                <w:b/>
                <w:bCs/>
                <w:color w:val="000000"/>
                <w:spacing w:val="0"/>
                <w:w w:val="100"/>
                <w:position w:val="0"/>
                <w:sz w:val="18"/>
                <w:szCs w:val="18"/>
                <w:lang w:val="en-US" w:eastAsia="en-US" w:bidi="en-US"/>
              </w:rPr>
              <w:t>0.5</w:t>
            </w:r>
            <w:r>
              <w:rPr>
                <w:rFonts w:hint="eastAsia" w:ascii="宋体" w:hAnsi="宋体" w:eastAsia="宋体" w:cs="宋体"/>
                <w:color w:val="000000"/>
                <w:spacing w:val="0"/>
                <w:w w:val="100"/>
                <w:position w:val="0"/>
                <w:sz w:val="18"/>
                <w:szCs w:val="18"/>
              </w:rPr>
              <w:t>分，扣完为止。</w:t>
            </w:r>
          </w:p>
        </w:tc>
        <w:tc>
          <w:tcPr>
            <w:tcW w:w="3178" w:type="dxa"/>
            <w:shd w:val="clear" w:color="auto" w:fill="FFFFFF"/>
            <w:vAlign w:val="center"/>
          </w:tcPr>
          <w:p>
            <w:pPr>
              <w:pStyle w:val="24"/>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在职人员控制率=（在职人员数/ 编制数）×</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color w:val="000000"/>
                <w:spacing w:val="0"/>
                <w:w w:val="100"/>
                <w:position w:val="0"/>
                <w:sz w:val="18"/>
                <w:szCs w:val="18"/>
              </w:rPr>
              <w:t>在职人员数： 部门（单位）实际在职人数，以 财政部门确定的部门决算编制口径为准。</w:t>
            </w:r>
          </w:p>
          <w:p>
            <w:pPr>
              <w:pStyle w:val="24"/>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编制数：机构编制部门核定批复的部门（单位）的人员编制数。</w:t>
            </w:r>
          </w:p>
        </w:tc>
        <w:tc>
          <w:tcPr>
            <w:tcW w:w="732" w:type="dxa"/>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21" w:hRule="exact"/>
          <w:jc w:val="center"/>
        </w:trPr>
        <w:tc>
          <w:tcPr>
            <w:tcW w:w="349" w:type="dxa"/>
            <w:vMerge w:val="continue"/>
            <w:shd w:val="clear" w:color="auto" w:fill="FFFFFF"/>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5</w:t>
            </w:r>
          </w:p>
        </w:tc>
        <w:tc>
          <w:tcPr>
            <w:tcW w:w="543" w:type="dxa"/>
            <w:vMerge w:val="continue"/>
            <w:shd w:val="clear" w:color="auto" w:fill="FFFFFF"/>
            <w:vAlign w:val="center"/>
          </w:tcPr>
          <w:p>
            <w:pPr>
              <w:jc w:val="center"/>
              <w:rPr>
                <w:rFonts w:hint="eastAsia" w:ascii="宋体" w:hAnsi="宋体" w:eastAsia="宋体" w:cs="宋体"/>
                <w:sz w:val="18"/>
                <w:szCs w:val="18"/>
              </w:rPr>
            </w:pPr>
          </w:p>
        </w:tc>
        <w:tc>
          <w:tcPr>
            <w:tcW w:w="366" w:type="dxa"/>
            <w:vMerge w:val="continue"/>
            <w:shd w:val="clear" w:color="auto" w:fill="FFFFFF"/>
            <w:vAlign w:val="center"/>
          </w:tcPr>
          <w:p>
            <w:pPr>
              <w:jc w:val="center"/>
              <w:rPr>
                <w:rFonts w:hint="eastAsia" w:ascii="宋体" w:hAnsi="宋体" w:eastAsia="宋体" w:cs="宋体"/>
                <w:sz w:val="18"/>
                <w:szCs w:val="18"/>
              </w:rPr>
            </w:pPr>
          </w:p>
        </w:tc>
        <w:tc>
          <w:tcPr>
            <w:tcW w:w="666" w:type="dxa"/>
            <w:vMerge w:val="continue"/>
            <w:shd w:val="clear" w:color="auto" w:fill="FFFFFF"/>
            <w:vAlign w:val="center"/>
          </w:tcPr>
          <w:p>
            <w:pPr>
              <w:jc w:val="center"/>
              <w:rPr>
                <w:rFonts w:hint="eastAsia" w:ascii="宋体" w:hAnsi="宋体" w:eastAsia="宋体" w:cs="宋体"/>
                <w:sz w:val="18"/>
                <w:szCs w:val="18"/>
              </w:rPr>
            </w:pPr>
          </w:p>
        </w:tc>
        <w:tc>
          <w:tcPr>
            <w:tcW w:w="936" w:type="dxa"/>
            <w:shd w:val="clear" w:color="auto" w:fill="FFFFFF"/>
            <w:vAlign w:val="center"/>
          </w:tcPr>
          <w:p>
            <w:pPr>
              <w:pStyle w:val="24"/>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 经费变动率</w:t>
            </w:r>
          </w:p>
        </w:tc>
        <w:tc>
          <w:tcPr>
            <w:tcW w:w="398" w:type="dxa"/>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704" w:type="dxa"/>
            <w:shd w:val="clear" w:color="auto" w:fill="FFFFFF"/>
            <w:vAlign w:val="center"/>
          </w:tcPr>
          <w:p>
            <w:pPr>
              <w:pStyle w:val="24"/>
              <w:keepNext w:val="0"/>
              <w:keepLines w:val="0"/>
              <w:widowControl w:val="0"/>
              <w:shd w:val="clear" w:color="auto" w:fill="auto"/>
              <w:bidi w:val="0"/>
              <w:spacing w:before="0" w:after="0" w:line="318"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“三公经费”变动率</w:t>
            </w:r>
            <w:r>
              <w:rPr>
                <w:rFonts w:hint="eastAsia" w:ascii="宋体" w:hAnsi="宋体" w:eastAsia="宋体" w:cs="宋体"/>
                <w:b/>
                <w:bCs/>
                <w:color w:val="000000"/>
                <w:spacing w:val="0"/>
                <w:w w:val="100"/>
                <w:position w:val="0"/>
                <w:sz w:val="18"/>
                <w:szCs w:val="18"/>
                <w:lang w:val="en-US" w:eastAsia="en-US" w:bidi="en-US"/>
              </w:rPr>
              <w:t>≦0,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 xml:space="preserve">8 </w:t>
            </w:r>
            <w:r>
              <w:rPr>
                <w:rFonts w:hint="eastAsia" w:ascii="宋体" w:hAnsi="宋体" w:eastAsia="宋体" w:cs="宋体"/>
                <w:color w:val="000000"/>
                <w:spacing w:val="0"/>
                <w:w w:val="100"/>
                <w:position w:val="0"/>
                <w:sz w:val="18"/>
                <w:szCs w:val="18"/>
              </w:rPr>
              <w:t>分；“三公经费</w:t>
            </w:r>
            <w:r>
              <w:rPr>
                <w:rFonts w:hint="eastAsia" w:ascii="宋体" w:hAnsi="宋体" w:eastAsia="宋体" w:cs="宋体"/>
                <w:b/>
                <w:bCs/>
                <w:color w:val="000000"/>
                <w:spacing w:val="0"/>
                <w:w w:val="100"/>
                <w:position w:val="0"/>
                <w:sz w:val="18"/>
                <w:szCs w:val="18"/>
              </w:rPr>
              <w:t>”&gt;0,</w:t>
            </w:r>
            <w:r>
              <w:rPr>
                <w:rFonts w:hint="eastAsia" w:ascii="宋体" w:hAnsi="宋体" w:eastAsia="宋体" w:cs="宋体"/>
                <w:color w:val="000000"/>
                <w:spacing w:val="0"/>
                <w:w w:val="100"/>
                <w:position w:val="0"/>
                <w:sz w:val="18"/>
                <w:szCs w:val="18"/>
              </w:rPr>
              <w:t>每超过 一个百分点扣</w:t>
            </w:r>
            <w:r>
              <w:rPr>
                <w:rFonts w:hint="eastAsia" w:ascii="宋体" w:hAnsi="宋体" w:eastAsia="宋体" w:cs="宋体"/>
                <w:b/>
                <w:bCs/>
                <w:color w:val="000000"/>
                <w:spacing w:val="0"/>
                <w:w w:val="100"/>
                <w:position w:val="0"/>
                <w:sz w:val="18"/>
                <w:szCs w:val="18"/>
                <w:lang w:val="en-US" w:eastAsia="en-US" w:bidi="en-US"/>
              </w:rPr>
              <w:t>0.8</w:t>
            </w:r>
            <w:r>
              <w:rPr>
                <w:rFonts w:hint="eastAsia" w:ascii="宋体" w:hAnsi="宋体" w:eastAsia="宋体" w:cs="宋体"/>
                <w:color w:val="000000"/>
                <w:spacing w:val="0"/>
                <w:w w:val="100"/>
                <w:position w:val="0"/>
                <w:sz w:val="18"/>
                <w:szCs w:val="18"/>
              </w:rPr>
              <w:t>分，扣完为止。</w:t>
            </w:r>
          </w:p>
        </w:tc>
        <w:tc>
          <w:tcPr>
            <w:tcW w:w="3178" w:type="dxa"/>
            <w:shd w:val="clear" w:color="auto" w:fill="FFFFFF"/>
            <w:vAlign w:val="center"/>
          </w:tcPr>
          <w:p>
            <w:pPr>
              <w:pStyle w:val="24"/>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“在公经费”变动率=［（本年度“三 公经费”预算数-上年度“三公经 费"预算数）/上年度“三公经费” 预算数</w:t>
            </w:r>
            <w:r>
              <w:rPr>
                <w:rFonts w:hint="eastAsia" w:ascii="宋体" w:hAnsi="宋体" w:eastAsia="宋体" w:cs="宋体"/>
                <w:b/>
                <w:bCs/>
                <w:color w:val="000000"/>
                <w:spacing w:val="0"/>
                <w:w w:val="100"/>
                <w:position w:val="0"/>
                <w:sz w:val="18"/>
                <w:szCs w:val="18"/>
                <w:lang w:val="en-US" w:eastAsia="en-US" w:bidi="en-US"/>
              </w:rPr>
              <w:t>］</w:t>
            </w:r>
            <w:r>
              <w:rPr>
                <w:rFonts w:hint="eastAsia" w:ascii="宋体" w:hAnsi="宋体" w:eastAsia="宋体" w:cs="宋体"/>
                <w:color w:val="000000"/>
                <w:spacing w:val="0"/>
                <w:w w:val="100"/>
                <w:position w:val="0"/>
                <w:sz w:val="18"/>
                <w:szCs w:val="18"/>
              </w:rPr>
              <w:t>×</w:t>
            </w:r>
            <w:r>
              <w:rPr>
                <w:rFonts w:hint="eastAsia" w:ascii="宋体" w:hAnsi="宋体" w:eastAsia="宋体" w:cs="宋体"/>
                <w:b/>
                <w:bCs/>
                <w:color w:val="000000"/>
                <w:spacing w:val="0"/>
                <w:w w:val="100"/>
                <w:position w:val="0"/>
                <w:sz w:val="18"/>
                <w:szCs w:val="18"/>
                <w:lang w:val="en-US" w:eastAsia="en-US" w:bidi="en-US"/>
              </w:rPr>
              <w:t>100%</w:t>
            </w:r>
          </w:p>
        </w:tc>
        <w:tc>
          <w:tcPr>
            <w:tcW w:w="732" w:type="dxa"/>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78" w:hRule="exact"/>
          <w:jc w:val="center"/>
        </w:trPr>
        <w:tc>
          <w:tcPr>
            <w:tcW w:w="349" w:type="dxa"/>
            <w:vMerge w:val="restart"/>
            <w:shd w:val="clear" w:color="auto" w:fill="FFFFFF"/>
            <w:vAlign w:val="center"/>
          </w:tcPr>
          <w:p>
            <w:pPr>
              <w:pStyle w:val="24"/>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过 程</w:t>
            </w:r>
          </w:p>
        </w:tc>
        <w:tc>
          <w:tcPr>
            <w:tcW w:w="543" w:type="dxa"/>
            <w:vMerge w:val="restart"/>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61</w:t>
            </w:r>
          </w:p>
        </w:tc>
        <w:tc>
          <w:tcPr>
            <w:tcW w:w="366" w:type="dxa"/>
            <w:vMerge w:val="restart"/>
            <w:shd w:val="clear" w:color="auto" w:fill="FFFFFF"/>
            <w:vAlign w:val="center"/>
          </w:tcPr>
          <w:p>
            <w:pPr>
              <w:pStyle w:val="24"/>
              <w:keepNext w:val="0"/>
              <w:keepLines w:val="0"/>
              <w:widowControl w:val="0"/>
              <w:shd w:val="clear" w:color="auto" w:fill="auto"/>
              <w:bidi w:val="0"/>
              <w:spacing w:before="0" w:after="0" w:line="312"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 算 执 行</w:t>
            </w:r>
          </w:p>
        </w:tc>
        <w:tc>
          <w:tcPr>
            <w:tcW w:w="666" w:type="dxa"/>
            <w:vMerge w:val="restart"/>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20</w:t>
            </w:r>
          </w:p>
        </w:tc>
        <w:tc>
          <w:tcPr>
            <w:tcW w:w="936" w:type="dxa"/>
            <w:shd w:val="clear" w:color="auto" w:fill="FFFFFF"/>
            <w:vAlign w:val="center"/>
          </w:tcPr>
          <w:p>
            <w:pPr>
              <w:pStyle w:val="24"/>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预算完成率</w:t>
            </w:r>
          </w:p>
        </w:tc>
        <w:tc>
          <w:tcPr>
            <w:tcW w:w="398" w:type="dxa"/>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shd w:val="clear" w:color="auto" w:fill="FFFFFF"/>
            <w:vAlign w:val="center"/>
          </w:tcPr>
          <w:p>
            <w:pPr>
              <w:pStyle w:val="24"/>
              <w:keepNext w:val="0"/>
              <w:keepLines w:val="0"/>
              <w:widowControl w:val="0"/>
              <w:shd w:val="clear" w:color="auto" w:fill="auto"/>
              <w:bidi w:val="0"/>
              <w:spacing w:before="0" w:after="0" w:line="312"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计满分，每低于</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tc>
        <w:tc>
          <w:tcPr>
            <w:tcW w:w="3178" w:type="dxa"/>
            <w:shd w:val="clear" w:color="auto" w:fill="FFFFFF"/>
            <w:vAlign w:val="center"/>
          </w:tcPr>
          <w:p>
            <w:pPr>
              <w:pStyle w:val="24"/>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预算完成率=（上年结转+年初预算+本年追加预算一年末结余/上年结转+年初预算+本年追加预算）×</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b/>
                <w:bCs/>
                <w:color w:val="000000"/>
                <w:spacing w:val="0"/>
                <w:w w:val="100"/>
                <w:position w:val="0"/>
                <w:sz w:val="18"/>
                <w:szCs w:val="18"/>
                <w:lang w:val="en-US" w:eastAsia="zh-CN" w:bidi="en-US"/>
              </w:rPr>
              <w:t>。</w:t>
            </w:r>
          </w:p>
        </w:tc>
        <w:tc>
          <w:tcPr>
            <w:tcW w:w="732" w:type="dxa"/>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64" w:hRule="exact"/>
          <w:jc w:val="center"/>
        </w:trPr>
        <w:tc>
          <w:tcPr>
            <w:tcW w:w="349" w:type="dxa"/>
            <w:vMerge w:val="continue"/>
            <w:shd w:val="clear" w:color="auto" w:fill="FFFFFF"/>
            <w:vAlign w:val="center"/>
          </w:tcPr>
          <w:p>
            <w:pPr>
              <w:jc w:val="center"/>
              <w:rPr>
                <w:rFonts w:hint="eastAsia" w:ascii="宋体" w:hAnsi="宋体" w:eastAsia="宋体" w:cs="宋体"/>
                <w:sz w:val="18"/>
                <w:szCs w:val="18"/>
              </w:rPr>
            </w:pPr>
          </w:p>
        </w:tc>
        <w:tc>
          <w:tcPr>
            <w:tcW w:w="543" w:type="dxa"/>
            <w:vMerge w:val="continue"/>
            <w:shd w:val="clear" w:color="auto" w:fill="FFFFFF"/>
            <w:vAlign w:val="center"/>
          </w:tcPr>
          <w:p>
            <w:pPr>
              <w:jc w:val="center"/>
              <w:rPr>
                <w:rFonts w:hint="eastAsia" w:ascii="宋体" w:hAnsi="宋体" w:eastAsia="宋体" w:cs="宋体"/>
                <w:sz w:val="18"/>
                <w:szCs w:val="18"/>
              </w:rPr>
            </w:pPr>
          </w:p>
        </w:tc>
        <w:tc>
          <w:tcPr>
            <w:tcW w:w="366" w:type="dxa"/>
            <w:vMerge w:val="continue"/>
            <w:shd w:val="clear" w:color="auto" w:fill="FFFFFF"/>
            <w:vAlign w:val="center"/>
          </w:tcPr>
          <w:p>
            <w:pPr>
              <w:jc w:val="center"/>
              <w:rPr>
                <w:rFonts w:hint="eastAsia" w:ascii="宋体" w:hAnsi="宋体" w:eastAsia="宋体" w:cs="宋体"/>
                <w:sz w:val="18"/>
                <w:szCs w:val="18"/>
              </w:rPr>
            </w:pPr>
          </w:p>
        </w:tc>
        <w:tc>
          <w:tcPr>
            <w:tcW w:w="666" w:type="dxa"/>
            <w:vMerge w:val="continue"/>
            <w:shd w:val="clear" w:color="auto" w:fill="FFFFFF"/>
            <w:vAlign w:val="center"/>
          </w:tcPr>
          <w:p>
            <w:pPr>
              <w:jc w:val="center"/>
              <w:rPr>
                <w:rFonts w:hint="eastAsia" w:ascii="宋体" w:hAnsi="宋体" w:eastAsia="宋体" w:cs="宋体"/>
                <w:sz w:val="18"/>
                <w:szCs w:val="18"/>
              </w:rPr>
            </w:pPr>
          </w:p>
        </w:tc>
        <w:tc>
          <w:tcPr>
            <w:tcW w:w="936" w:type="dxa"/>
            <w:shd w:val="clear" w:color="auto" w:fill="FFFFFF"/>
            <w:vAlign w:val="center"/>
          </w:tcPr>
          <w:p>
            <w:pPr>
              <w:pStyle w:val="24"/>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 制率</w:t>
            </w:r>
          </w:p>
        </w:tc>
        <w:tc>
          <w:tcPr>
            <w:tcW w:w="398" w:type="dxa"/>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shd w:val="clear" w:color="auto" w:fill="FFFFFF"/>
            <w:vAlign w:val="center"/>
          </w:tcPr>
          <w:p>
            <w:pPr>
              <w:pStyle w:val="24"/>
              <w:keepNext w:val="0"/>
              <w:keepLines w:val="0"/>
              <w:widowControl w:val="0"/>
              <w:shd w:val="clear" w:color="auto" w:fill="auto"/>
              <w:bidi w:val="0"/>
              <w:spacing w:before="0" w:after="0" w:line="312" w:lineRule="exact"/>
              <w:ind w:left="0" w:right="0" w:firstLine="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分；</w:t>
            </w:r>
          </w:p>
          <w:p>
            <w:pPr>
              <w:pStyle w:val="24"/>
              <w:keepNext w:val="0"/>
              <w:keepLines w:val="0"/>
              <w:widowControl w:val="0"/>
              <w:shd w:val="clear" w:color="auto" w:fill="auto"/>
              <w:bidi w:val="0"/>
              <w:spacing w:before="0" w:after="0" w:line="312" w:lineRule="exact"/>
              <w:ind w:left="200" w:right="0" w:hanging="200"/>
              <w:jc w:val="both"/>
              <w:rPr>
                <w:rFonts w:hint="eastAsia" w:ascii="宋体" w:hAnsi="宋体" w:eastAsia="宋体" w:cs="宋体"/>
                <w:color w:val="000000"/>
                <w:spacing w:val="0"/>
                <w:w w:val="100"/>
                <w:position w:val="0"/>
                <w:sz w:val="18"/>
                <w:szCs w:val="18"/>
              </w:rPr>
            </w:pPr>
            <w:r>
              <w:rPr>
                <w:rFonts w:hint="eastAsia" w:ascii="宋体" w:hAnsi="宋体" w:eastAsia="宋体" w:cs="宋体"/>
                <w:b/>
                <w:bCs/>
                <w:color w:val="000000"/>
                <w:spacing w:val="0"/>
                <w:w w:val="100"/>
                <w:position w:val="0"/>
                <w:sz w:val="18"/>
                <w:szCs w:val="18"/>
              </w:rPr>
              <w:t xml:space="preserve">0-10% </w:t>
            </w:r>
            <w:r>
              <w:rPr>
                <w:rFonts w:hint="eastAsia" w:ascii="宋体" w:hAnsi="宋体" w:eastAsia="宋体" w:cs="宋体"/>
                <w:color w:val="000000"/>
                <w:spacing w:val="0"/>
                <w:w w:val="100"/>
                <w:position w:val="0"/>
                <w:sz w:val="18"/>
                <w:szCs w:val="18"/>
              </w:rPr>
              <w:t xml:space="preserve">（含），计 </w:t>
            </w:r>
            <w:r>
              <w:rPr>
                <w:rFonts w:hint="eastAsia" w:ascii="宋体" w:hAnsi="宋体" w:eastAsia="宋体" w:cs="宋体"/>
                <w:b/>
                <w:bCs/>
                <w:color w:val="000000"/>
                <w:spacing w:val="0"/>
                <w:w w:val="100"/>
                <w:position w:val="0"/>
                <w:sz w:val="18"/>
                <w:szCs w:val="18"/>
              </w:rPr>
              <w:t xml:space="preserve">4 </w:t>
            </w:r>
            <w:r>
              <w:rPr>
                <w:rFonts w:hint="eastAsia" w:ascii="宋体" w:hAnsi="宋体" w:eastAsia="宋体" w:cs="宋体"/>
                <w:color w:val="000000"/>
                <w:spacing w:val="0"/>
                <w:w w:val="100"/>
                <w:position w:val="0"/>
                <w:sz w:val="18"/>
                <w:szCs w:val="18"/>
              </w:rPr>
              <w:t>分；</w:t>
            </w:r>
          </w:p>
          <w:p>
            <w:pPr>
              <w:pStyle w:val="24"/>
              <w:keepNext w:val="0"/>
              <w:keepLines w:val="0"/>
              <w:widowControl w:val="0"/>
              <w:shd w:val="clear" w:color="auto" w:fill="auto"/>
              <w:bidi w:val="0"/>
              <w:spacing w:before="0" w:after="0" w:line="312" w:lineRule="exact"/>
              <w:ind w:left="200" w:right="0" w:hanging="200"/>
              <w:jc w:val="both"/>
              <w:rPr>
                <w:rFonts w:hint="eastAsia" w:ascii="宋体" w:hAnsi="宋体" w:eastAsia="宋体" w:cs="宋体"/>
                <w:b/>
                <w:bCs/>
                <w:color w:val="000000"/>
                <w:spacing w:val="0"/>
                <w:w w:val="100"/>
                <w:position w:val="0"/>
                <w:sz w:val="18"/>
                <w:szCs w:val="18"/>
              </w:rPr>
            </w:pPr>
            <w:r>
              <w:rPr>
                <w:rFonts w:hint="eastAsia" w:ascii="宋体" w:hAnsi="宋体" w:eastAsia="宋体" w:cs="宋体"/>
                <w:b/>
                <w:bCs/>
                <w:color w:val="000000"/>
                <w:spacing w:val="0"/>
                <w:w w:val="100"/>
                <w:position w:val="0"/>
                <w:sz w:val="18"/>
                <w:szCs w:val="18"/>
              </w:rPr>
              <w:t xml:space="preserve">10-20% </w:t>
            </w:r>
            <w:r>
              <w:rPr>
                <w:rFonts w:hint="eastAsia" w:ascii="宋体" w:hAnsi="宋体" w:eastAsia="宋体" w:cs="宋体"/>
                <w:color w:val="000000"/>
                <w:spacing w:val="0"/>
                <w:w w:val="100"/>
                <w:position w:val="0"/>
                <w:sz w:val="18"/>
                <w:szCs w:val="18"/>
              </w:rPr>
              <w:t>（含），计</w:t>
            </w:r>
            <w:r>
              <w:rPr>
                <w:rFonts w:hint="eastAsia" w:ascii="宋体" w:hAnsi="宋体" w:eastAsia="宋体" w:cs="宋体"/>
                <w:b/>
                <w:bCs/>
                <w:color w:val="000000"/>
                <w:spacing w:val="0"/>
                <w:w w:val="100"/>
                <w:position w:val="0"/>
                <w:sz w:val="18"/>
                <w:szCs w:val="18"/>
              </w:rPr>
              <w:t xml:space="preserve">3 </w:t>
            </w:r>
            <w:r>
              <w:rPr>
                <w:rFonts w:hint="eastAsia" w:ascii="宋体" w:hAnsi="宋体" w:eastAsia="宋体" w:cs="宋体"/>
                <w:color w:val="000000"/>
                <w:spacing w:val="0"/>
                <w:w w:val="100"/>
                <w:position w:val="0"/>
                <w:sz w:val="18"/>
                <w:szCs w:val="18"/>
              </w:rPr>
              <w:t>分</w:t>
            </w:r>
            <w:r>
              <w:rPr>
                <w:rFonts w:hint="eastAsia" w:ascii="宋体" w:hAnsi="宋体" w:eastAsia="宋体" w:cs="宋体"/>
                <w:b/>
                <w:bCs/>
                <w:color w:val="000000"/>
                <w:spacing w:val="0"/>
                <w:w w:val="100"/>
                <w:position w:val="0"/>
                <w:sz w:val="18"/>
                <w:szCs w:val="18"/>
              </w:rPr>
              <w:t>；</w:t>
            </w:r>
          </w:p>
          <w:p>
            <w:pPr>
              <w:pStyle w:val="24"/>
              <w:keepNext w:val="0"/>
              <w:keepLines w:val="0"/>
              <w:widowControl w:val="0"/>
              <w:shd w:val="clear" w:color="auto" w:fill="auto"/>
              <w:bidi w:val="0"/>
              <w:spacing w:before="0" w:after="0" w:line="312" w:lineRule="exact"/>
              <w:ind w:left="200" w:right="0" w:hanging="200"/>
              <w:jc w:val="both"/>
              <w:rPr>
                <w:rFonts w:hint="eastAsia" w:ascii="宋体" w:hAnsi="宋体" w:eastAsia="宋体" w:cs="宋体"/>
                <w:color w:val="000000"/>
                <w:spacing w:val="0"/>
                <w:w w:val="100"/>
                <w:position w:val="0"/>
                <w:sz w:val="18"/>
                <w:szCs w:val="18"/>
              </w:rPr>
            </w:pPr>
            <w:r>
              <w:rPr>
                <w:rFonts w:hint="eastAsia" w:ascii="宋体" w:hAnsi="宋体" w:eastAsia="宋体" w:cs="宋体"/>
                <w:b/>
                <w:bCs/>
                <w:color w:val="000000"/>
                <w:spacing w:val="0"/>
                <w:w w:val="100"/>
                <w:position w:val="0"/>
                <w:sz w:val="18"/>
                <w:szCs w:val="18"/>
              </w:rPr>
              <w:t>20-30%（</w:t>
            </w:r>
            <w:r>
              <w:rPr>
                <w:rFonts w:hint="eastAsia" w:ascii="宋体" w:hAnsi="宋体" w:eastAsia="宋体" w:cs="宋体"/>
                <w:color w:val="000000"/>
                <w:spacing w:val="0"/>
                <w:w w:val="100"/>
                <w:position w:val="0"/>
                <w:sz w:val="18"/>
                <w:szCs w:val="18"/>
              </w:rPr>
              <w:t>含），计</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w:t>
            </w:r>
          </w:p>
          <w:p>
            <w:pPr>
              <w:pStyle w:val="24"/>
              <w:keepNext w:val="0"/>
              <w:keepLines w:val="0"/>
              <w:widowControl w:val="0"/>
              <w:shd w:val="clear" w:color="auto" w:fill="auto"/>
              <w:bidi w:val="0"/>
              <w:spacing w:before="0" w:after="0" w:line="312" w:lineRule="exact"/>
              <w:ind w:left="200" w:right="0" w:hanging="200"/>
              <w:jc w:val="both"/>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大于</w:t>
            </w:r>
            <w:r>
              <w:rPr>
                <w:rFonts w:hint="eastAsia" w:ascii="宋体" w:hAnsi="宋体" w:eastAsia="宋体" w:cs="宋体"/>
                <w:b/>
                <w:bCs/>
                <w:color w:val="000000"/>
                <w:spacing w:val="0"/>
                <w:w w:val="100"/>
                <w:position w:val="0"/>
                <w:sz w:val="18"/>
                <w:szCs w:val="18"/>
              </w:rPr>
              <w:t>30%</w:t>
            </w:r>
            <w:r>
              <w:rPr>
                <w:rFonts w:hint="eastAsia" w:ascii="宋体" w:hAnsi="宋体" w:eastAsia="宋体" w:cs="宋体"/>
                <w:color w:val="000000"/>
                <w:spacing w:val="0"/>
                <w:w w:val="100"/>
                <w:position w:val="0"/>
                <w:sz w:val="18"/>
                <w:szCs w:val="18"/>
              </w:rPr>
              <w:t>不得分</w:t>
            </w:r>
            <w:r>
              <w:rPr>
                <w:rFonts w:hint="eastAsia" w:cs="宋体"/>
                <w:color w:val="000000"/>
                <w:spacing w:val="0"/>
                <w:w w:val="100"/>
                <w:position w:val="0"/>
                <w:sz w:val="18"/>
                <w:szCs w:val="18"/>
                <w:lang w:eastAsia="zh-CN"/>
              </w:rPr>
              <w:t>。</w:t>
            </w:r>
          </w:p>
        </w:tc>
        <w:tc>
          <w:tcPr>
            <w:tcW w:w="3178" w:type="dxa"/>
            <w:shd w:val="clear" w:color="auto" w:fill="FFFFFF"/>
            <w:vAlign w:val="center"/>
          </w:tcPr>
          <w:p>
            <w:pPr>
              <w:pStyle w:val="24"/>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预算控制率=（本年追加预算/年 初预算）×</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b/>
                <w:bCs/>
                <w:color w:val="000000"/>
                <w:spacing w:val="0"/>
                <w:w w:val="100"/>
                <w:position w:val="0"/>
                <w:sz w:val="18"/>
                <w:szCs w:val="18"/>
                <w:lang w:val="en-US" w:eastAsia="zh-CN" w:bidi="en-US"/>
              </w:rPr>
              <w:t>。</w:t>
            </w:r>
          </w:p>
        </w:tc>
        <w:tc>
          <w:tcPr>
            <w:tcW w:w="732" w:type="dxa"/>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2" w:hRule="exact"/>
          <w:jc w:val="center"/>
        </w:trPr>
        <w:tc>
          <w:tcPr>
            <w:tcW w:w="349" w:type="dxa"/>
            <w:vMerge w:val="continue"/>
            <w:shd w:val="clear" w:color="auto" w:fill="FFFFFF"/>
            <w:vAlign w:val="center"/>
          </w:tcPr>
          <w:p>
            <w:pPr>
              <w:jc w:val="center"/>
              <w:rPr>
                <w:rFonts w:hint="eastAsia" w:ascii="宋体" w:hAnsi="宋体" w:eastAsia="宋体" w:cs="宋体"/>
                <w:sz w:val="18"/>
                <w:szCs w:val="18"/>
              </w:rPr>
            </w:pPr>
          </w:p>
        </w:tc>
        <w:tc>
          <w:tcPr>
            <w:tcW w:w="543" w:type="dxa"/>
            <w:vMerge w:val="continue"/>
            <w:shd w:val="clear" w:color="auto" w:fill="FFFFFF"/>
            <w:vAlign w:val="center"/>
          </w:tcPr>
          <w:p>
            <w:pPr>
              <w:jc w:val="center"/>
              <w:rPr>
                <w:rFonts w:hint="eastAsia" w:ascii="宋体" w:hAnsi="宋体" w:eastAsia="宋体" w:cs="宋体"/>
                <w:sz w:val="18"/>
                <w:szCs w:val="18"/>
              </w:rPr>
            </w:pPr>
          </w:p>
        </w:tc>
        <w:tc>
          <w:tcPr>
            <w:tcW w:w="366" w:type="dxa"/>
            <w:vMerge w:val="continue"/>
            <w:shd w:val="clear" w:color="auto" w:fill="FFFFFF"/>
            <w:vAlign w:val="center"/>
          </w:tcPr>
          <w:p>
            <w:pPr>
              <w:jc w:val="center"/>
              <w:rPr>
                <w:rFonts w:hint="eastAsia" w:ascii="宋体" w:hAnsi="宋体" w:eastAsia="宋体" w:cs="宋体"/>
                <w:sz w:val="18"/>
                <w:szCs w:val="18"/>
              </w:rPr>
            </w:pPr>
          </w:p>
        </w:tc>
        <w:tc>
          <w:tcPr>
            <w:tcW w:w="666" w:type="dxa"/>
            <w:vMerge w:val="continue"/>
            <w:shd w:val="clear" w:color="auto" w:fill="FFFFFF"/>
            <w:vAlign w:val="center"/>
          </w:tcPr>
          <w:p>
            <w:pPr>
              <w:jc w:val="center"/>
              <w:rPr>
                <w:rFonts w:hint="eastAsia" w:ascii="宋体" w:hAnsi="宋体" w:eastAsia="宋体" w:cs="宋体"/>
                <w:sz w:val="18"/>
                <w:szCs w:val="18"/>
              </w:rPr>
            </w:pPr>
          </w:p>
        </w:tc>
        <w:tc>
          <w:tcPr>
            <w:tcW w:w="936" w:type="dxa"/>
            <w:shd w:val="clear" w:color="auto" w:fill="FFFFFF"/>
            <w:vAlign w:val="center"/>
          </w:tcPr>
          <w:p>
            <w:pPr>
              <w:pStyle w:val="24"/>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新建楼堂馆所 面积控 制率</w:t>
            </w:r>
          </w:p>
        </w:tc>
        <w:tc>
          <w:tcPr>
            <w:tcW w:w="398" w:type="dxa"/>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shd w:val="clear" w:color="auto" w:fill="FFFFFF"/>
            <w:vAlign w:val="center"/>
          </w:tcPr>
          <w:p>
            <w:pPr>
              <w:pStyle w:val="24"/>
              <w:keepNext w:val="0"/>
              <w:keepLines w:val="0"/>
              <w:widowControl w:val="0"/>
              <w:shd w:val="clear" w:color="auto" w:fill="auto"/>
              <w:bidi w:val="0"/>
              <w:spacing w:before="0" w:after="0" w:line="317"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p>
            <w:pPr>
              <w:pStyle w:val="24"/>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没有楼梯馆所项目的部门按满分计算</w:t>
            </w:r>
            <w:r>
              <w:rPr>
                <w:rFonts w:hint="eastAsia" w:cs="宋体"/>
                <w:color w:val="000000"/>
                <w:spacing w:val="0"/>
                <w:w w:val="100"/>
                <w:position w:val="0"/>
                <w:sz w:val="18"/>
                <w:szCs w:val="18"/>
                <w:lang w:eastAsia="zh-CN"/>
              </w:rPr>
              <w:t>。</w:t>
            </w:r>
          </w:p>
        </w:tc>
        <w:tc>
          <w:tcPr>
            <w:tcW w:w="3178" w:type="dxa"/>
            <w:shd w:val="clear" w:color="auto" w:fill="FFFFFF"/>
            <w:vAlign w:val="center"/>
          </w:tcPr>
          <w:p>
            <w:pPr>
              <w:pStyle w:val="24"/>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楼堂馆所面积控制率=实际建设 面积/批准建设面积×</w:t>
            </w:r>
            <w:r>
              <w:rPr>
                <w:rFonts w:hint="eastAsia" w:ascii="宋体" w:hAnsi="宋体" w:eastAsia="宋体" w:cs="宋体"/>
                <w:b/>
                <w:bCs/>
                <w:color w:val="000000"/>
                <w:spacing w:val="0"/>
                <w:w w:val="100"/>
                <w:position w:val="0"/>
                <w:sz w:val="18"/>
                <w:szCs w:val="18"/>
                <w:lang w:val="en-US" w:eastAsia="en-US" w:bidi="en-US"/>
              </w:rPr>
              <w:t xml:space="preserve">100% </w:t>
            </w:r>
            <w:r>
              <w:rPr>
                <w:rFonts w:hint="eastAsia" w:ascii="宋体" w:hAnsi="宋体" w:eastAsia="宋体" w:cs="宋体"/>
                <w:b/>
                <w:bCs/>
                <w:color w:val="000000"/>
                <w:spacing w:val="0"/>
                <w:w w:val="100"/>
                <w:position w:val="0"/>
                <w:sz w:val="18"/>
                <w:szCs w:val="18"/>
              </w:rPr>
              <w:t xml:space="preserve">= </w:t>
            </w:r>
            <w:r>
              <w:rPr>
                <w:rFonts w:hint="eastAsia" w:ascii="宋体" w:hAnsi="宋体" w:eastAsia="宋体" w:cs="宋体"/>
                <w:color w:val="000000"/>
                <w:spacing w:val="0"/>
                <w:w w:val="100"/>
                <w:position w:val="0"/>
                <w:sz w:val="18"/>
                <w:szCs w:val="18"/>
              </w:rPr>
              <w:t>该指标以</w:t>
            </w:r>
            <w:r>
              <w:rPr>
                <w:rFonts w:hint="eastAsia" w:ascii="宋体" w:hAnsi="宋体" w:eastAsia="宋体" w:cs="宋体"/>
                <w:b/>
                <w:bCs/>
                <w:color w:val="000000"/>
                <w:spacing w:val="0"/>
                <w:w w:val="100"/>
                <w:position w:val="0"/>
                <w:sz w:val="18"/>
                <w:szCs w:val="18"/>
              </w:rPr>
              <w:t>201</w:t>
            </w:r>
            <w:r>
              <w:rPr>
                <w:rFonts w:hint="eastAsia" w:ascii="宋体" w:hAnsi="宋体" w:eastAsia="宋体" w:cs="宋体"/>
                <w:b/>
                <w:bCs/>
                <w:color w:val="000000"/>
                <w:spacing w:val="0"/>
                <w:w w:val="100"/>
                <w:position w:val="0"/>
                <w:sz w:val="18"/>
                <w:szCs w:val="18"/>
                <w:lang w:val="en-US" w:eastAsia="zh-CN"/>
              </w:rPr>
              <w:t>8</w:t>
            </w:r>
            <w:r>
              <w:rPr>
                <w:rFonts w:hint="eastAsia" w:ascii="宋体" w:hAnsi="宋体" w:eastAsia="宋体" w:cs="宋体"/>
                <w:color w:val="000000"/>
                <w:spacing w:val="0"/>
                <w:w w:val="100"/>
                <w:position w:val="0"/>
                <w:sz w:val="18"/>
                <w:szCs w:val="18"/>
              </w:rPr>
              <w:t>年完工的新建楼堂馆所为评价内容。</w:t>
            </w:r>
          </w:p>
        </w:tc>
        <w:tc>
          <w:tcPr>
            <w:tcW w:w="732" w:type="dxa"/>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66" w:hRule="exact"/>
          <w:jc w:val="center"/>
        </w:trPr>
        <w:tc>
          <w:tcPr>
            <w:tcW w:w="349" w:type="dxa"/>
            <w:shd w:val="clear" w:color="auto" w:fill="FFFFFF"/>
            <w:vAlign w:val="center"/>
          </w:tcPr>
          <w:p>
            <w:pPr>
              <w:jc w:val="center"/>
              <w:rPr>
                <w:rFonts w:hint="eastAsia" w:ascii="宋体" w:hAnsi="宋体" w:eastAsia="宋体" w:cs="宋体"/>
                <w:sz w:val="18"/>
                <w:szCs w:val="18"/>
              </w:rPr>
            </w:pPr>
          </w:p>
        </w:tc>
        <w:tc>
          <w:tcPr>
            <w:tcW w:w="543" w:type="dxa"/>
            <w:shd w:val="clear" w:color="auto" w:fill="FFFFFF"/>
            <w:vAlign w:val="center"/>
          </w:tcPr>
          <w:p>
            <w:pPr>
              <w:jc w:val="center"/>
              <w:rPr>
                <w:rFonts w:hint="eastAsia" w:ascii="宋体" w:hAnsi="宋体" w:eastAsia="宋体" w:cs="宋体"/>
                <w:sz w:val="18"/>
                <w:szCs w:val="18"/>
              </w:rPr>
            </w:pPr>
          </w:p>
        </w:tc>
        <w:tc>
          <w:tcPr>
            <w:tcW w:w="366" w:type="dxa"/>
            <w:shd w:val="clear" w:color="auto" w:fill="FFFFFF"/>
            <w:vAlign w:val="center"/>
          </w:tcPr>
          <w:p>
            <w:pPr>
              <w:jc w:val="center"/>
              <w:rPr>
                <w:rFonts w:hint="eastAsia" w:ascii="宋体" w:hAnsi="宋体" w:eastAsia="宋体" w:cs="宋体"/>
                <w:sz w:val="18"/>
                <w:szCs w:val="18"/>
              </w:rPr>
            </w:pPr>
          </w:p>
        </w:tc>
        <w:tc>
          <w:tcPr>
            <w:tcW w:w="666" w:type="dxa"/>
            <w:shd w:val="clear" w:color="auto" w:fill="FFFFFF"/>
            <w:vAlign w:val="center"/>
          </w:tcPr>
          <w:p>
            <w:pPr>
              <w:jc w:val="center"/>
              <w:rPr>
                <w:rFonts w:hint="eastAsia" w:ascii="宋体" w:hAnsi="宋体" w:eastAsia="宋体" w:cs="宋体"/>
                <w:sz w:val="18"/>
                <w:szCs w:val="18"/>
              </w:rPr>
            </w:pPr>
          </w:p>
        </w:tc>
        <w:tc>
          <w:tcPr>
            <w:tcW w:w="936" w:type="dxa"/>
            <w:shd w:val="clear" w:color="auto" w:fill="FFFFFF"/>
            <w:vAlign w:val="center"/>
          </w:tcPr>
          <w:p>
            <w:pPr>
              <w:pStyle w:val="24"/>
              <w:keepNext w:val="0"/>
              <w:keepLines w:val="0"/>
              <w:widowControl w:val="0"/>
              <w:shd w:val="clear" w:color="auto" w:fill="auto"/>
              <w:bidi w:val="0"/>
              <w:spacing w:before="0" w:after="0" w:line="312"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新建楼堂馆所投资概算控制率</w:t>
            </w:r>
          </w:p>
        </w:tc>
        <w:tc>
          <w:tcPr>
            <w:tcW w:w="398" w:type="dxa"/>
            <w:shd w:val="clear" w:color="auto" w:fill="FFFFFF"/>
            <w:vAlign w:val="center"/>
          </w:tcPr>
          <w:p>
            <w:pPr>
              <w:pStyle w:val="24"/>
              <w:keepNext w:val="0"/>
              <w:keepLines w:val="0"/>
              <w:widowControl w:val="0"/>
              <w:shd w:val="clear" w:color="auto" w:fill="auto"/>
              <w:bidi w:val="0"/>
              <w:spacing w:before="0" w:after="0" w:line="312"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5</w:t>
            </w:r>
          </w:p>
        </w:tc>
        <w:tc>
          <w:tcPr>
            <w:tcW w:w="2704" w:type="dxa"/>
            <w:shd w:val="clear" w:color="auto" w:fill="FFFFFF"/>
            <w:vAlign w:val="center"/>
          </w:tcPr>
          <w:p>
            <w:pPr>
              <w:pStyle w:val="24"/>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100%以下（含）计满分</w:t>
            </w:r>
          </w:p>
          <w:p>
            <w:pPr>
              <w:pStyle w:val="24"/>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，每超出5%扣2分，扣完为止。</w:t>
            </w:r>
          </w:p>
        </w:tc>
        <w:tc>
          <w:tcPr>
            <w:tcW w:w="3178" w:type="dxa"/>
            <w:shd w:val="clear" w:color="auto" w:fill="FFFFFF"/>
            <w:vAlign w:val="center"/>
          </w:tcPr>
          <w:p>
            <w:pPr>
              <w:pStyle w:val="24"/>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rPr>
              <w:t>楼堂馆所投资预算控制率=实际 投资金额/批准投资金额 ×</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color w:val="000000"/>
                <w:spacing w:val="0"/>
                <w:w w:val="100"/>
                <w:position w:val="0"/>
                <w:sz w:val="18"/>
                <w:szCs w:val="18"/>
                <w:lang w:val="en-US" w:eastAsia="en-US"/>
              </w:rPr>
              <w:t xml:space="preserve"> </w:t>
            </w:r>
            <w:r>
              <w:rPr>
                <w:rFonts w:hint="eastAsia" w:ascii="宋体" w:hAnsi="宋体" w:eastAsia="宋体" w:cs="宋体"/>
                <w:color w:val="000000"/>
                <w:spacing w:val="0"/>
                <w:w w:val="100"/>
                <w:position w:val="0"/>
                <w:sz w:val="18"/>
                <w:szCs w:val="18"/>
                <w:lang w:val="en-US" w:eastAsia="zh-CN"/>
              </w:rPr>
              <w:t>。</w:t>
            </w:r>
          </w:p>
          <w:p>
            <w:pPr>
              <w:pStyle w:val="24"/>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该指标以201</w:t>
            </w:r>
            <w:r>
              <w:rPr>
                <w:rFonts w:hint="eastAsia" w:ascii="宋体" w:hAnsi="宋体" w:eastAsia="宋体" w:cs="宋体"/>
                <w:color w:val="000000"/>
                <w:spacing w:val="0"/>
                <w:w w:val="100"/>
                <w:position w:val="0"/>
                <w:sz w:val="18"/>
                <w:szCs w:val="18"/>
                <w:lang w:val="en-US" w:eastAsia="zh-CN"/>
              </w:rPr>
              <w:t>8</w:t>
            </w:r>
            <w:r>
              <w:rPr>
                <w:rFonts w:hint="eastAsia" w:ascii="宋体" w:hAnsi="宋体" w:eastAsia="宋体" w:cs="宋体"/>
                <w:color w:val="000000"/>
                <w:spacing w:val="0"/>
                <w:w w:val="100"/>
                <w:position w:val="0"/>
                <w:sz w:val="18"/>
                <w:szCs w:val="18"/>
              </w:rPr>
              <w:t>年完工的新建楼 堂馆所为评价内容。</w:t>
            </w:r>
          </w:p>
        </w:tc>
        <w:tc>
          <w:tcPr>
            <w:tcW w:w="732" w:type="dxa"/>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bl>
    <w:p>
      <w:pPr>
        <w:spacing w:line="1" w:lineRule="exact"/>
        <w:jc w:val="center"/>
        <w:rPr>
          <w:rFonts w:hint="eastAsia" w:ascii="宋体" w:hAnsi="宋体" w:eastAsia="宋体" w:cs="宋体"/>
          <w:sz w:val="18"/>
          <w:szCs w:val="18"/>
        </w:rPr>
      </w:pPr>
      <w:r>
        <w:rPr>
          <w:rFonts w:hint="eastAsia" w:ascii="宋体" w:hAnsi="宋体" w:cs="宋体"/>
          <w:sz w:val="18"/>
          <w:szCs w:val="18"/>
          <w:lang w:eastAsia="zh-CN"/>
        </w:rPr>
        <w:t>5</w:t>
      </w:r>
      <w:r>
        <w:rPr>
          <w:rFonts w:hint="eastAsia" w:ascii="宋体" w:hAnsi="宋体" w:eastAsia="宋体" w:cs="宋体"/>
          <w:sz w:val="18"/>
          <w:szCs w:val="18"/>
        </w:rPr>
        <w:br w:type="page"/>
      </w:r>
    </w:p>
    <w:tbl>
      <w:tblPr>
        <w:tblStyle w:val="8"/>
        <w:tblW w:w="9771" w:type="dxa"/>
        <w:jc w:val="center"/>
        <w:tblLayout w:type="fixed"/>
        <w:tblCellMar>
          <w:top w:w="0" w:type="dxa"/>
          <w:left w:w="10" w:type="dxa"/>
          <w:bottom w:w="0" w:type="dxa"/>
          <w:right w:w="10" w:type="dxa"/>
        </w:tblCellMar>
      </w:tblPr>
      <w:tblGrid>
        <w:gridCol w:w="368"/>
        <w:gridCol w:w="524"/>
        <w:gridCol w:w="460"/>
        <w:gridCol w:w="572"/>
        <w:gridCol w:w="916"/>
        <w:gridCol w:w="418"/>
        <w:gridCol w:w="3314"/>
        <w:gridCol w:w="2700"/>
        <w:gridCol w:w="499"/>
      </w:tblGrid>
      <w:tr>
        <w:tblPrEx>
          <w:tblCellMar>
            <w:top w:w="0" w:type="dxa"/>
            <w:left w:w="10" w:type="dxa"/>
            <w:bottom w:w="0" w:type="dxa"/>
            <w:right w:w="10" w:type="dxa"/>
          </w:tblCellMar>
        </w:tblPrEx>
        <w:trPr>
          <w:trHeight w:val="1302" w:hRule="exact"/>
          <w:jc w:val="center"/>
        </w:trPr>
        <w:tc>
          <w:tcPr>
            <w:tcW w:w="368" w:type="dxa"/>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一</w:t>
            </w:r>
            <w:r>
              <w:rPr>
                <w:rFonts w:hint="eastAsia" w:ascii="宋体" w:hAnsi="宋体" w:eastAsia="宋体" w:cs="宋体"/>
                <w:color w:val="000000"/>
                <w:spacing w:val="0"/>
                <w:w w:val="100"/>
                <w:position w:val="0"/>
                <w:sz w:val="18"/>
                <w:szCs w:val="18"/>
              </w:rPr>
              <w:t>级 指 标</w:t>
            </w:r>
          </w:p>
        </w:tc>
        <w:tc>
          <w:tcPr>
            <w:tcW w:w="524"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460" w:type="dxa"/>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二</w:t>
            </w:r>
          </w:p>
          <w:p>
            <w:pPr>
              <w:pStyle w:val="24"/>
              <w:keepNext w:val="0"/>
              <w:keepLines w:val="0"/>
              <w:widowControl w:val="0"/>
              <w:shd w:val="clear" w:color="auto" w:fill="auto"/>
              <w:bidi w:val="0"/>
              <w:spacing w:before="0" w:after="0" w:line="312" w:lineRule="exact"/>
              <w:ind w:right="0" w:right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 指 标</w:t>
            </w:r>
          </w:p>
        </w:tc>
        <w:tc>
          <w:tcPr>
            <w:tcW w:w="572"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916"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三级指标</w:t>
            </w:r>
          </w:p>
        </w:tc>
        <w:tc>
          <w:tcPr>
            <w:tcW w:w="418"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3314"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2700"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499" w:type="dxa"/>
            <w:tcBorders>
              <w:top w:val="single" w:color="auto" w:sz="4" w:space="0"/>
              <w:left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1645" w:hRule="exact"/>
          <w:jc w:val="center"/>
        </w:trPr>
        <w:tc>
          <w:tcPr>
            <w:tcW w:w="368" w:type="dxa"/>
            <w:vMerge w:val="restart"/>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过 程</w:t>
            </w:r>
          </w:p>
        </w:tc>
        <w:tc>
          <w:tcPr>
            <w:tcW w:w="524" w:type="dxa"/>
            <w:vMerge w:val="restart"/>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61</w:t>
            </w:r>
          </w:p>
        </w:tc>
        <w:tc>
          <w:tcPr>
            <w:tcW w:w="460" w:type="dxa"/>
            <w:vMerge w:val="restart"/>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预</w:t>
            </w:r>
          </w:p>
          <w:p>
            <w:pPr>
              <w:pStyle w:val="24"/>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算</w:t>
            </w:r>
          </w:p>
          <w:p>
            <w:pPr>
              <w:pStyle w:val="24"/>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管</w:t>
            </w:r>
          </w:p>
          <w:p>
            <w:pPr>
              <w:pStyle w:val="24"/>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理</w:t>
            </w:r>
          </w:p>
          <w:p>
            <w:pPr>
              <w:pStyle w:val="24"/>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p>
          <w:p>
            <w:pPr>
              <w:pStyle w:val="24"/>
              <w:keepNext w:val="0"/>
              <w:keepLines w:val="0"/>
              <w:widowControl w:val="0"/>
              <w:shd w:val="clear" w:color="auto" w:fill="auto"/>
              <w:bidi w:val="0"/>
              <w:spacing w:before="0" w:after="0" w:line="306" w:lineRule="exact"/>
              <w:ind w:left="0" w:right="280" w:firstLine="180" w:firstLineChars="100"/>
              <w:jc w:val="both"/>
              <w:rPr>
                <w:rFonts w:hint="eastAsia" w:ascii="宋体" w:hAnsi="宋体" w:eastAsia="宋体" w:cs="宋体"/>
                <w:sz w:val="18"/>
                <w:szCs w:val="18"/>
              </w:rPr>
            </w:pPr>
          </w:p>
        </w:tc>
        <w:tc>
          <w:tcPr>
            <w:tcW w:w="572" w:type="dxa"/>
            <w:vMerge w:val="restart"/>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41</w:t>
            </w:r>
          </w:p>
        </w:tc>
        <w:tc>
          <w:tcPr>
            <w:tcW w:w="916"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公用经费控制率</w:t>
            </w:r>
          </w:p>
        </w:tc>
        <w:tc>
          <w:tcPr>
            <w:tcW w:w="418"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3314"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700" w:type="dxa"/>
            <w:tcBorders>
              <w:top w:val="single" w:color="auto" w:sz="4" w:space="0"/>
              <w:left w:val="single" w:color="auto" w:sz="4" w:space="0"/>
            </w:tcBorders>
            <w:shd w:val="clear" w:color="auto" w:fill="FFFFFF"/>
            <w:vAlign w:val="top"/>
          </w:tcPr>
          <w:p>
            <w:pPr>
              <w:pStyle w:val="24"/>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公用经费控制率=（实际支出公用经费总额/预算安排公用经费总额）×</w:t>
            </w:r>
            <w:r>
              <w:rPr>
                <w:rFonts w:hint="eastAsia" w:ascii="宋体" w:hAnsi="宋体" w:eastAsia="宋体" w:cs="宋体"/>
                <w:b/>
                <w:bCs/>
                <w:color w:val="000000"/>
                <w:spacing w:val="0"/>
                <w:w w:val="100"/>
                <w:position w:val="0"/>
                <w:sz w:val="18"/>
                <w:szCs w:val="18"/>
                <w:lang w:val="en-US" w:eastAsia="en-US" w:bidi="en-US"/>
              </w:rPr>
              <w:t xml:space="preserve">100% </w:t>
            </w:r>
          </w:p>
          <w:p>
            <w:pPr>
              <w:pStyle w:val="24"/>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公用经费支出是指部门基本支出 中的一般商品和服务支出。</w:t>
            </w:r>
          </w:p>
        </w:tc>
        <w:tc>
          <w:tcPr>
            <w:tcW w:w="499"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1228" w:hRule="exact"/>
          <w:jc w:val="center"/>
        </w:trPr>
        <w:tc>
          <w:tcPr>
            <w:tcW w:w="36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vAlign w:val="center"/>
          </w:tcPr>
          <w:p>
            <w:pPr>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 经费” 控制率</w:t>
            </w:r>
          </w:p>
        </w:tc>
        <w:tc>
          <w:tcPr>
            <w:tcW w:w="418"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3314"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700"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“三公经费”控制率</w:t>
            </w:r>
            <w:r>
              <w:rPr>
                <w:rFonts w:hint="eastAsia" w:cs="宋体"/>
                <w:color w:val="000000"/>
                <w:spacing w:val="0"/>
                <w:w w:val="100"/>
                <w:position w:val="0"/>
                <w:sz w:val="18"/>
                <w:szCs w:val="18"/>
                <w:lang w:val="en-US" w:eastAsia="zh-CN"/>
              </w:rPr>
              <w:t>=</w:t>
            </w:r>
            <w:r>
              <w:rPr>
                <w:rFonts w:hint="eastAsia" w:ascii="宋体" w:hAnsi="宋体" w:eastAsia="宋体" w:cs="宋体"/>
                <w:color w:val="000000"/>
                <w:spacing w:val="0"/>
                <w:w w:val="100"/>
                <w:position w:val="0"/>
                <w:sz w:val="18"/>
                <w:szCs w:val="18"/>
              </w:rPr>
              <w:t>（“三公经费” 实际支出数/“三公经费”预算安排数）×</w:t>
            </w:r>
            <w:r>
              <w:rPr>
                <w:rFonts w:hint="eastAsia" w:ascii="宋体" w:hAnsi="宋体" w:eastAsia="宋体" w:cs="宋体"/>
                <w:b/>
                <w:bCs/>
                <w:color w:val="000000"/>
                <w:spacing w:val="0"/>
                <w:w w:val="100"/>
                <w:position w:val="0"/>
                <w:sz w:val="18"/>
                <w:szCs w:val="18"/>
                <w:lang w:val="en-US" w:eastAsia="en-US" w:bidi="en-US"/>
              </w:rPr>
              <w:t xml:space="preserve">100% </w:t>
            </w:r>
          </w:p>
        </w:tc>
        <w:tc>
          <w:tcPr>
            <w:tcW w:w="499"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1015" w:hRule="exact"/>
          <w:jc w:val="center"/>
        </w:trPr>
        <w:tc>
          <w:tcPr>
            <w:tcW w:w="36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vAlign w:val="center"/>
          </w:tcPr>
          <w:p>
            <w:pPr>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bidi w:val="0"/>
              <w:spacing w:before="0" w:after="0" w:line="314"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政府采购执行率</w:t>
            </w:r>
          </w:p>
        </w:tc>
        <w:tc>
          <w:tcPr>
            <w:tcW w:w="418"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3314"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计满分，每超过（降低）</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tc>
        <w:tc>
          <w:tcPr>
            <w:tcW w:w="2700"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政府采购执行率=（实际政府采购金额/政府采购预算数）×</w:t>
            </w:r>
            <w:r>
              <w:rPr>
                <w:rFonts w:hint="eastAsia" w:ascii="宋体" w:hAnsi="宋体" w:eastAsia="宋体" w:cs="宋体"/>
                <w:b/>
                <w:bCs/>
                <w:color w:val="000000"/>
                <w:spacing w:val="0"/>
                <w:w w:val="100"/>
                <w:position w:val="0"/>
                <w:sz w:val="18"/>
                <w:szCs w:val="18"/>
                <w:lang w:val="en-US" w:eastAsia="en-US" w:bidi="en-US"/>
              </w:rPr>
              <w:t>100%</w:t>
            </w:r>
          </w:p>
        </w:tc>
        <w:tc>
          <w:tcPr>
            <w:tcW w:w="499"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2116" w:hRule="exact"/>
          <w:jc w:val="center"/>
        </w:trPr>
        <w:tc>
          <w:tcPr>
            <w:tcW w:w="36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vAlign w:val="center"/>
          </w:tcPr>
          <w:p>
            <w:pPr>
              <w:pStyle w:val="24"/>
              <w:keepNext w:val="0"/>
              <w:keepLines w:val="0"/>
              <w:widowControl w:val="0"/>
              <w:shd w:val="clear" w:color="auto" w:fill="auto"/>
              <w:bidi w:val="0"/>
              <w:spacing w:before="0" w:after="0" w:line="306" w:lineRule="exact"/>
              <w:ind w:left="0" w:right="280" w:firstLine="180" w:firstLineChars="100"/>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05"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管理制度健全性</w:t>
            </w:r>
          </w:p>
        </w:tc>
        <w:tc>
          <w:tcPr>
            <w:tcW w:w="418"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000000"/>
                <w:spacing w:val="0"/>
                <w:w w:val="100"/>
                <w:position w:val="0"/>
                <w:sz w:val="18"/>
                <w:szCs w:val="18"/>
              </w:rPr>
            </w:pPr>
            <w:r>
              <w:rPr>
                <w:rFonts w:hint="eastAsia" w:ascii="宋体" w:hAnsi="宋体" w:eastAsia="宋体" w:cs="宋体"/>
                <w:b/>
                <w:bCs/>
                <w:color w:val="000000"/>
                <w:spacing w:val="0"/>
                <w:w w:val="100"/>
                <w:position w:val="0"/>
                <w:sz w:val="18"/>
                <w:szCs w:val="18"/>
              </w:rPr>
              <w:t>8</w:t>
            </w:r>
          </w:p>
        </w:tc>
        <w:tc>
          <w:tcPr>
            <w:tcW w:w="3314" w:type="dxa"/>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1、</w:t>
            </w:r>
            <w:r>
              <w:rPr>
                <w:rFonts w:hint="eastAsia" w:ascii="宋体" w:hAnsi="宋体" w:eastAsia="宋体" w:cs="宋体"/>
                <w:b w:val="0"/>
                <w:bCs w:val="0"/>
                <w:color w:val="000000"/>
                <w:spacing w:val="0"/>
                <w:w w:val="100"/>
                <w:position w:val="0"/>
                <w:sz w:val="18"/>
                <w:szCs w:val="18"/>
              </w:rPr>
              <w:t>有内部财务管理制度、会计核算制度等管理制度，2 分；</w:t>
            </w:r>
          </w:p>
          <w:p>
            <w:pPr>
              <w:pStyle w:val="24"/>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2、</w:t>
            </w:r>
            <w:r>
              <w:rPr>
                <w:rFonts w:hint="eastAsia" w:ascii="宋体" w:hAnsi="宋体" w:eastAsia="宋体" w:cs="宋体"/>
                <w:b w:val="0"/>
                <w:bCs w:val="0"/>
                <w:color w:val="000000"/>
                <w:spacing w:val="0"/>
                <w:w w:val="100"/>
                <w:position w:val="0"/>
                <w:sz w:val="18"/>
                <w:szCs w:val="18"/>
              </w:rPr>
              <w:t>有本部门厉行节约制度,2 分；</w:t>
            </w:r>
          </w:p>
          <w:p>
            <w:pPr>
              <w:pStyle w:val="24"/>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bCs/>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3、</w:t>
            </w:r>
            <w:r>
              <w:rPr>
                <w:rFonts w:hint="eastAsia" w:ascii="宋体" w:hAnsi="宋体" w:eastAsia="宋体" w:cs="宋体"/>
                <w:b w:val="0"/>
                <w:bCs w:val="0"/>
                <w:color w:val="000000"/>
                <w:spacing w:val="0"/>
                <w:w w:val="100"/>
                <w:position w:val="0"/>
                <w:sz w:val="18"/>
                <w:szCs w:val="18"/>
              </w:rPr>
              <w:t>相关管理制度合法、合规、完整，2分；</w:t>
            </w:r>
            <w:r>
              <w:rPr>
                <w:rFonts w:hint="eastAsia" w:ascii="宋体" w:hAnsi="宋体" w:eastAsia="宋体" w:cs="宋体"/>
                <w:b w:val="0"/>
                <w:bCs w:val="0"/>
                <w:color w:val="000000"/>
                <w:spacing w:val="0"/>
                <w:w w:val="100"/>
                <w:position w:val="0"/>
                <w:sz w:val="18"/>
                <w:szCs w:val="18"/>
                <w:lang w:val="en-US" w:eastAsia="zh-CN"/>
              </w:rPr>
              <w:t>4、</w:t>
            </w:r>
            <w:r>
              <w:rPr>
                <w:rFonts w:hint="eastAsia" w:ascii="宋体" w:hAnsi="宋体" w:eastAsia="宋体" w:cs="宋体"/>
                <w:b w:val="0"/>
                <w:bCs w:val="0"/>
                <w:color w:val="000000"/>
                <w:spacing w:val="0"/>
                <w:w w:val="100"/>
                <w:position w:val="0"/>
                <w:sz w:val="18"/>
                <w:szCs w:val="18"/>
              </w:rPr>
              <w:t>相关管理制度得到有效执行，2 分。</w:t>
            </w:r>
          </w:p>
        </w:tc>
        <w:tc>
          <w:tcPr>
            <w:tcW w:w="2700" w:type="dxa"/>
            <w:tcBorders>
              <w:top w:val="single" w:color="auto" w:sz="4" w:space="0"/>
              <w:left w:val="single" w:color="auto" w:sz="4" w:space="0"/>
            </w:tcBorders>
            <w:shd w:val="clear" w:color="auto" w:fill="FFFFFF"/>
            <w:vAlign w:val="top"/>
          </w:tcPr>
          <w:p>
            <w:pPr>
              <w:widowControl w:val="0"/>
              <w:jc w:val="left"/>
              <w:rPr>
                <w:rFonts w:hint="eastAsia" w:ascii="宋体" w:hAnsi="宋体" w:eastAsia="宋体" w:cs="宋体"/>
                <w:sz w:val="18"/>
                <w:szCs w:val="18"/>
              </w:rPr>
            </w:pPr>
          </w:p>
        </w:tc>
        <w:tc>
          <w:tcPr>
            <w:tcW w:w="499"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3496" w:hRule="exact"/>
          <w:jc w:val="center"/>
        </w:trPr>
        <w:tc>
          <w:tcPr>
            <w:tcW w:w="36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7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资金使用合规性</w:t>
            </w:r>
          </w:p>
        </w:tc>
        <w:tc>
          <w:tcPr>
            <w:tcW w:w="418"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3314" w:type="dxa"/>
            <w:tcBorders>
              <w:top w:val="single" w:color="auto" w:sz="4" w:space="0"/>
              <w:left w:val="single" w:color="auto" w:sz="4" w:space="0"/>
            </w:tcBorders>
            <w:shd w:val="clear" w:color="auto" w:fill="FFFFFF"/>
            <w:vAlign w:val="bottom"/>
          </w:tcPr>
          <w:p>
            <w:pPr>
              <w:pStyle w:val="24"/>
              <w:keepNext w:val="0"/>
              <w:keepLines w:val="0"/>
              <w:widowControl w:val="0"/>
              <w:numPr>
                <w:ilvl w:val="0"/>
                <w:numId w:val="0"/>
              </w:numPr>
              <w:shd w:val="clear" w:color="auto" w:fill="auto"/>
              <w:tabs>
                <w:tab w:val="left" w:pos="211"/>
              </w:tabs>
              <w:bidi w:val="0"/>
              <w:spacing w:before="0" w:after="0" w:line="313" w:lineRule="exact"/>
              <w:ind w:leftChars="0" w:right="0" w:right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zh-CN"/>
              </w:rPr>
              <w:t>1、</w:t>
            </w:r>
            <w:r>
              <w:rPr>
                <w:rFonts w:hint="eastAsia" w:ascii="宋体" w:hAnsi="宋体" w:eastAsia="宋体" w:cs="宋体"/>
                <w:color w:val="000000"/>
                <w:spacing w:val="0"/>
                <w:w w:val="100"/>
                <w:position w:val="0"/>
                <w:sz w:val="18"/>
                <w:szCs w:val="18"/>
              </w:rPr>
              <w:t>支出符合国家财经法规和财务管理制度规定以及有关专项资金管理办法的规定；</w:t>
            </w:r>
          </w:p>
          <w:p>
            <w:pPr>
              <w:pStyle w:val="24"/>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2、</w:t>
            </w:r>
            <w:r>
              <w:rPr>
                <w:rFonts w:hint="eastAsia" w:ascii="宋体" w:hAnsi="宋体" w:eastAsia="宋体" w:cs="宋体"/>
                <w:color w:val="000000"/>
                <w:spacing w:val="0"/>
                <w:w w:val="100"/>
                <w:position w:val="0"/>
                <w:sz w:val="18"/>
                <w:szCs w:val="18"/>
              </w:rPr>
              <w:t>资金拨付有完整的审批程序和手续；</w:t>
            </w:r>
          </w:p>
          <w:p>
            <w:pPr>
              <w:pStyle w:val="24"/>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3、</w:t>
            </w:r>
            <w:r>
              <w:rPr>
                <w:rFonts w:hint="eastAsia" w:ascii="宋体" w:hAnsi="宋体" w:eastAsia="宋体" w:cs="宋体"/>
                <w:color w:val="000000"/>
                <w:spacing w:val="0"/>
                <w:w w:val="100"/>
                <w:position w:val="0"/>
                <w:sz w:val="18"/>
                <w:szCs w:val="18"/>
              </w:rPr>
              <w:t>项目支出按规定经过评估论证；</w:t>
            </w:r>
          </w:p>
          <w:p>
            <w:pPr>
              <w:pStyle w:val="24"/>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4、</w:t>
            </w:r>
            <w:r>
              <w:rPr>
                <w:rFonts w:hint="eastAsia" w:ascii="宋体" w:hAnsi="宋体" w:eastAsia="宋体" w:cs="宋体"/>
                <w:color w:val="000000"/>
                <w:spacing w:val="0"/>
                <w:w w:val="100"/>
                <w:position w:val="0"/>
                <w:sz w:val="18"/>
                <w:szCs w:val="18"/>
              </w:rPr>
              <w:t>支出符合部门预算批复的用途；</w:t>
            </w:r>
          </w:p>
          <w:p>
            <w:pPr>
              <w:pStyle w:val="24"/>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zh-CN"/>
              </w:rPr>
              <w:t>5、</w:t>
            </w:r>
            <w:r>
              <w:rPr>
                <w:rFonts w:hint="eastAsia" w:ascii="宋体" w:hAnsi="宋体" w:eastAsia="宋体" w:cs="宋体"/>
                <w:color w:val="000000"/>
                <w:spacing w:val="0"/>
                <w:w w:val="100"/>
                <w:position w:val="0"/>
                <w:sz w:val="18"/>
                <w:szCs w:val="18"/>
              </w:rPr>
              <w:t xml:space="preserve"> 资金使用无截留、挤占、挪 用、虚列支出等情况。</w:t>
            </w:r>
          </w:p>
          <w:p>
            <w:pPr>
              <w:pStyle w:val="24"/>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以上情况每出现一例不符合 要求的扣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700" w:type="dxa"/>
            <w:tcBorders>
              <w:top w:val="single" w:color="auto" w:sz="4" w:space="0"/>
              <w:left w:val="single" w:color="auto" w:sz="4" w:space="0"/>
            </w:tcBorders>
            <w:shd w:val="clear" w:color="auto" w:fill="FFFFFF"/>
            <w:vAlign w:val="top"/>
          </w:tcPr>
          <w:p>
            <w:pPr>
              <w:widowControl w:val="0"/>
              <w:jc w:val="left"/>
              <w:rPr>
                <w:rFonts w:hint="eastAsia" w:ascii="宋体" w:hAnsi="宋体" w:eastAsia="宋体" w:cs="宋体"/>
                <w:sz w:val="18"/>
                <w:szCs w:val="18"/>
              </w:rPr>
            </w:pPr>
          </w:p>
        </w:tc>
        <w:tc>
          <w:tcPr>
            <w:tcW w:w="499"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2737" w:hRule="exact"/>
          <w:jc w:val="center"/>
        </w:trPr>
        <w:tc>
          <w:tcPr>
            <w:tcW w:w="368"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572"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预决算信息公开性</w:t>
            </w:r>
          </w:p>
        </w:tc>
        <w:tc>
          <w:tcPr>
            <w:tcW w:w="418" w:type="dxa"/>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3314" w:type="dxa"/>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numPr>
                <w:ilvl w:val="0"/>
                <w:numId w:val="2"/>
              </w:numPr>
              <w:shd w:val="clear" w:color="auto" w:fill="auto"/>
              <w:bidi w:val="0"/>
              <w:spacing w:before="0" w:after="0" w:line="311"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按规定内容公开预决算信息，</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24"/>
              <w:keepNext w:val="0"/>
              <w:keepLines w:val="0"/>
              <w:widowControl w:val="0"/>
              <w:numPr>
                <w:ilvl w:val="0"/>
                <w:numId w:val="2"/>
              </w:numPr>
              <w:shd w:val="clear" w:color="auto" w:fill="auto"/>
              <w:bidi w:val="0"/>
              <w:spacing w:before="0" w:after="0" w:line="311" w:lineRule="exact"/>
              <w:ind w:left="0" w:leftChars="0" w:right="0" w:rightChars="0" w:firstLine="0" w:firstLine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按规定时限公开预决算信息，</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24"/>
              <w:keepNext w:val="0"/>
              <w:keepLines w:val="0"/>
              <w:widowControl w:val="0"/>
              <w:numPr>
                <w:ilvl w:val="0"/>
                <w:numId w:val="2"/>
              </w:numPr>
              <w:shd w:val="clear" w:color="auto" w:fill="auto"/>
              <w:bidi w:val="0"/>
              <w:spacing w:before="0" w:after="0" w:line="311" w:lineRule="exact"/>
              <w:ind w:left="0" w:leftChars="0" w:right="0" w:rightChars="0" w:firstLine="0" w:firstLine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基础数据信息和会计信息资料真实，</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24"/>
              <w:keepNext w:val="0"/>
              <w:keepLines w:val="0"/>
              <w:widowControl w:val="0"/>
              <w:numPr>
                <w:ilvl w:val="0"/>
                <w:numId w:val="2"/>
              </w:numPr>
              <w:shd w:val="clear" w:color="auto" w:fill="auto"/>
              <w:bidi w:val="0"/>
              <w:spacing w:before="0" w:after="0" w:line="311" w:lineRule="exact"/>
              <w:ind w:left="0" w:leftChars="0" w:right="0" w:rightChars="0" w:firstLine="0" w:firstLine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基础数据信 息和会计信息资料完整，</w:t>
            </w:r>
            <w:r>
              <w:rPr>
                <w:rFonts w:hint="eastAsia" w:ascii="宋体" w:hAnsi="宋体" w:eastAsia="宋体" w:cs="宋体"/>
                <w:b/>
                <w:bCs/>
                <w:color w:val="000000"/>
                <w:spacing w:val="0"/>
                <w:w w:val="100"/>
                <w:position w:val="0"/>
                <w:sz w:val="18"/>
                <w:szCs w:val="18"/>
              </w:rPr>
              <w:t xml:space="preserve">1 </w:t>
            </w:r>
            <w:r>
              <w:rPr>
                <w:rFonts w:hint="eastAsia" w:ascii="宋体" w:hAnsi="宋体" w:eastAsia="宋体" w:cs="宋体"/>
                <w:color w:val="000000"/>
                <w:spacing w:val="0"/>
                <w:w w:val="100"/>
                <w:position w:val="0"/>
                <w:sz w:val="18"/>
                <w:szCs w:val="18"/>
              </w:rPr>
              <w:t>分；</w:t>
            </w:r>
          </w:p>
          <w:p>
            <w:pPr>
              <w:pStyle w:val="24"/>
              <w:keepNext w:val="0"/>
              <w:keepLines w:val="0"/>
              <w:widowControl w:val="0"/>
              <w:numPr>
                <w:ilvl w:val="0"/>
                <w:numId w:val="2"/>
              </w:numPr>
              <w:shd w:val="clear" w:color="auto" w:fill="auto"/>
              <w:bidi w:val="0"/>
              <w:spacing w:before="0" w:after="0" w:line="311" w:lineRule="exact"/>
              <w:ind w:left="0" w:leftChars="0" w:right="0" w:rightChars="0" w:firstLine="0" w:firstLine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基础数据信息和汇集信息资料准确，</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tc>
        <w:tc>
          <w:tcPr>
            <w:tcW w:w="2700" w:type="dxa"/>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305"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预决算信息是指与部门预算、执 行、决算、监督、绩效等管理相关的信息。</w:t>
            </w:r>
          </w:p>
        </w:tc>
        <w:tc>
          <w:tcPr>
            <w:tcW w:w="499"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bl>
    <w:p>
      <w:pPr>
        <w:spacing w:line="1" w:lineRule="exact"/>
        <w:jc w:val="center"/>
        <w:rPr>
          <w:rFonts w:hint="eastAsia" w:ascii="宋体" w:hAnsi="宋体" w:eastAsia="宋体" w:cs="宋体"/>
          <w:sz w:val="18"/>
          <w:szCs w:val="18"/>
        </w:rPr>
      </w:pPr>
      <w:r>
        <w:rPr>
          <w:rFonts w:hint="eastAsia" w:ascii="宋体" w:hAnsi="宋体" w:eastAsia="宋体" w:cs="宋体"/>
          <w:sz w:val="18"/>
          <w:szCs w:val="18"/>
        </w:rPr>
        <w:br w:type="page"/>
      </w:r>
    </w:p>
    <w:tbl>
      <w:tblPr>
        <w:tblStyle w:val="8"/>
        <w:tblW w:w="9771" w:type="dxa"/>
        <w:jc w:val="center"/>
        <w:tblLayout w:type="fixed"/>
        <w:tblCellMar>
          <w:top w:w="0" w:type="dxa"/>
          <w:left w:w="10" w:type="dxa"/>
          <w:bottom w:w="0" w:type="dxa"/>
          <w:right w:w="10" w:type="dxa"/>
        </w:tblCellMar>
      </w:tblPr>
      <w:tblGrid>
        <w:gridCol w:w="452"/>
        <w:gridCol w:w="440"/>
        <w:gridCol w:w="634"/>
        <w:gridCol w:w="398"/>
        <w:gridCol w:w="1084"/>
        <w:gridCol w:w="408"/>
        <w:gridCol w:w="2724"/>
        <w:gridCol w:w="2784"/>
        <w:gridCol w:w="847"/>
      </w:tblGrid>
      <w:tr>
        <w:tblPrEx>
          <w:tblCellMar>
            <w:top w:w="0" w:type="dxa"/>
            <w:left w:w="10" w:type="dxa"/>
            <w:bottom w:w="0" w:type="dxa"/>
            <w:right w:w="10" w:type="dxa"/>
          </w:tblCellMar>
        </w:tblPrEx>
        <w:trPr>
          <w:trHeight w:val="1262" w:hRule="exact"/>
          <w:jc w:val="center"/>
        </w:trPr>
        <w:tc>
          <w:tcPr>
            <w:tcW w:w="452" w:type="dxa"/>
            <w:tcBorders>
              <w:top w:val="single" w:color="auto" w:sz="4" w:space="0"/>
              <w:left w:val="single" w:color="auto" w:sz="4" w:space="0"/>
              <w:bottom w:val="single" w:color="auto" w:sz="4" w:space="0"/>
            </w:tcBorders>
            <w:shd w:val="clear" w:color="auto" w:fill="FFFFFF"/>
            <w:vAlign w:val="bottom"/>
          </w:tcPr>
          <w:p>
            <w:pPr>
              <w:pStyle w:val="24"/>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一</w:t>
            </w:r>
          </w:p>
          <w:p>
            <w:pPr>
              <w:pStyle w:val="24"/>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 指 标</w:t>
            </w:r>
          </w:p>
        </w:tc>
        <w:tc>
          <w:tcPr>
            <w:tcW w:w="440" w:type="dxa"/>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634" w:type="dxa"/>
            <w:tcBorders>
              <w:top w:val="single" w:color="auto" w:sz="4" w:space="0"/>
              <w:left w:val="single" w:color="auto" w:sz="4" w:space="0"/>
              <w:bottom w:val="single" w:color="auto" w:sz="4" w:space="0"/>
            </w:tcBorders>
            <w:shd w:val="clear" w:color="auto" w:fill="FFFFFF"/>
            <w:vAlign w:val="bottom"/>
          </w:tcPr>
          <w:p>
            <w:pPr>
              <w:pStyle w:val="24"/>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二</w:t>
            </w:r>
          </w:p>
          <w:p>
            <w:pPr>
              <w:pStyle w:val="24"/>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级 </w:t>
            </w:r>
          </w:p>
          <w:p>
            <w:pPr>
              <w:pStyle w:val="24"/>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指 </w:t>
            </w:r>
          </w:p>
          <w:p>
            <w:pPr>
              <w:pStyle w:val="24"/>
              <w:keepNext w:val="0"/>
              <w:keepLines w:val="0"/>
              <w:widowControl w:val="0"/>
              <w:shd w:val="clear" w:color="auto" w:fill="auto"/>
              <w:bidi w:val="0"/>
              <w:spacing w:before="0" w:after="0" w:line="312" w:lineRule="exact"/>
              <w:ind w:right="0" w:right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标</w:t>
            </w:r>
          </w:p>
        </w:tc>
        <w:tc>
          <w:tcPr>
            <w:tcW w:w="398" w:type="dxa"/>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1084" w:type="dxa"/>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 指标</w:t>
            </w:r>
          </w:p>
        </w:tc>
        <w:tc>
          <w:tcPr>
            <w:tcW w:w="408" w:type="dxa"/>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724" w:type="dxa"/>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2784" w:type="dxa"/>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847" w:type="dxa"/>
            <w:tcBorders>
              <w:top w:val="single" w:color="auto" w:sz="4" w:space="0"/>
              <w:left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1610" w:hRule="exact"/>
          <w:jc w:val="center"/>
        </w:trPr>
        <w:tc>
          <w:tcPr>
            <w:tcW w:w="45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产 出 及 效 率</w:t>
            </w:r>
          </w:p>
        </w:tc>
        <w:tc>
          <w:tcPr>
            <w:tcW w:w="44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26</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314" w:lineRule="exact"/>
              <w:ind w:left="20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职 责 履 行</w:t>
            </w:r>
          </w:p>
        </w:tc>
        <w:tc>
          <w:tcPr>
            <w:tcW w:w="3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108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重点工作实际完成率</w:t>
            </w: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72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根据绩效办对各部门为民办实事和部门重点工程与重点工作考核分数折算。</w:t>
            </w:r>
          </w:p>
          <w:p>
            <w:pPr>
              <w:pStyle w:val="24"/>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该项得分=（绩效办对应部分考核得分</w:t>
            </w:r>
            <w:r>
              <w:rPr>
                <w:rFonts w:hint="eastAsia" w:ascii="宋体" w:hAnsi="宋体" w:eastAsia="宋体" w:cs="宋体"/>
                <w:b/>
                <w:bCs/>
                <w:color w:val="000000"/>
                <w:spacing w:val="0"/>
                <w:w w:val="100"/>
                <w:position w:val="0"/>
                <w:sz w:val="18"/>
                <w:szCs w:val="18"/>
              </w:rPr>
              <w:t xml:space="preserve">/350） </w:t>
            </w:r>
            <w:r>
              <w:rPr>
                <w:rFonts w:hint="eastAsia" w:ascii="宋体" w:hAnsi="宋体" w:eastAsia="宋体" w:cs="宋体"/>
                <w:b/>
                <w:bCs/>
                <w:color w:val="000000"/>
                <w:spacing w:val="0"/>
                <w:w w:val="100"/>
                <w:position w:val="0"/>
                <w:sz w:val="18"/>
                <w:szCs w:val="18"/>
                <w:lang w:val="en-US" w:eastAsia="en-US" w:bidi="en-US"/>
              </w:rPr>
              <w:t>*8</w:t>
            </w:r>
          </w:p>
        </w:tc>
        <w:tc>
          <w:tcPr>
            <w:tcW w:w="2784"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left"/>
              <w:rPr>
                <w:rFonts w:hint="eastAsia" w:ascii="宋体" w:hAnsi="宋体" w:eastAsia="宋体" w:cs="宋体"/>
                <w:sz w:val="18"/>
                <w:szCs w:val="18"/>
              </w:rPr>
            </w:pPr>
          </w:p>
        </w:tc>
        <w:tc>
          <w:tcPr>
            <w:tcW w:w="847"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821" w:hRule="exact"/>
          <w:jc w:val="center"/>
        </w:trPr>
        <w:tc>
          <w:tcPr>
            <w:tcW w:w="4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4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63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306" w:lineRule="exact"/>
              <w:ind w:left="20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履 职 效 益</w:t>
            </w:r>
          </w:p>
        </w:tc>
        <w:tc>
          <w:tcPr>
            <w:tcW w:w="39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108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98"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经济效益</w:t>
            </w:r>
          </w:p>
        </w:tc>
        <w:tc>
          <w:tcPr>
            <w:tcW w:w="4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5508"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此两项指标为设置部门整体支出绩效评价指标时必须考虑的共性要素，可根据部门实际情况有选择的进行设置，并将其细化为相应的个性化指标。</w:t>
            </w:r>
          </w:p>
        </w:tc>
        <w:tc>
          <w:tcPr>
            <w:tcW w:w="847" w:type="dxa"/>
            <w:vMerge w:val="restart"/>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634" w:hRule="exact"/>
          <w:jc w:val="center"/>
        </w:trPr>
        <w:tc>
          <w:tcPr>
            <w:tcW w:w="4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4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63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108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93"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社会效益</w:t>
            </w:r>
          </w:p>
        </w:tc>
        <w:tc>
          <w:tcPr>
            <w:tcW w:w="4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5508"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p>
        </w:tc>
        <w:tc>
          <w:tcPr>
            <w:tcW w:w="847" w:type="dxa"/>
            <w:vMerge w:val="continue"/>
            <w:tcBorders>
              <w:left w:val="single" w:color="auto" w:sz="4" w:space="0"/>
              <w:right w:val="single" w:color="auto" w:sz="4" w:space="0"/>
            </w:tcBorders>
            <w:shd w:val="clear" w:color="auto" w:fill="FFFFFF"/>
            <w:vAlign w:val="top"/>
          </w:tcPr>
          <w:p>
            <w:pPr>
              <w:jc w:val="center"/>
              <w:rPr>
                <w:rFonts w:hint="eastAsia" w:ascii="宋体" w:hAnsi="宋体" w:eastAsia="宋体" w:cs="宋体"/>
                <w:sz w:val="18"/>
                <w:szCs w:val="18"/>
              </w:rPr>
            </w:pPr>
          </w:p>
        </w:tc>
      </w:tr>
      <w:tr>
        <w:tblPrEx>
          <w:tblCellMar>
            <w:top w:w="0" w:type="dxa"/>
            <w:left w:w="10" w:type="dxa"/>
            <w:bottom w:w="0" w:type="dxa"/>
            <w:right w:w="10" w:type="dxa"/>
          </w:tblCellMar>
        </w:tblPrEx>
        <w:trPr>
          <w:trHeight w:val="1798" w:hRule="exact"/>
          <w:jc w:val="center"/>
        </w:trPr>
        <w:tc>
          <w:tcPr>
            <w:tcW w:w="4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4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63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39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12</w:t>
            </w:r>
          </w:p>
        </w:tc>
        <w:tc>
          <w:tcPr>
            <w:tcW w:w="108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行政效能</w:t>
            </w: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72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311"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促进部门改进文风会风，加强经费及资产管理，推动网上办事，提高行政效率，降低行政成本效果较好的计</w:t>
            </w:r>
            <w:r>
              <w:rPr>
                <w:rFonts w:hint="eastAsia" w:ascii="宋体" w:hAnsi="宋体" w:eastAsia="宋体" w:cs="宋体"/>
                <w:b/>
                <w:bCs/>
                <w:color w:val="000000"/>
                <w:spacing w:val="0"/>
                <w:w w:val="100"/>
                <w:position w:val="0"/>
                <w:sz w:val="18"/>
                <w:szCs w:val="18"/>
              </w:rPr>
              <w:t xml:space="preserve">6 </w:t>
            </w:r>
            <w:r>
              <w:rPr>
                <w:rFonts w:hint="eastAsia" w:ascii="宋体" w:hAnsi="宋体" w:eastAsia="宋体" w:cs="宋体"/>
                <w:color w:val="000000"/>
                <w:spacing w:val="0"/>
                <w:w w:val="100"/>
                <w:position w:val="0"/>
                <w:sz w:val="18"/>
                <w:szCs w:val="18"/>
              </w:rPr>
              <w:t>分；一般</w:t>
            </w:r>
            <w:r>
              <w:rPr>
                <w:rFonts w:hint="eastAsia" w:ascii="宋体" w:hAnsi="宋体" w:eastAsia="宋体" w:cs="宋体"/>
                <w:b/>
                <w:bCs/>
                <w:color w:val="000000"/>
                <w:spacing w:val="0"/>
                <w:w w:val="100"/>
                <w:position w:val="0"/>
                <w:sz w:val="18"/>
                <w:szCs w:val="18"/>
              </w:rPr>
              <w:t>3</w:t>
            </w:r>
            <w:r>
              <w:rPr>
                <w:rFonts w:hint="eastAsia" w:ascii="宋体" w:hAnsi="宋体" w:eastAsia="宋体" w:cs="宋体"/>
                <w:color w:val="000000"/>
                <w:spacing w:val="0"/>
                <w:w w:val="100"/>
                <w:position w:val="0"/>
                <w:sz w:val="18"/>
                <w:szCs w:val="18"/>
              </w:rPr>
              <w:t>分；无效果或者 效果不明显</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分。</w:t>
            </w:r>
          </w:p>
        </w:tc>
        <w:tc>
          <w:tcPr>
            <w:tcW w:w="278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根据部门实际情况评定。</w:t>
            </w:r>
          </w:p>
        </w:tc>
        <w:tc>
          <w:tcPr>
            <w:tcW w:w="847"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1639" w:hRule="exact"/>
          <w:jc w:val="center"/>
        </w:trPr>
        <w:tc>
          <w:tcPr>
            <w:tcW w:w="4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4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63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108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社会公众或服务对象满意度</w:t>
            </w: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72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90% </w:t>
            </w:r>
            <w:r>
              <w:rPr>
                <w:rFonts w:hint="eastAsia" w:ascii="宋体" w:hAnsi="宋体" w:eastAsia="宋体" w:cs="宋体"/>
                <w:color w:val="000000"/>
                <w:spacing w:val="0"/>
                <w:w w:val="100"/>
                <w:position w:val="0"/>
                <w:sz w:val="18"/>
                <w:szCs w:val="18"/>
              </w:rPr>
              <w:t>（含）以上计</w:t>
            </w:r>
            <w:r>
              <w:rPr>
                <w:rFonts w:hint="eastAsia" w:ascii="宋体" w:hAnsi="宋体" w:eastAsia="宋体" w:cs="宋体"/>
                <w:b/>
                <w:bCs/>
                <w:color w:val="000000"/>
                <w:spacing w:val="0"/>
                <w:w w:val="100"/>
                <w:position w:val="0"/>
                <w:sz w:val="18"/>
                <w:szCs w:val="18"/>
              </w:rPr>
              <w:t>6</w:t>
            </w:r>
            <w:r>
              <w:rPr>
                <w:rFonts w:hint="eastAsia" w:ascii="宋体" w:hAnsi="宋体" w:eastAsia="宋体" w:cs="宋体"/>
                <w:color w:val="000000"/>
                <w:spacing w:val="0"/>
                <w:w w:val="100"/>
                <w:position w:val="0"/>
                <w:sz w:val="18"/>
                <w:szCs w:val="18"/>
              </w:rPr>
              <w:t>分；</w:t>
            </w:r>
          </w:p>
          <w:p>
            <w:pPr>
              <w:pStyle w:val="24"/>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80% </w:t>
            </w:r>
            <w:r>
              <w:rPr>
                <w:rFonts w:hint="eastAsia" w:ascii="宋体" w:hAnsi="宋体" w:eastAsia="宋体" w:cs="宋体"/>
                <w:color w:val="000000"/>
                <w:spacing w:val="0"/>
                <w:w w:val="100"/>
                <w:position w:val="0"/>
                <w:sz w:val="18"/>
                <w:szCs w:val="18"/>
              </w:rPr>
              <w:t>（含）</w:t>
            </w:r>
            <w:r>
              <w:rPr>
                <w:rFonts w:hint="eastAsia" w:ascii="宋体" w:hAnsi="宋体" w:eastAsia="宋体" w:cs="宋体"/>
                <w:b/>
                <w:bCs/>
                <w:color w:val="000000"/>
                <w:spacing w:val="0"/>
                <w:w w:val="100"/>
                <w:position w:val="0"/>
                <w:sz w:val="18"/>
                <w:szCs w:val="18"/>
              </w:rPr>
              <w:t>-90%,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4</w:t>
            </w:r>
            <w:r>
              <w:rPr>
                <w:rFonts w:hint="eastAsia" w:ascii="宋体" w:hAnsi="宋体" w:eastAsia="宋体" w:cs="宋体"/>
                <w:color w:val="000000"/>
                <w:spacing w:val="0"/>
                <w:w w:val="100"/>
                <w:position w:val="0"/>
                <w:sz w:val="18"/>
                <w:szCs w:val="18"/>
              </w:rPr>
              <w:t>分；</w:t>
            </w:r>
          </w:p>
          <w:p>
            <w:pPr>
              <w:pStyle w:val="24"/>
              <w:keepNext w:val="0"/>
              <w:keepLines w:val="0"/>
              <w:widowControl w:val="0"/>
              <w:shd w:val="clear" w:color="auto" w:fill="auto"/>
              <w:bidi w:val="0"/>
              <w:spacing w:before="0" w:after="0" w:line="317"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b/>
                <w:bCs/>
                <w:color w:val="000000"/>
                <w:spacing w:val="0"/>
                <w:w w:val="100"/>
                <w:position w:val="0"/>
                <w:sz w:val="18"/>
                <w:szCs w:val="18"/>
              </w:rPr>
              <w:t xml:space="preserve">70% </w:t>
            </w:r>
            <w:r>
              <w:rPr>
                <w:rFonts w:hint="eastAsia" w:ascii="宋体" w:hAnsi="宋体" w:eastAsia="宋体" w:cs="宋体"/>
                <w:color w:val="000000"/>
                <w:spacing w:val="0"/>
                <w:w w:val="100"/>
                <w:position w:val="0"/>
                <w:sz w:val="18"/>
                <w:szCs w:val="18"/>
              </w:rPr>
              <w:t>（含）</w:t>
            </w:r>
            <w:r>
              <w:rPr>
                <w:rFonts w:hint="eastAsia" w:ascii="宋体" w:hAnsi="宋体" w:eastAsia="宋体" w:cs="宋体"/>
                <w:b/>
                <w:bCs/>
                <w:color w:val="000000"/>
                <w:spacing w:val="0"/>
                <w:w w:val="100"/>
                <w:position w:val="0"/>
                <w:sz w:val="18"/>
                <w:szCs w:val="18"/>
              </w:rPr>
              <w:t>-80%,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 xml:space="preserve">分； </w:t>
            </w:r>
          </w:p>
          <w:p>
            <w:pPr>
              <w:pStyle w:val="24"/>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低于</w:t>
            </w:r>
            <w:r>
              <w:rPr>
                <w:rFonts w:hint="eastAsia" w:ascii="宋体" w:hAnsi="宋体" w:eastAsia="宋体" w:cs="宋体"/>
                <w:b/>
                <w:bCs/>
                <w:color w:val="000000"/>
                <w:spacing w:val="0"/>
                <w:w w:val="100"/>
                <w:position w:val="0"/>
                <w:sz w:val="18"/>
                <w:szCs w:val="18"/>
              </w:rPr>
              <w:t>70%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分。</w:t>
            </w:r>
          </w:p>
        </w:tc>
        <w:tc>
          <w:tcPr>
            <w:tcW w:w="278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社会公众或服务对象是指部门（单位）履行职责而影响到的部门、群体或个人，一般采取社会调查的方式。</w:t>
            </w:r>
          </w:p>
        </w:tc>
        <w:tc>
          <w:tcPr>
            <w:tcW w:w="847"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634" w:hRule="exact"/>
          <w:jc w:val="center"/>
        </w:trPr>
        <w:tc>
          <w:tcPr>
            <w:tcW w:w="8924"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314" w:lineRule="exact"/>
              <w:ind w:left="0" w:right="0" w:firstLine="0"/>
              <w:jc w:val="center"/>
              <w:rPr>
                <w:rFonts w:hint="eastAsia" w:ascii="宋体" w:hAnsi="宋体" w:eastAsia="宋体" w:cs="宋体"/>
                <w:color w:val="000000"/>
                <w:spacing w:val="0"/>
                <w:w w:val="100"/>
                <w:position w:val="0"/>
                <w:sz w:val="18"/>
                <w:szCs w:val="18"/>
                <w:lang w:eastAsia="zh-CN"/>
              </w:rPr>
            </w:pPr>
            <w:r>
              <w:rPr>
                <w:rFonts w:hint="eastAsia" w:cs="宋体"/>
                <w:b/>
                <w:bCs/>
                <w:color w:val="000000"/>
                <w:spacing w:val="0"/>
                <w:w w:val="100"/>
                <w:position w:val="0"/>
                <w:sz w:val="18"/>
                <w:szCs w:val="18"/>
                <w:lang w:eastAsia="zh-CN"/>
              </w:rPr>
              <w:t>得分</w:t>
            </w:r>
          </w:p>
        </w:tc>
        <w:tc>
          <w:tcPr>
            <w:tcW w:w="847"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95</w:t>
            </w:r>
          </w:p>
        </w:tc>
      </w:tr>
    </w:tbl>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pStyle w:val="23"/>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23"/>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23"/>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23"/>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23"/>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28"/>
        <w:keepNext w:val="0"/>
        <w:keepLines w:val="0"/>
        <w:widowControl w:val="0"/>
        <w:shd w:val="clear" w:color="auto" w:fill="auto"/>
        <w:bidi w:val="0"/>
        <w:spacing w:before="180" w:after="480" w:line="240" w:lineRule="auto"/>
        <w:ind w:left="0" w:right="0" w:firstLine="0"/>
        <w:jc w:val="left"/>
        <w:rPr>
          <w:rFonts w:hint="eastAsia" w:ascii="仿宋" w:hAnsi="仿宋" w:eastAsia="仿宋" w:cs="仿宋"/>
          <w:b w:val="0"/>
          <w:bCs w:val="0"/>
          <w:color w:val="000000"/>
          <w:spacing w:val="0"/>
          <w:w w:val="100"/>
          <w:position w:val="0"/>
          <w:sz w:val="28"/>
          <w:szCs w:val="28"/>
          <w:lang w:val="zh-CN" w:eastAsia="zh-CN"/>
        </w:rPr>
      </w:pPr>
      <w:r>
        <w:rPr>
          <w:rFonts w:hint="eastAsia" w:ascii="仿宋" w:hAnsi="仿宋" w:eastAsia="仿宋" w:cs="仿宋"/>
          <w:b w:val="0"/>
          <w:bCs w:val="0"/>
          <w:color w:val="000000"/>
          <w:spacing w:val="0"/>
          <w:w w:val="100"/>
          <w:position w:val="0"/>
          <w:sz w:val="28"/>
          <w:szCs w:val="28"/>
          <w:lang w:val="zh-CN" w:eastAsia="zh-CN"/>
        </w:rPr>
        <w:t>附件</w:t>
      </w:r>
      <w:r>
        <w:rPr>
          <w:rFonts w:hint="eastAsia" w:ascii="仿宋" w:hAnsi="仿宋" w:eastAsia="仿宋" w:cs="仿宋"/>
          <w:b w:val="0"/>
          <w:bCs w:val="0"/>
          <w:color w:val="000000"/>
          <w:spacing w:val="0"/>
          <w:w w:val="100"/>
          <w:position w:val="0"/>
          <w:sz w:val="28"/>
          <w:szCs w:val="28"/>
          <w:lang w:val="en-US" w:eastAsia="zh-CN"/>
        </w:rPr>
        <w:t>1</w:t>
      </w:r>
      <w:r>
        <w:rPr>
          <w:rFonts w:hint="eastAsia" w:ascii="仿宋" w:hAnsi="仿宋" w:eastAsia="仿宋" w:cs="仿宋"/>
          <w:b w:val="0"/>
          <w:bCs w:val="0"/>
          <w:color w:val="000000"/>
          <w:spacing w:val="0"/>
          <w:w w:val="100"/>
          <w:position w:val="0"/>
          <w:sz w:val="28"/>
          <w:szCs w:val="28"/>
          <w:lang w:val="en-US" w:eastAsia="en-US"/>
        </w:rPr>
        <w:t>-2</w:t>
      </w:r>
    </w:p>
    <w:p>
      <w:pPr>
        <w:pStyle w:val="23"/>
        <w:keepNext w:val="0"/>
        <w:keepLines w:val="0"/>
        <w:widowControl w:val="0"/>
        <w:shd w:val="clear" w:color="auto" w:fill="auto"/>
        <w:bidi w:val="0"/>
        <w:spacing w:after="420" w:line="240" w:lineRule="auto"/>
        <w:ind w:left="0" w:leftChars="0" w:right="0" w:firstLine="0" w:firstLineChars="0"/>
        <w:jc w:val="cente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pPr>
      <w:bookmarkStart w:id="3" w:name="bookmark87"/>
      <w:bookmarkStart w:id="4" w:name="bookmark85"/>
      <w:bookmarkStart w:id="5" w:name="bookmark86"/>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部门整体支出绩效评价基础数据表</w:t>
      </w:r>
      <w:bookmarkEnd w:id="3"/>
      <w:bookmarkEnd w:id="4"/>
      <w:bookmarkEnd w:id="5"/>
    </w:p>
    <w:p>
      <w:pPr>
        <w:pStyle w:val="25"/>
        <w:keepNext w:val="0"/>
        <w:keepLines w:val="0"/>
        <w:widowControl w:val="0"/>
        <w:shd w:val="clear" w:color="auto" w:fill="auto"/>
        <w:bidi w:val="0"/>
        <w:spacing w:before="0" w:line="240" w:lineRule="auto"/>
        <w:ind w:left="0" w:leftChars="0" w:right="0" w:firstLine="0" w:firstLineChars="0"/>
        <w:jc w:val="left"/>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rPr>
        <w:t>填报单位：</w:t>
      </w:r>
      <w:r>
        <w:rPr>
          <w:rFonts w:hint="eastAsia" w:cs="宋体"/>
          <w:color w:val="000000"/>
          <w:spacing w:val="0"/>
          <w:w w:val="100"/>
          <w:position w:val="0"/>
          <w:sz w:val="24"/>
          <w:szCs w:val="24"/>
          <w:lang w:eastAsia="zh-CN"/>
        </w:rPr>
        <w:t>珠晖区扶贫开发办公室</w:t>
      </w:r>
    </w:p>
    <w:tbl>
      <w:tblPr>
        <w:tblStyle w:val="8"/>
        <w:tblW w:w="9437" w:type="dxa"/>
        <w:jc w:val="center"/>
        <w:tblLayout w:type="fixed"/>
        <w:tblCellMar>
          <w:top w:w="0" w:type="dxa"/>
          <w:left w:w="10" w:type="dxa"/>
          <w:bottom w:w="0" w:type="dxa"/>
          <w:right w:w="10" w:type="dxa"/>
        </w:tblCellMar>
      </w:tblPr>
      <w:tblGrid>
        <w:gridCol w:w="3261"/>
        <w:gridCol w:w="795"/>
        <w:gridCol w:w="971"/>
        <w:gridCol w:w="1180"/>
        <w:gridCol w:w="1070"/>
        <w:gridCol w:w="1109"/>
        <w:gridCol w:w="1051"/>
      </w:tblGrid>
      <w:tr>
        <w:tblPrEx>
          <w:tblCellMar>
            <w:top w:w="0" w:type="dxa"/>
            <w:left w:w="10" w:type="dxa"/>
            <w:bottom w:w="0" w:type="dxa"/>
            <w:right w:w="10" w:type="dxa"/>
          </w:tblCellMar>
        </w:tblPrEx>
        <w:trPr>
          <w:trHeight w:val="442" w:hRule="exact"/>
          <w:jc w:val="center"/>
        </w:trPr>
        <w:tc>
          <w:tcPr>
            <w:tcW w:w="9437" w:type="dxa"/>
            <w:gridSpan w:val="7"/>
            <w:tcBorders>
              <w:top w:val="single" w:color="auto" w:sz="4" w:space="0"/>
              <w:left w:val="single" w:color="auto" w:sz="4" w:space="0"/>
              <w:right w:val="single" w:color="auto" w:sz="4" w:space="0"/>
            </w:tcBorders>
            <w:shd w:val="clear" w:color="auto" w:fill="FFFFFF"/>
            <w:vAlign w:val="center"/>
          </w:tcPr>
          <w:p>
            <w:pPr>
              <w:pStyle w:val="24"/>
              <w:keepNext w:val="0"/>
              <w:keepLines w:val="0"/>
              <w:widowControl w:val="0"/>
              <w:shd w:val="clear" w:color="auto" w:fill="auto"/>
              <w:tabs>
                <w:tab w:val="left" w:pos="2015"/>
              </w:tabs>
              <w:bidi w:val="0"/>
              <w:spacing w:before="0" w:after="0" w:line="240" w:lineRule="auto"/>
              <w:ind w:left="0" w:right="0" w:firstLine="0"/>
              <w:jc w:val="center"/>
              <w:rPr>
                <w:rFonts w:hint="eastAsia" w:ascii="宋体" w:hAnsi="宋体" w:eastAsia="宋体" w:cs="宋体"/>
                <w:color w:val="000000"/>
                <w:spacing w:val="0"/>
                <w:w w:val="100"/>
                <w:position w:val="0"/>
                <w:sz w:val="24"/>
                <w:szCs w:val="24"/>
                <w:lang w:eastAsia="zh-CN"/>
              </w:rPr>
            </w:pPr>
            <w:r>
              <w:rPr>
                <w:rFonts w:hint="eastAsia" w:ascii="宋体" w:hAnsi="宋体" w:eastAsia="宋体" w:cs="宋体"/>
                <w:b/>
                <w:bCs/>
                <w:color w:val="000000"/>
                <w:spacing w:val="0"/>
                <w:w w:val="100"/>
                <w:position w:val="0"/>
                <w:sz w:val="28"/>
                <w:szCs w:val="28"/>
              </w:rPr>
              <w:t>一、部门（单位）基本概况</w:t>
            </w:r>
          </w:p>
        </w:tc>
      </w:tr>
      <w:tr>
        <w:tblPrEx>
          <w:tblCellMar>
            <w:top w:w="0" w:type="dxa"/>
            <w:left w:w="10" w:type="dxa"/>
            <w:bottom w:w="0" w:type="dxa"/>
            <w:right w:w="10" w:type="dxa"/>
          </w:tblCellMar>
        </w:tblPrEx>
        <w:trPr>
          <w:trHeight w:val="442" w:hRule="exact"/>
          <w:jc w:val="center"/>
        </w:trPr>
        <w:tc>
          <w:tcPr>
            <w:tcW w:w="3261"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right="0"/>
              <w:jc w:val="left"/>
              <w:rPr>
                <w:rFonts w:hint="eastAsia" w:ascii="宋体" w:hAnsi="宋体" w:eastAsia="宋体" w:cs="宋体"/>
                <w:color w:val="000000"/>
                <w:spacing w:val="0"/>
                <w:w w:val="100"/>
                <w:position w:val="0"/>
                <w:sz w:val="24"/>
                <w:szCs w:val="24"/>
                <w:lang w:val="zh-CN" w:eastAsia="zh-CN"/>
              </w:rPr>
            </w:pPr>
            <w:r>
              <w:rPr>
                <w:rFonts w:hint="eastAsia" w:ascii="宋体" w:hAnsi="宋体" w:eastAsia="宋体" w:cs="宋体"/>
                <w:color w:val="000000"/>
                <w:spacing w:val="0"/>
                <w:w w:val="100"/>
                <w:position w:val="0"/>
                <w:sz w:val="24"/>
                <w:szCs w:val="24"/>
                <w:lang w:val="zh-CN" w:eastAsia="zh-CN"/>
              </w:rPr>
              <w:t>联系人</w:t>
            </w:r>
          </w:p>
        </w:tc>
        <w:tc>
          <w:tcPr>
            <w:tcW w:w="1766" w:type="dxa"/>
            <w:gridSpan w:val="2"/>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520"/>
              <w:jc w:val="left"/>
              <w:rPr>
                <w:rFonts w:hint="eastAsia" w:ascii="宋体" w:hAnsi="宋体" w:eastAsia="宋体" w:cs="宋体"/>
                <w:color w:val="000000"/>
                <w:spacing w:val="0"/>
                <w:w w:val="100"/>
                <w:position w:val="0"/>
                <w:sz w:val="24"/>
                <w:szCs w:val="24"/>
                <w:lang w:val="zh-CN" w:eastAsia="zh-CN"/>
              </w:rPr>
            </w:pPr>
            <w:r>
              <w:rPr>
                <w:rFonts w:hint="eastAsia" w:cs="宋体"/>
                <w:color w:val="000000"/>
                <w:spacing w:val="0"/>
                <w:w w:val="100"/>
                <w:position w:val="0"/>
                <w:sz w:val="24"/>
                <w:szCs w:val="24"/>
                <w:lang w:val="zh-CN" w:eastAsia="zh-CN"/>
              </w:rPr>
              <w:t>李满凤</w:t>
            </w:r>
          </w:p>
        </w:tc>
        <w:tc>
          <w:tcPr>
            <w:tcW w:w="2250" w:type="dxa"/>
            <w:gridSpan w:val="2"/>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right="0"/>
              <w:jc w:val="left"/>
              <w:rPr>
                <w:rFonts w:hint="eastAsia" w:ascii="宋体" w:hAnsi="宋体" w:eastAsia="宋体" w:cs="宋体"/>
                <w:color w:val="000000"/>
                <w:spacing w:val="0"/>
                <w:w w:val="100"/>
                <w:position w:val="0"/>
                <w:sz w:val="24"/>
                <w:szCs w:val="24"/>
                <w:lang w:val="zh-CN" w:eastAsia="zh-CN"/>
              </w:rPr>
            </w:pPr>
            <w:r>
              <w:rPr>
                <w:rFonts w:hint="eastAsia" w:ascii="宋体" w:hAnsi="宋体" w:eastAsia="宋体" w:cs="宋体"/>
                <w:color w:val="000000"/>
                <w:spacing w:val="0"/>
                <w:w w:val="100"/>
                <w:position w:val="0"/>
                <w:sz w:val="24"/>
                <w:szCs w:val="24"/>
                <w:lang w:val="zh-CN" w:eastAsia="zh-CN"/>
              </w:rPr>
              <w:t>联络电话</w:t>
            </w:r>
          </w:p>
        </w:tc>
        <w:tc>
          <w:tcPr>
            <w:tcW w:w="2160" w:type="dxa"/>
            <w:gridSpan w:val="2"/>
            <w:tcBorders>
              <w:top w:val="single" w:color="auto" w:sz="4" w:space="0"/>
              <w:left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right="0" w:firstLine="240" w:firstLineChars="100"/>
              <w:jc w:val="left"/>
              <w:rPr>
                <w:rFonts w:hint="default" w:ascii="宋体" w:hAnsi="宋体" w:eastAsia="宋体"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0734-81696366</w:t>
            </w:r>
          </w:p>
        </w:tc>
      </w:tr>
      <w:tr>
        <w:tblPrEx>
          <w:tblCellMar>
            <w:top w:w="0" w:type="dxa"/>
            <w:left w:w="10" w:type="dxa"/>
            <w:bottom w:w="0" w:type="dxa"/>
            <w:right w:w="10" w:type="dxa"/>
          </w:tblCellMar>
        </w:tblPrEx>
        <w:trPr>
          <w:trHeight w:val="442" w:hRule="exact"/>
          <w:jc w:val="center"/>
        </w:trPr>
        <w:tc>
          <w:tcPr>
            <w:tcW w:w="3261" w:type="dxa"/>
            <w:vMerge w:val="restart"/>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right="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财政供养人员情况</w:t>
            </w:r>
          </w:p>
        </w:tc>
        <w:tc>
          <w:tcPr>
            <w:tcW w:w="1766" w:type="dxa"/>
            <w:gridSpan w:val="2"/>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编制数</w:t>
            </w:r>
          </w:p>
        </w:tc>
        <w:tc>
          <w:tcPr>
            <w:tcW w:w="2250" w:type="dxa"/>
            <w:gridSpan w:val="2"/>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cs="宋体"/>
                <w:b w:val="0"/>
                <w:bCs w:val="0"/>
                <w:color w:val="000000"/>
                <w:spacing w:val="0"/>
                <w:w w:val="100"/>
                <w:position w:val="0"/>
                <w:sz w:val="24"/>
                <w:szCs w:val="24"/>
                <w:lang w:eastAsia="zh-CN"/>
              </w:rPr>
              <w:t>2020年</w:t>
            </w:r>
            <w:r>
              <w:rPr>
                <w:rFonts w:hint="eastAsia" w:ascii="宋体" w:hAnsi="宋体" w:eastAsia="宋体" w:cs="宋体"/>
                <w:b w:val="0"/>
                <w:bCs w:val="0"/>
                <w:color w:val="000000"/>
                <w:spacing w:val="0"/>
                <w:w w:val="100"/>
                <w:position w:val="0"/>
                <w:sz w:val="24"/>
                <w:szCs w:val="24"/>
              </w:rPr>
              <w:t>实际在职</w:t>
            </w:r>
            <w:r>
              <w:rPr>
                <w:rFonts w:hint="eastAsia" w:ascii="宋体" w:hAnsi="宋体" w:eastAsia="宋体" w:cs="宋体"/>
                <w:color w:val="000000"/>
                <w:spacing w:val="0"/>
                <w:w w:val="100"/>
                <w:position w:val="0"/>
                <w:sz w:val="24"/>
                <w:szCs w:val="24"/>
              </w:rPr>
              <w:t>人数</w:t>
            </w:r>
          </w:p>
        </w:tc>
        <w:tc>
          <w:tcPr>
            <w:tcW w:w="2160" w:type="dxa"/>
            <w:gridSpan w:val="2"/>
            <w:tcBorders>
              <w:top w:val="single" w:color="auto" w:sz="4" w:space="0"/>
              <w:left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控制率</w:t>
            </w:r>
          </w:p>
        </w:tc>
      </w:tr>
      <w:tr>
        <w:tblPrEx>
          <w:tblCellMar>
            <w:top w:w="0" w:type="dxa"/>
            <w:left w:w="10" w:type="dxa"/>
            <w:bottom w:w="0" w:type="dxa"/>
            <w:right w:w="10" w:type="dxa"/>
          </w:tblCellMar>
        </w:tblPrEx>
        <w:trPr>
          <w:trHeight w:val="600" w:hRule="exact"/>
          <w:jc w:val="center"/>
        </w:trPr>
        <w:tc>
          <w:tcPr>
            <w:tcW w:w="3261" w:type="dxa"/>
            <w:vMerge w:val="continue"/>
            <w:tcBorders>
              <w:left w:val="single" w:color="auto" w:sz="4" w:space="0"/>
              <w:bottom w:val="single" w:color="auto" w:sz="4" w:space="0"/>
            </w:tcBorders>
            <w:shd w:val="clear" w:color="auto" w:fill="FFFFFF"/>
            <w:vAlign w:val="center"/>
          </w:tcPr>
          <w:p>
            <w:pPr>
              <w:rPr>
                <w:rFonts w:hint="eastAsia" w:ascii="宋体" w:hAnsi="宋体" w:eastAsia="宋体" w:cs="宋体"/>
                <w:sz w:val="24"/>
                <w:szCs w:val="24"/>
              </w:rPr>
            </w:pPr>
          </w:p>
        </w:tc>
        <w:tc>
          <w:tcPr>
            <w:tcW w:w="1766"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9</w:t>
            </w:r>
          </w:p>
        </w:tc>
        <w:tc>
          <w:tcPr>
            <w:tcW w:w="2250"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宋体" w:hAnsi="宋体" w:eastAsia="宋体" w:cs="宋体"/>
                <w:color w:val="000000"/>
                <w:spacing w:val="0"/>
                <w:w w:val="100"/>
                <w:position w:val="0"/>
                <w:sz w:val="21"/>
                <w:szCs w:val="21"/>
                <w:lang w:val="en-US" w:eastAsia="zh-CN"/>
              </w:rPr>
            </w:pPr>
            <w:r>
              <w:rPr>
                <w:rFonts w:hint="eastAsia" w:ascii="宋体" w:hAnsi="宋体" w:cs="宋体"/>
                <w:color w:val="000000"/>
                <w:spacing w:val="0"/>
                <w:w w:val="100"/>
                <w:position w:val="0"/>
                <w:sz w:val="21"/>
                <w:szCs w:val="21"/>
                <w:lang w:val="en-US" w:eastAsia="zh-CN"/>
              </w:rPr>
              <w:t>9</w:t>
            </w:r>
          </w:p>
        </w:tc>
        <w:tc>
          <w:tcPr>
            <w:tcW w:w="216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hint="default" w:ascii="宋体" w:hAnsi="宋体" w:eastAsia="宋体" w:cs="宋体"/>
                <w:color w:val="000000"/>
                <w:spacing w:val="0"/>
                <w:w w:val="100"/>
                <w:position w:val="0"/>
                <w:sz w:val="21"/>
                <w:szCs w:val="21"/>
                <w:lang w:val="en-US" w:eastAsia="zh-CN"/>
              </w:rPr>
            </w:pPr>
            <w:r>
              <w:rPr>
                <w:rFonts w:hint="eastAsia" w:ascii="宋体" w:hAnsi="宋体" w:cs="宋体"/>
                <w:color w:val="000000"/>
                <w:spacing w:val="0"/>
                <w:w w:val="100"/>
                <w:position w:val="0"/>
                <w:sz w:val="21"/>
                <w:szCs w:val="21"/>
                <w:lang w:val="en-US" w:eastAsia="zh-CN"/>
              </w:rPr>
              <w:t>100%</w:t>
            </w:r>
          </w:p>
        </w:tc>
      </w:tr>
      <w:tr>
        <w:tblPrEx>
          <w:tblCellMar>
            <w:top w:w="0" w:type="dxa"/>
            <w:left w:w="10" w:type="dxa"/>
            <w:bottom w:w="0" w:type="dxa"/>
            <w:right w:w="10" w:type="dxa"/>
          </w:tblCellMar>
        </w:tblPrEx>
        <w:trPr>
          <w:trHeight w:val="6392" w:hRule="exact"/>
          <w:jc w:val="center"/>
        </w:trPr>
        <w:tc>
          <w:tcPr>
            <w:tcW w:w="3261" w:type="dxa"/>
            <w:tcBorders>
              <w:top w:val="single" w:color="auto" w:sz="4" w:space="0"/>
              <w:left w:val="single" w:color="auto" w:sz="4" w:space="0"/>
              <w:right w:val="single" w:color="auto" w:sz="4" w:space="0"/>
            </w:tcBorders>
            <w:shd w:val="clear" w:color="auto" w:fill="FFFFFF"/>
            <w:vAlign w:val="center"/>
          </w:tcPr>
          <w:p>
            <w:pPr>
              <w:bidi w:val="0"/>
              <w:ind w:left="0" w:leftChars="0"/>
              <w:jc w:val="center"/>
              <w:rPr>
                <w:rFonts w:hint="eastAsia"/>
                <w:sz w:val="24"/>
                <w:szCs w:val="24"/>
              </w:rPr>
            </w:pPr>
            <w:r>
              <w:rPr>
                <w:rFonts w:hint="eastAsia"/>
                <w:sz w:val="24"/>
                <w:szCs w:val="24"/>
              </w:rPr>
              <w:t>职能职责概述</w:t>
            </w:r>
          </w:p>
        </w:tc>
        <w:tc>
          <w:tcPr>
            <w:tcW w:w="6176" w:type="dxa"/>
            <w:gridSpan w:val="6"/>
            <w:tcBorders>
              <w:top w:val="single" w:color="auto" w:sz="4" w:space="0"/>
              <w:left w:val="single" w:color="auto" w:sz="4" w:space="0"/>
              <w:right w:val="single" w:color="auto" w:sz="4" w:space="0"/>
            </w:tcBorders>
            <w:shd w:val="clear" w:color="auto" w:fill="FFFFFF"/>
            <w:vAlign w:val="bottom"/>
          </w:tcPr>
          <w:p>
            <w:pPr>
              <w:bidi w:val="0"/>
              <w:ind w:left="0" w:leftChars="0"/>
              <w:jc w:val="left"/>
              <w:rPr>
                <w:rFonts w:hint="eastAsia"/>
                <w:sz w:val="24"/>
                <w:szCs w:val="24"/>
              </w:rPr>
            </w:pPr>
            <w:r>
              <w:rPr>
                <w:rFonts w:hint="eastAsia"/>
                <w:sz w:val="22"/>
                <w:szCs w:val="22"/>
              </w:rPr>
              <w:t>(</w:t>
            </w:r>
            <w:r>
              <w:rPr>
                <w:rFonts w:hint="eastAsia"/>
                <w:sz w:val="24"/>
                <w:szCs w:val="24"/>
              </w:rPr>
              <w:t>一) 贯彻执行中央、省、市的扶贫开发法律、法规、规章和方针政策，负责全区扶贫开发工作的统筹协调、资金筹集、服务指导和监督管理工作。</w:t>
            </w:r>
          </w:p>
          <w:p>
            <w:pPr>
              <w:bidi w:val="0"/>
              <w:ind w:left="0" w:leftChars="0"/>
              <w:jc w:val="left"/>
              <w:rPr>
                <w:rFonts w:hint="eastAsia"/>
                <w:sz w:val="24"/>
                <w:szCs w:val="24"/>
              </w:rPr>
            </w:pPr>
            <w:r>
              <w:rPr>
                <w:rFonts w:hint="eastAsia"/>
                <w:sz w:val="24"/>
                <w:szCs w:val="24"/>
              </w:rPr>
              <w:t>（二）负责拟订全区扶贫开发发展战略、政策措施、扶贫标准、发展规划、目标任务和年度计划，经批准后组织实施。</w:t>
            </w:r>
          </w:p>
          <w:p>
            <w:pPr>
              <w:bidi w:val="0"/>
              <w:ind w:left="0" w:leftChars="0"/>
              <w:jc w:val="left"/>
              <w:rPr>
                <w:rFonts w:hint="eastAsia" w:eastAsia="宋体"/>
                <w:sz w:val="24"/>
                <w:szCs w:val="24"/>
              </w:rPr>
            </w:pPr>
            <w:r>
              <w:rPr>
                <w:rFonts w:hint="eastAsia"/>
                <w:sz w:val="24"/>
                <w:szCs w:val="24"/>
              </w:rPr>
              <w:t>（三）负</w:t>
            </w:r>
            <w:r>
              <w:rPr>
                <w:rFonts w:hint="eastAsia" w:eastAsia="宋体"/>
                <w:sz w:val="24"/>
                <w:szCs w:val="24"/>
              </w:rPr>
              <w:t>责会同有关部门分配和管理扶贫资金物资，并会同有关部门监督和检查扶贫资金的使用情况；牵头组织扶贫资金使用的绩效考评；负责管理扶贫开发项目，指导扶贫开发项目的实施。</w:t>
            </w:r>
          </w:p>
          <w:p>
            <w:pPr>
              <w:bidi w:val="0"/>
              <w:ind w:left="0" w:leftChars="0"/>
              <w:jc w:val="left"/>
              <w:rPr>
                <w:rFonts w:hint="eastAsia" w:eastAsia="宋体"/>
                <w:sz w:val="24"/>
                <w:szCs w:val="24"/>
              </w:rPr>
            </w:pPr>
            <w:r>
              <w:rPr>
                <w:rFonts w:hint="eastAsia" w:eastAsia="宋体"/>
                <w:sz w:val="24"/>
                <w:szCs w:val="24"/>
              </w:rPr>
              <w:t>（四）负责扶贫开发情况的动态监测；负责全区扶贫系统统计信息工作；负责扶贫开发宣传工作。</w:t>
            </w:r>
          </w:p>
          <w:p>
            <w:pPr>
              <w:bidi w:val="0"/>
              <w:ind w:left="0" w:leftChars="0"/>
              <w:jc w:val="left"/>
              <w:rPr>
                <w:rFonts w:hint="eastAsia" w:eastAsia="宋体"/>
                <w:sz w:val="24"/>
                <w:szCs w:val="24"/>
              </w:rPr>
            </w:pPr>
            <w:r>
              <w:rPr>
                <w:rFonts w:hint="eastAsia" w:eastAsia="宋体"/>
                <w:sz w:val="24"/>
                <w:szCs w:val="24"/>
              </w:rPr>
              <w:t>（五）负责组织、协调、指导全区脱贫攻坚工作，组织实施精准扶贫、精准脱贫工作。负责对贫困地区干部开展扶贫业务培训。</w:t>
            </w:r>
          </w:p>
          <w:p>
            <w:pPr>
              <w:bidi w:val="0"/>
              <w:ind w:left="0" w:leftChars="0"/>
              <w:jc w:val="left"/>
              <w:rPr>
                <w:rFonts w:hint="eastAsia" w:eastAsia="宋体"/>
                <w:sz w:val="24"/>
                <w:szCs w:val="24"/>
              </w:rPr>
            </w:pPr>
            <w:r>
              <w:rPr>
                <w:rFonts w:hint="eastAsia" w:eastAsia="宋体"/>
                <w:sz w:val="24"/>
                <w:szCs w:val="24"/>
              </w:rPr>
              <w:t>（六）承担协调扶贫开发系统风险防控、涉贫信访和舆情处置工作责任。</w:t>
            </w:r>
          </w:p>
          <w:p>
            <w:pPr>
              <w:bidi w:val="0"/>
              <w:ind w:left="0" w:leftChars="0"/>
              <w:jc w:val="left"/>
              <w:rPr>
                <w:rFonts w:hint="eastAsia"/>
                <w:sz w:val="28"/>
                <w:szCs w:val="28"/>
              </w:rPr>
            </w:pPr>
            <w:r>
              <w:rPr>
                <w:rFonts w:hint="eastAsia" w:eastAsia="宋体"/>
                <w:sz w:val="24"/>
                <w:szCs w:val="24"/>
              </w:rPr>
              <w:t>（七）承办区扶贫开发领导小组的</w:t>
            </w:r>
            <w:r>
              <w:rPr>
                <w:rFonts w:hint="eastAsia"/>
                <w:sz w:val="28"/>
                <w:szCs w:val="28"/>
              </w:rPr>
              <w:t>日常工作和交办的</w:t>
            </w:r>
          </w:p>
          <w:p>
            <w:pPr>
              <w:bidi w:val="0"/>
              <w:ind w:left="0" w:leftChars="0"/>
              <w:jc w:val="left"/>
              <w:rPr>
                <w:rFonts w:hint="eastAsia"/>
                <w:sz w:val="28"/>
                <w:szCs w:val="28"/>
              </w:rPr>
            </w:pPr>
            <w:r>
              <w:rPr>
                <w:rFonts w:hint="eastAsia"/>
                <w:sz w:val="28"/>
                <w:szCs w:val="28"/>
              </w:rPr>
              <w:t>其他事项。</w:t>
            </w:r>
          </w:p>
          <w:p>
            <w:pPr>
              <w:bidi w:val="0"/>
              <w:ind w:left="0" w:leftChars="0"/>
              <w:jc w:val="left"/>
              <w:rPr>
                <w:rFonts w:hint="eastAsia"/>
                <w:sz w:val="24"/>
                <w:szCs w:val="24"/>
              </w:rPr>
            </w:pPr>
            <w:r>
              <w:rPr>
                <w:rFonts w:hint="eastAsia"/>
                <w:sz w:val="28"/>
                <w:szCs w:val="28"/>
              </w:rPr>
              <w:t>（八）承办区委、区人民政府交办的其他事项。</w:t>
            </w:r>
          </w:p>
        </w:tc>
      </w:tr>
      <w:tr>
        <w:tblPrEx>
          <w:tblCellMar>
            <w:top w:w="0" w:type="dxa"/>
            <w:left w:w="10" w:type="dxa"/>
            <w:bottom w:w="0" w:type="dxa"/>
            <w:right w:w="10" w:type="dxa"/>
          </w:tblCellMar>
        </w:tblPrEx>
        <w:trPr>
          <w:trHeight w:val="2814" w:hRule="exact"/>
          <w:jc w:val="center"/>
        </w:trPr>
        <w:tc>
          <w:tcPr>
            <w:tcW w:w="3261" w:type="dxa"/>
            <w:tcBorders>
              <w:top w:val="single" w:color="auto" w:sz="4" w:space="0"/>
              <w:left w:val="single" w:color="auto" w:sz="4" w:space="0"/>
              <w:right w:val="single" w:color="auto" w:sz="4" w:space="0"/>
            </w:tcBorders>
            <w:shd w:val="clear" w:color="auto" w:fill="FFFFFF"/>
            <w:vAlign w:val="center"/>
          </w:tcPr>
          <w:p>
            <w:pPr>
              <w:bidi w:val="0"/>
              <w:ind w:left="0" w:leftChars="0"/>
              <w:jc w:val="center"/>
              <w:rPr>
                <w:rFonts w:hint="eastAsia"/>
                <w:sz w:val="24"/>
                <w:szCs w:val="24"/>
              </w:rPr>
            </w:pPr>
            <w:r>
              <w:rPr>
                <w:rFonts w:hint="eastAsia"/>
                <w:sz w:val="24"/>
                <w:szCs w:val="24"/>
              </w:rPr>
              <w:t>年度主要工作内容</w:t>
            </w:r>
          </w:p>
        </w:tc>
        <w:tc>
          <w:tcPr>
            <w:tcW w:w="6176" w:type="dxa"/>
            <w:gridSpan w:val="6"/>
            <w:tcBorders>
              <w:top w:val="single" w:color="auto" w:sz="4" w:space="0"/>
              <w:left w:val="single" w:color="auto" w:sz="4" w:space="0"/>
              <w:right w:val="single" w:color="auto" w:sz="4" w:space="0"/>
            </w:tcBorders>
            <w:shd w:val="clear" w:color="auto" w:fill="FFFFFF"/>
            <w:vAlign w:val="center"/>
          </w:tcPr>
          <w:p>
            <w:pPr>
              <w:bidi w:val="0"/>
              <w:ind w:left="0" w:leftChars="0"/>
              <w:jc w:val="left"/>
              <w:rPr>
                <w:rFonts w:hint="eastAsia" w:eastAsia="宋体"/>
                <w:sz w:val="24"/>
                <w:szCs w:val="24"/>
              </w:rPr>
            </w:pPr>
            <w:r>
              <w:rPr>
                <w:rFonts w:hint="eastAsia" w:eastAsia="宋体"/>
                <w:sz w:val="24"/>
                <w:szCs w:val="24"/>
                <w:lang w:eastAsia="zh-CN"/>
              </w:rPr>
              <w:t>一、</w:t>
            </w:r>
            <w:r>
              <w:rPr>
                <w:rFonts w:hint="eastAsia" w:eastAsia="宋体"/>
                <w:sz w:val="24"/>
                <w:szCs w:val="24"/>
              </w:rPr>
              <w:t>全力克服疫情对脱贫攻坚的影响</w:t>
            </w:r>
          </w:p>
          <w:p>
            <w:pPr>
              <w:bidi w:val="0"/>
              <w:ind w:left="0" w:leftChars="0"/>
              <w:jc w:val="left"/>
              <w:rPr>
                <w:rFonts w:hint="eastAsia" w:eastAsia="宋体"/>
                <w:sz w:val="24"/>
                <w:szCs w:val="24"/>
              </w:rPr>
            </w:pPr>
            <w:r>
              <w:rPr>
                <w:rFonts w:hint="eastAsia" w:eastAsia="宋体"/>
                <w:sz w:val="24"/>
                <w:szCs w:val="24"/>
                <w:lang w:eastAsia="zh-CN"/>
              </w:rPr>
              <w:t>二、</w:t>
            </w:r>
            <w:r>
              <w:rPr>
                <w:rFonts w:hint="eastAsia" w:eastAsia="宋体"/>
                <w:sz w:val="24"/>
                <w:szCs w:val="24"/>
              </w:rPr>
              <w:t>全面完成脱贫任务</w:t>
            </w:r>
          </w:p>
          <w:p>
            <w:pPr>
              <w:bidi w:val="0"/>
              <w:ind w:left="0" w:leftChars="0"/>
              <w:jc w:val="left"/>
              <w:rPr>
                <w:rFonts w:hint="eastAsia" w:eastAsia="宋体"/>
                <w:sz w:val="24"/>
                <w:szCs w:val="24"/>
              </w:rPr>
            </w:pPr>
            <w:r>
              <w:rPr>
                <w:rFonts w:hint="eastAsia" w:eastAsia="宋体"/>
                <w:sz w:val="24"/>
                <w:szCs w:val="24"/>
                <w:lang w:eastAsia="zh-CN"/>
              </w:rPr>
              <w:t>三、</w:t>
            </w:r>
            <w:r>
              <w:rPr>
                <w:rFonts w:hint="eastAsia" w:eastAsia="宋体"/>
                <w:sz w:val="24"/>
                <w:szCs w:val="24"/>
              </w:rPr>
              <w:t>巩固提升脱贫成果</w:t>
            </w:r>
          </w:p>
          <w:p>
            <w:pPr>
              <w:bidi w:val="0"/>
              <w:ind w:left="0" w:leftChars="0"/>
              <w:jc w:val="left"/>
              <w:rPr>
                <w:rFonts w:hint="eastAsia"/>
                <w:sz w:val="24"/>
                <w:szCs w:val="24"/>
              </w:rPr>
            </w:pPr>
            <w:r>
              <w:rPr>
                <w:rFonts w:hint="eastAsia" w:eastAsia="宋体"/>
                <w:sz w:val="24"/>
                <w:szCs w:val="24"/>
              </w:rPr>
              <w:t>四、严格脱贫考核督战验收</w:t>
            </w:r>
          </w:p>
        </w:tc>
      </w:tr>
      <w:tr>
        <w:tblPrEx>
          <w:tblCellMar>
            <w:top w:w="0" w:type="dxa"/>
            <w:left w:w="10" w:type="dxa"/>
            <w:bottom w:w="0" w:type="dxa"/>
            <w:right w:w="10" w:type="dxa"/>
          </w:tblCellMar>
        </w:tblPrEx>
        <w:trPr>
          <w:trHeight w:val="3603" w:hRule="exact"/>
          <w:jc w:val="center"/>
        </w:trPr>
        <w:tc>
          <w:tcPr>
            <w:tcW w:w="3261"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ind w:left="0" w:leftChars="0"/>
              <w:jc w:val="center"/>
              <w:rPr>
                <w:rFonts w:hint="eastAsia"/>
                <w:sz w:val="24"/>
                <w:szCs w:val="24"/>
              </w:rPr>
            </w:pPr>
            <w:r>
              <w:rPr>
                <w:rFonts w:hint="eastAsia" w:ascii="宋体" w:hAnsi="宋体" w:eastAsia="宋体" w:cs="宋体"/>
                <w:color w:val="000000"/>
                <w:spacing w:val="0"/>
                <w:w w:val="100"/>
                <w:kern w:val="2"/>
                <w:position w:val="0"/>
                <w:sz w:val="24"/>
                <w:szCs w:val="24"/>
                <w:u w:val="none"/>
                <w:shd w:val="clear" w:color="auto" w:fill="auto"/>
                <w:lang w:val="zh-CN" w:eastAsia="zh-CN" w:bidi="zh-CN"/>
              </w:rPr>
              <w:t>年度部门（单位）总体运行情况及取得的成绩</w:t>
            </w:r>
          </w:p>
        </w:tc>
        <w:tc>
          <w:tcPr>
            <w:tcW w:w="6176"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bidi w:val="0"/>
              <w:ind w:left="0" w:leftChars="0"/>
              <w:jc w:val="left"/>
              <w:rPr>
                <w:rFonts w:hint="eastAsia" w:eastAsia="宋体"/>
                <w:sz w:val="24"/>
                <w:szCs w:val="24"/>
              </w:rPr>
            </w:pPr>
            <w:r>
              <w:rPr>
                <w:rFonts w:hint="eastAsia" w:eastAsia="宋体"/>
                <w:sz w:val="24"/>
                <w:szCs w:val="24"/>
                <w:lang w:val="en-US" w:eastAsia="zh-CN"/>
              </w:rPr>
              <w:t>2020年，我区贫困人口全部脱贫，</w:t>
            </w:r>
            <w:r>
              <w:rPr>
                <w:rFonts w:hint="eastAsia" w:eastAsia="宋体"/>
                <w:sz w:val="24"/>
                <w:szCs w:val="24"/>
              </w:rPr>
              <w:t>荣获全省脱贫攻坚工作先进单位。全市脱贫攻坚驻村帮扶现场会均在我区成功举办，产业扶贫、"两化救助"经验在全国、全省推广，"五大行动"在全省推介。一、强化党建引领，扛牢政治责任。二、聚焦产业扶贫，增强内生动力。三、突出精准施策，确保不落一人。四、克服疫情影响，促进稳定增收。五、坚持立行立改，确保问题清零。六、严防致贫返贫，打造扶贫特色。</w:t>
            </w:r>
          </w:p>
        </w:tc>
      </w:tr>
      <w:tr>
        <w:tblPrEx>
          <w:tblCellMar>
            <w:top w:w="0" w:type="dxa"/>
            <w:left w:w="10" w:type="dxa"/>
            <w:bottom w:w="0" w:type="dxa"/>
            <w:right w:w="10" w:type="dxa"/>
          </w:tblCellMar>
        </w:tblPrEx>
        <w:trPr>
          <w:trHeight w:val="437" w:hRule="exact"/>
          <w:jc w:val="center"/>
        </w:trPr>
        <w:tc>
          <w:tcPr>
            <w:tcW w:w="9437" w:type="dxa"/>
            <w:gridSpan w:val="7"/>
            <w:tcBorders>
              <w:top w:val="single" w:color="auto" w:sz="4" w:space="0"/>
              <w:left w:val="single" w:color="auto" w:sz="4" w:space="0"/>
              <w:right w:val="single" w:color="auto" w:sz="4" w:space="0"/>
            </w:tcBorders>
            <w:shd w:val="clear" w:color="auto" w:fill="FFFFFF"/>
            <w:vAlign w:val="bottom"/>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000000"/>
                <w:spacing w:val="0"/>
                <w:w w:val="100"/>
                <w:position w:val="0"/>
                <w:sz w:val="24"/>
                <w:szCs w:val="24"/>
              </w:rPr>
            </w:pPr>
            <w:r>
              <w:rPr>
                <w:rFonts w:hint="eastAsia" w:ascii="宋体" w:hAnsi="宋体" w:eastAsia="宋体" w:cs="宋体"/>
                <w:b/>
                <w:bCs/>
                <w:color w:val="000000"/>
                <w:spacing w:val="0"/>
                <w:w w:val="100"/>
                <w:position w:val="0"/>
                <w:sz w:val="28"/>
                <w:szCs w:val="28"/>
              </w:rPr>
              <w:t>二、部门（单位）收支情况</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经费控制情况</w:t>
            </w:r>
          </w:p>
        </w:tc>
        <w:tc>
          <w:tcPr>
            <w:tcW w:w="1766" w:type="dxa"/>
            <w:gridSpan w:val="2"/>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201</w:t>
            </w:r>
            <w:r>
              <w:rPr>
                <w:rFonts w:hint="eastAsia" w:cs="宋体"/>
                <w:b/>
                <w:bCs/>
                <w:color w:val="000000"/>
                <w:spacing w:val="0"/>
                <w:w w:val="100"/>
                <w:position w:val="0"/>
                <w:sz w:val="24"/>
                <w:szCs w:val="24"/>
                <w:lang w:val="en-US" w:eastAsia="zh-CN"/>
              </w:rPr>
              <w:t>9</w:t>
            </w:r>
            <w:r>
              <w:rPr>
                <w:rFonts w:hint="eastAsia" w:ascii="宋体" w:hAnsi="宋体" w:eastAsia="宋体" w:cs="宋体"/>
                <w:b/>
                <w:bCs/>
                <w:color w:val="000000"/>
                <w:spacing w:val="0"/>
                <w:w w:val="100"/>
                <w:position w:val="0"/>
                <w:sz w:val="24"/>
                <w:szCs w:val="24"/>
              </w:rPr>
              <w:t>年决算数</w:t>
            </w:r>
          </w:p>
        </w:tc>
        <w:tc>
          <w:tcPr>
            <w:tcW w:w="2250" w:type="dxa"/>
            <w:gridSpan w:val="2"/>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cs="宋体"/>
                <w:b/>
                <w:bCs/>
                <w:color w:val="000000"/>
                <w:spacing w:val="0"/>
                <w:w w:val="100"/>
                <w:position w:val="0"/>
                <w:sz w:val="24"/>
                <w:szCs w:val="24"/>
                <w:lang w:eastAsia="zh-CN"/>
              </w:rPr>
              <w:t>2020年</w:t>
            </w:r>
            <w:r>
              <w:rPr>
                <w:rFonts w:hint="eastAsia" w:ascii="宋体" w:hAnsi="宋体" w:eastAsia="宋体" w:cs="宋体"/>
                <w:b/>
                <w:bCs/>
                <w:color w:val="000000"/>
                <w:spacing w:val="0"/>
                <w:w w:val="100"/>
                <w:position w:val="0"/>
                <w:sz w:val="24"/>
                <w:szCs w:val="24"/>
              </w:rPr>
              <w:t>预算数</w:t>
            </w:r>
          </w:p>
        </w:tc>
        <w:tc>
          <w:tcPr>
            <w:tcW w:w="2160" w:type="dxa"/>
            <w:gridSpan w:val="2"/>
            <w:tcBorders>
              <w:top w:val="single" w:color="auto" w:sz="4" w:space="0"/>
              <w:left w:val="single" w:color="auto" w:sz="4" w:space="0"/>
              <w:right w:val="single" w:color="auto" w:sz="4" w:space="0"/>
            </w:tcBorders>
            <w:shd w:val="clear" w:color="auto" w:fill="FFFFFF"/>
            <w:vAlign w:val="bottom"/>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cs="宋体"/>
                <w:b/>
                <w:bCs/>
                <w:color w:val="000000"/>
                <w:spacing w:val="0"/>
                <w:w w:val="100"/>
                <w:position w:val="0"/>
                <w:sz w:val="24"/>
                <w:szCs w:val="24"/>
                <w:lang w:eastAsia="zh-CN"/>
              </w:rPr>
              <w:t>2020年</w:t>
            </w:r>
            <w:r>
              <w:rPr>
                <w:rFonts w:hint="eastAsia" w:ascii="宋体" w:hAnsi="宋体" w:eastAsia="宋体" w:cs="宋体"/>
                <w:b/>
                <w:bCs/>
                <w:color w:val="000000"/>
                <w:spacing w:val="0"/>
                <w:w w:val="100"/>
                <w:position w:val="0"/>
                <w:sz w:val="24"/>
                <w:szCs w:val="24"/>
              </w:rPr>
              <w:t>决算数</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三公经费</w:t>
            </w:r>
          </w:p>
        </w:tc>
        <w:tc>
          <w:tcPr>
            <w:tcW w:w="1766" w:type="dxa"/>
            <w:gridSpan w:val="2"/>
            <w:tcBorders>
              <w:top w:val="single" w:color="auto" w:sz="4" w:space="0"/>
              <w:left w:val="single" w:color="auto" w:sz="4" w:space="0"/>
            </w:tcBorders>
            <w:shd w:val="clear" w:color="auto" w:fill="FFFFFF"/>
            <w:vAlign w:val="center"/>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250" w:type="dxa"/>
            <w:gridSpan w:val="2"/>
            <w:tcBorders>
              <w:top w:val="single" w:color="auto" w:sz="4" w:space="0"/>
              <w:left w:val="single" w:color="auto" w:sz="4" w:space="0"/>
            </w:tcBorders>
            <w:shd w:val="clear" w:color="auto" w:fill="FFFFFF"/>
            <w:vAlign w:val="center"/>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160" w:type="dxa"/>
            <w:gridSpan w:val="2"/>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1</w:t>
            </w:r>
            <w:r>
              <w:rPr>
                <w:rFonts w:hint="eastAsia" w:ascii="宋体" w:hAnsi="宋体" w:eastAsia="宋体" w:cs="宋体"/>
                <w:color w:val="000000"/>
                <w:spacing w:val="0"/>
                <w:w w:val="100"/>
                <w:position w:val="0"/>
                <w:sz w:val="24"/>
                <w:szCs w:val="24"/>
              </w:rPr>
              <w:t>、公务用车购置和维护经费</w:t>
            </w:r>
          </w:p>
        </w:tc>
        <w:tc>
          <w:tcPr>
            <w:tcW w:w="1766" w:type="dxa"/>
            <w:gridSpan w:val="2"/>
            <w:tcBorders>
              <w:top w:val="single" w:color="auto" w:sz="4" w:space="0"/>
              <w:left w:val="single" w:color="auto" w:sz="4" w:space="0"/>
            </w:tcBorders>
            <w:shd w:val="clear" w:color="auto" w:fill="FFFFFF"/>
            <w:vAlign w:val="center"/>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250" w:type="dxa"/>
            <w:gridSpan w:val="2"/>
            <w:tcBorders>
              <w:top w:val="single" w:color="auto" w:sz="4" w:space="0"/>
              <w:left w:val="single" w:color="auto" w:sz="4" w:space="0"/>
            </w:tcBorders>
            <w:shd w:val="clear" w:color="auto" w:fill="FFFFFF"/>
            <w:vAlign w:val="center"/>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160" w:type="dxa"/>
            <w:gridSpan w:val="2"/>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52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其中：公车购置</w:t>
            </w:r>
          </w:p>
        </w:tc>
        <w:tc>
          <w:tcPr>
            <w:tcW w:w="1766" w:type="dxa"/>
            <w:gridSpan w:val="2"/>
            <w:tcBorders>
              <w:top w:val="single" w:color="auto" w:sz="4" w:space="0"/>
              <w:left w:val="single" w:color="auto" w:sz="4" w:space="0"/>
            </w:tcBorders>
            <w:shd w:val="clear" w:color="auto" w:fill="FFFFFF"/>
            <w:vAlign w:val="center"/>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250" w:type="dxa"/>
            <w:gridSpan w:val="2"/>
            <w:tcBorders>
              <w:top w:val="single" w:color="auto" w:sz="4" w:space="0"/>
              <w:left w:val="single" w:color="auto" w:sz="4" w:space="0"/>
            </w:tcBorders>
            <w:shd w:val="clear" w:color="auto" w:fill="FFFFFF"/>
            <w:vAlign w:val="center"/>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160" w:type="dxa"/>
            <w:gridSpan w:val="2"/>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bidi w:val="0"/>
              <w:spacing w:before="0" w:after="0" w:line="240" w:lineRule="auto"/>
              <w:ind w:left="116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公车运行维护</w:t>
            </w:r>
          </w:p>
        </w:tc>
        <w:tc>
          <w:tcPr>
            <w:tcW w:w="1766" w:type="dxa"/>
            <w:gridSpan w:val="2"/>
            <w:tcBorders>
              <w:top w:val="single" w:color="auto" w:sz="4" w:space="0"/>
              <w:left w:val="single" w:color="auto" w:sz="4" w:space="0"/>
            </w:tcBorders>
            <w:shd w:val="clear" w:color="auto" w:fill="FFFFFF"/>
            <w:vAlign w:val="center"/>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250" w:type="dxa"/>
            <w:gridSpan w:val="2"/>
            <w:tcBorders>
              <w:top w:val="single" w:color="auto" w:sz="4" w:space="0"/>
              <w:left w:val="single" w:color="auto" w:sz="4" w:space="0"/>
            </w:tcBorders>
            <w:shd w:val="clear" w:color="auto" w:fill="FFFFFF"/>
            <w:vAlign w:val="center"/>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160" w:type="dxa"/>
            <w:gridSpan w:val="2"/>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2</w:t>
            </w:r>
            <w:r>
              <w:rPr>
                <w:rFonts w:hint="eastAsia" w:ascii="宋体" w:hAnsi="宋体" w:eastAsia="宋体" w:cs="宋体"/>
                <w:color w:val="000000"/>
                <w:spacing w:val="0"/>
                <w:w w:val="100"/>
                <w:position w:val="0"/>
                <w:sz w:val="24"/>
                <w:szCs w:val="24"/>
              </w:rPr>
              <w:t>、出国经费</w:t>
            </w:r>
          </w:p>
        </w:tc>
        <w:tc>
          <w:tcPr>
            <w:tcW w:w="1766" w:type="dxa"/>
            <w:gridSpan w:val="2"/>
            <w:tcBorders>
              <w:top w:val="single" w:color="auto" w:sz="4" w:space="0"/>
              <w:left w:val="single" w:color="auto" w:sz="4" w:space="0"/>
            </w:tcBorders>
            <w:shd w:val="clear" w:color="auto" w:fill="FFFFFF"/>
            <w:vAlign w:val="center"/>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250" w:type="dxa"/>
            <w:gridSpan w:val="2"/>
            <w:tcBorders>
              <w:top w:val="single" w:color="auto" w:sz="4" w:space="0"/>
              <w:left w:val="single" w:color="auto" w:sz="4" w:space="0"/>
            </w:tcBorders>
            <w:shd w:val="clear" w:color="auto" w:fill="FFFFFF"/>
            <w:vAlign w:val="center"/>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160" w:type="dxa"/>
            <w:gridSpan w:val="2"/>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3</w:t>
            </w:r>
            <w:r>
              <w:rPr>
                <w:rFonts w:hint="eastAsia" w:ascii="宋体" w:hAnsi="宋体" w:eastAsia="宋体" w:cs="宋体"/>
                <w:color w:val="000000"/>
                <w:spacing w:val="0"/>
                <w:w w:val="100"/>
                <w:position w:val="0"/>
                <w:sz w:val="24"/>
                <w:szCs w:val="24"/>
              </w:rPr>
              <w:t>、公务接待</w:t>
            </w:r>
          </w:p>
        </w:tc>
        <w:tc>
          <w:tcPr>
            <w:tcW w:w="1766" w:type="dxa"/>
            <w:gridSpan w:val="2"/>
            <w:tcBorders>
              <w:top w:val="single" w:color="auto" w:sz="4" w:space="0"/>
              <w:left w:val="single" w:color="auto" w:sz="4" w:space="0"/>
            </w:tcBorders>
            <w:shd w:val="clear" w:color="auto" w:fill="FFFFFF"/>
            <w:vAlign w:val="center"/>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250" w:type="dxa"/>
            <w:gridSpan w:val="2"/>
            <w:tcBorders>
              <w:top w:val="single" w:color="auto" w:sz="4" w:space="0"/>
              <w:left w:val="single" w:color="auto" w:sz="4" w:space="0"/>
            </w:tcBorders>
            <w:shd w:val="clear" w:color="auto" w:fill="FFFFFF"/>
            <w:vAlign w:val="center"/>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160" w:type="dxa"/>
            <w:gridSpan w:val="2"/>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项目支出：</w:t>
            </w:r>
          </w:p>
        </w:tc>
        <w:tc>
          <w:tcPr>
            <w:tcW w:w="1766" w:type="dxa"/>
            <w:gridSpan w:val="2"/>
            <w:tcBorders>
              <w:top w:val="single" w:color="auto" w:sz="4" w:space="0"/>
              <w:left w:val="single" w:color="auto" w:sz="4" w:space="0"/>
            </w:tcBorders>
            <w:shd w:val="clear" w:color="auto" w:fill="FFFFFF"/>
            <w:vAlign w:val="top"/>
          </w:tcPr>
          <w:p>
            <w:pPr>
              <w:widowControl w:val="0"/>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23392200.00元</w:t>
            </w:r>
          </w:p>
        </w:tc>
        <w:tc>
          <w:tcPr>
            <w:tcW w:w="2250" w:type="dxa"/>
            <w:gridSpan w:val="2"/>
            <w:tcBorders>
              <w:top w:val="single" w:color="auto" w:sz="4" w:space="0"/>
              <w:left w:val="single" w:color="auto" w:sz="4" w:space="0"/>
            </w:tcBorders>
            <w:shd w:val="clear" w:color="auto" w:fill="FFFFFF"/>
            <w:vAlign w:val="top"/>
          </w:tcPr>
          <w:p>
            <w:pPr>
              <w:widowControl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6700000.00元</w:t>
            </w: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24"/>
                <w:szCs w:val="24"/>
              </w:rPr>
            </w:pPr>
            <w:r>
              <w:rPr>
                <w:rFonts w:hint="eastAsia" w:ascii="宋体" w:hAnsi="宋体" w:eastAsia="宋体" w:cs="宋体"/>
                <w:sz w:val="24"/>
                <w:szCs w:val="24"/>
              </w:rPr>
              <w:t>25734475.07</w:t>
            </w:r>
            <w:r>
              <w:rPr>
                <w:rFonts w:hint="eastAsia" w:ascii="宋体" w:hAnsi="宋体" w:cs="宋体"/>
                <w:sz w:val="24"/>
                <w:szCs w:val="24"/>
                <w:lang w:val="en-US" w:eastAsia="zh-CN"/>
              </w:rPr>
              <w:t>元</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1</w:t>
            </w:r>
            <w:r>
              <w:rPr>
                <w:rFonts w:hint="eastAsia" w:ascii="宋体" w:hAnsi="宋体" w:eastAsia="宋体" w:cs="宋体"/>
                <w:color w:val="000000"/>
                <w:spacing w:val="0"/>
                <w:w w:val="100"/>
                <w:position w:val="0"/>
                <w:sz w:val="24"/>
                <w:szCs w:val="24"/>
              </w:rPr>
              <w:t>、业务工作专项</w:t>
            </w:r>
          </w:p>
        </w:tc>
        <w:tc>
          <w:tcPr>
            <w:tcW w:w="1766" w:type="dxa"/>
            <w:gridSpan w:val="2"/>
            <w:tcBorders>
              <w:top w:val="single" w:color="auto" w:sz="4" w:space="0"/>
              <w:left w:val="single" w:color="auto" w:sz="4" w:space="0"/>
            </w:tcBorders>
            <w:shd w:val="clear" w:color="auto" w:fill="FFFFFF"/>
            <w:vAlign w:val="top"/>
          </w:tcPr>
          <w:p>
            <w:pPr>
              <w:widowControl w:val="0"/>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23392200.00元</w:t>
            </w:r>
          </w:p>
        </w:tc>
        <w:tc>
          <w:tcPr>
            <w:tcW w:w="2250" w:type="dxa"/>
            <w:gridSpan w:val="2"/>
            <w:tcBorders>
              <w:top w:val="single" w:color="auto" w:sz="4" w:space="0"/>
              <w:left w:val="single" w:color="auto" w:sz="4" w:space="0"/>
            </w:tcBorders>
            <w:shd w:val="clear" w:color="auto" w:fill="FFFFFF"/>
            <w:vAlign w:val="top"/>
          </w:tcPr>
          <w:p>
            <w:pPr>
              <w:widowControl w:val="0"/>
              <w:jc w:val="center"/>
              <w:rPr>
                <w:rFonts w:hint="default" w:ascii="宋体" w:hAnsi="宋体" w:eastAsia="宋体" w:cs="宋体"/>
                <w:sz w:val="24"/>
                <w:szCs w:val="24"/>
                <w:lang w:val="en-US"/>
              </w:rPr>
            </w:pPr>
            <w:r>
              <w:rPr>
                <w:rFonts w:hint="eastAsia" w:ascii="宋体" w:hAnsi="宋体" w:cs="宋体"/>
                <w:sz w:val="24"/>
                <w:szCs w:val="24"/>
                <w:lang w:val="en-US" w:eastAsia="zh-CN"/>
              </w:rPr>
              <w:t>6700000.00元</w:t>
            </w: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24"/>
                <w:szCs w:val="24"/>
              </w:rPr>
            </w:pPr>
            <w:r>
              <w:rPr>
                <w:rFonts w:hint="eastAsia" w:ascii="宋体" w:hAnsi="宋体" w:eastAsia="宋体" w:cs="宋体"/>
                <w:sz w:val="24"/>
                <w:szCs w:val="24"/>
              </w:rPr>
              <w:t>25734475.07</w:t>
            </w:r>
            <w:r>
              <w:rPr>
                <w:rFonts w:hint="eastAsia" w:ascii="宋体" w:hAnsi="宋体" w:cs="宋体"/>
                <w:sz w:val="24"/>
                <w:szCs w:val="24"/>
                <w:lang w:val="en-US" w:eastAsia="zh-CN"/>
              </w:rPr>
              <w:t>元</w:t>
            </w: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2</w:t>
            </w:r>
            <w:r>
              <w:rPr>
                <w:rFonts w:hint="eastAsia" w:ascii="宋体" w:hAnsi="宋体" w:eastAsia="宋体" w:cs="宋体"/>
                <w:color w:val="000000"/>
                <w:spacing w:val="0"/>
                <w:w w:val="100"/>
                <w:position w:val="0"/>
                <w:sz w:val="24"/>
                <w:szCs w:val="24"/>
              </w:rPr>
              <w:t>、运行维护专项</w:t>
            </w:r>
          </w:p>
        </w:tc>
        <w:tc>
          <w:tcPr>
            <w:tcW w:w="1766"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0</w:t>
            </w:r>
          </w:p>
        </w:tc>
        <w:tc>
          <w:tcPr>
            <w:tcW w:w="2250" w:type="dxa"/>
            <w:gridSpan w:val="2"/>
            <w:tcBorders>
              <w:top w:val="single" w:color="auto" w:sz="4" w:space="0"/>
              <w:left w:val="single" w:color="auto" w:sz="4" w:space="0"/>
            </w:tcBorders>
            <w:shd w:val="clear" w:color="auto" w:fill="FFFFFF"/>
            <w:vAlign w:val="top"/>
          </w:tcPr>
          <w:p>
            <w:pPr>
              <w:widowControl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w:t>
            </w: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tabs>
                <w:tab w:val="left" w:leader="dot" w:pos="1539"/>
              </w:tabs>
              <w:bidi w:val="0"/>
              <w:spacing w:before="0" w:after="0" w:line="240" w:lineRule="auto"/>
              <w:ind w:left="1160" w:right="0" w:firstLine="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lang w:val="en-US" w:eastAsia="en-US" w:bidi="en-US"/>
              </w:rPr>
              <w:tab/>
            </w:r>
          </w:p>
        </w:tc>
        <w:tc>
          <w:tcPr>
            <w:tcW w:w="1766" w:type="dxa"/>
            <w:gridSpan w:val="2"/>
            <w:tcBorders>
              <w:top w:val="single" w:color="auto" w:sz="4" w:space="0"/>
              <w:left w:val="single" w:color="auto" w:sz="4" w:space="0"/>
            </w:tcBorders>
            <w:shd w:val="clear" w:color="auto" w:fill="FFFFFF"/>
            <w:vAlign w:val="top"/>
          </w:tcPr>
          <w:p>
            <w:pPr>
              <w:widowControl w:val="0"/>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0</w:t>
            </w:r>
          </w:p>
        </w:tc>
        <w:tc>
          <w:tcPr>
            <w:tcW w:w="2250"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公用经费</w:t>
            </w:r>
          </w:p>
        </w:tc>
        <w:tc>
          <w:tcPr>
            <w:tcW w:w="1766" w:type="dxa"/>
            <w:gridSpan w:val="2"/>
            <w:tcBorders>
              <w:top w:val="single" w:color="auto" w:sz="4" w:space="0"/>
              <w:left w:val="single" w:color="auto" w:sz="4" w:space="0"/>
            </w:tcBorders>
            <w:shd w:val="clear" w:color="auto" w:fill="FFFFFF"/>
            <w:vAlign w:val="top"/>
          </w:tcPr>
          <w:p>
            <w:pPr>
              <w:widowControl w:val="0"/>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341000.00元</w:t>
            </w:r>
          </w:p>
        </w:tc>
        <w:tc>
          <w:tcPr>
            <w:tcW w:w="2250" w:type="dxa"/>
            <w:gridSpan w:val="2"/>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54,000.00</w:t>
            </w:r>
            <w:r>
              <w:rPr>
                <w:rFonts w:hint="eastAsia" w:ascii="宋体" w:hAnsi="宋体" w:cs="宋体"/>
                <w:sz w:val="24"/>
                <w:szCs w:val="24"/>
                <w:lang w:val="en-US" w:eastAsia="zh-CN"/>
              </w:rPr>
              <w:t>元</w:t>
            </w:r>
          </w:p>
        </w:tc>
        <w:tc>
          <w:tcPr>
            <w:tcW w:w="2160" w:type="dxa"/>
            <w:gridSpan w:val="2"/>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1113132.77</w:t>
            </w:r>
            <w:r>
              <w:rPr>
                <w:rFonts w:hint="eastAsia" w:ascii="宋体" w:hAnsi="宋体" w:cs="宋体"/>
                <w:sz w:val="24"/>
                <w:szCs w:val="24"/>
                <w:lang w:val="en-US" w:eastAsia="zh-CN"/>
              </w:rPr>
              <w:t>元</w:t>
            </w: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bidi w:val="0"/>
              <w:spacing w:before="0" w:after="0" w:line="240" w:lineRule="auto"/>
              <w:ind w:left="0" w:right="0" w:firstLine="3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其中：办公经费</w:t>
            </w:r>
          </w:p>
        </w:tc>
        <w:tc>
          <w:tcPr>
            <w:tcW w:w="1766" w:type="dxa"/>
            <w:gridSpan w:val="2"/>
            <w:tcBorders>
              <w:top w:val="single" w:color="auto" w:sz="4" w:space="0"/>
              <w:left w:val="single" w:color="auto" w:sz="4" w:space="0"/>
            </w:tcBorders>
            <w:shd w:val="clear" w:color="auto" w:fill="FFFFFF"/>
            <w:vAlign w:val="top"/>
          </w:tcPr>
          <w:p>
            <w:pPr>
              <w:widowControl w:val="0"/>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35500.00元</w:t>
            </w:r>
          </w:p>
        </w:tc>
        <w:tc>
          <w:tcPr>
            <w:tcW w:w="2250" w:type="dxa"/>
            <w:gridSpan w:val="2"/>
            <w:tcBorders>
              <w:top w:val="single" w:color="auto" w:sz="4" w:space="0"/>
              <w:left w:val="single" w:color="auto" w:sz="4" w:space="0"/>
            </w:tcBorders>
            <w:shd w:val="clear" w:color="auto" w:fill="FFFFFF"/>
            <w:vAlign w:val="top"/>
          </w:tcPr>
          <w:p>
            <w:pPr>
              <w:widowControl w:val="0"/>
              <w:jc w:val="center"/>
              <w:rPr>
                <w:rFonts w:hint="default" w:ascii="宋体" w:hAnsi="宋体" w:eastAsia="宋体" w:cs="宋体"/>
                <w:color w:val="FF0000"/>
                <w:sz w:val="24"/>
                <w:szCs w:val="24"/>
                <w:lang w:val="en-US" w:eastAsia="zh-CN"/>
              </w:rPr>
            </w:pPr>
            <w:r>
              <w:rPr>
                <w:rFonts w:hint="eastAsia" w:ascii="宋体" w:hAnsi="宋体" w:cs="宋体"/>
                <w:color w:val="auto"/>
                <w:sz w:val="24"/>
                <w:szCs w:val="24"/>
                <w:lang w:val="en-US" w:eastAsia="zh-CN"/>
              </w:rPr>
              <w:t>48000.00</w:t>
            </w:r>
            <w:r>
              <w:rPr>
                <w:rFonts w:hint="eastAsia" w:ascii="宋体" w:hAnsi="宋体" w:cs="宋体"/>
                <w:sz w:val="24"/>
                <w:szCs w:val="24"/>
                <w:lang w:val="en-US" w:eastAsia="zh-CN"/>
              </w:rPr>
              <w:t>元</w:t>
            </w: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65661</w:t>
            </w:r>
            <w:r>
              <w:rPr>
                <w:rFonts w:hint="eastAsia" w:ascii="宋体" w:hAnsi="宋体" w:cs="宋体"/>
                <w:sz w:val="24"/>
                <w:szCs w:val="24"/>
                <w:lang w:val="en-US" w:eastAsia="zh-CN"/>
              </w:rPr>
              <w:t>元</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right="0" w:firstLine="480" w:firstLineChars="2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水费、电费、差旅费</w:t>
            </w:r>
          </w:p>
        </w:tc>
        <w:tc>
          <w:tcPr>
            <w:tcW w:w="1766"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250"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0</w:t>
            </w: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36028.9</w:t>
            </w:r>
            <w:r>
              <w:rPr>
                <w:rFonts w:hint="eastAsia" w:ascii="宋体" w:hAnsi="宋体" w:cs="宋体"/>
                <w:sz w:val="24"/>
                <w:szCs w:val="24"/>
                <w:lang w:val="en-US" w:eastAsia="zh-CN"/>
              </w:rPr>
              <w:t>元</w:t>
            </w: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bidi w:val="0"/>
              <w:spacing w:before="0" w:after="0" w:line="240" w:lineRule="auto"/>
              <w:ind w:right="0" w:firstLine="480" w:firstLineChars="2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会议费、培训费</w:t>
            </w:r>
          </w:p>
        </w:tc>
        <w:tc>
          <w:tcPr>
            <w:tcW w:w="1766"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250"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0</w:t>
            </w: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102727.4</w:t>
            </w:r>
            <w:r>
              <w:rPr>
                <w:rFonts w:hint="eastAsia" w:ascii="宋体" w:hAnsi="宋体" w:cs="宋体"/>
                <w:sz w:val="24"/>
                <w:szCs w:val="24"/>
                <w:lang w:val="en-US" w:eastAsia="zh-CN"/>
              </w:rPr>
              <w:t>元</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政府采购金额</w:t>
            </w:r>
          </w:p>
        </w:tc>
        <w:tc>
          <w:tcPr>
            <w:tcW w:w="1766" w:type="dxa"/>
            <w:gridSpan w:val="2"/>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w:t>
            </w:r>
          </w:p>
        </w:tc>
        <w:tc>
          <w:tcPr>
            <w:tcW w:w="2250"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部门整体支出预算调整</w:t>
            </w:r>
          </w:p>
        </w:tc>
        <w:tc>
          <w:tcPr>
            <w:tcW w:w="1766" w:type="dxa"/>
            <w:gridSpan w:val="2"/>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w:t>
            </w:r>
          </w:p>
        </w:tc>
        <w:tc>
          <w:tcPr>
            <w:tcW w:w="2250"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sz w:val="24"/>
                <w:szCs w:val="24"/>
              </w:rPr>
            </w:pPr>
            <w:r>
              <w:rPr>
                <w:rFonts w:hint="eastAsia" w:ascii="宋体" w:hAnsi="宋体" w:eastAsia="宋体" w:cs="宋体"/>
                <w:sz w:val="24"/>
                <w:szCs w:val="24"/>
              </w:rPr>
              <w:t>28194462.69</w:t>
            </w:r>
            <w:r>
              <w:rPr>
                <w:rFonts w:hint="eastAsia" w:ascii="宋体" w:hAnsi="宋体" w:cs="宋体"/>
                <w:sz w:val="24"/>
                <w:szCs w:val="24"/>
                <w:lang w:val="en-US" w:eastAsia="zh-CN"/>
              </w:rPr>
              <w:t>元</w:t>
            </w: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24"/>
                <w:szCs w:val="24"/>
              </w:rPr>
            </w:pPr>
            <w:r>
              <w:rPr>
                <w:rFonts w:hint="eastAsia" w:ascii="宋体" w:hAnsi="宋体" w:eastAsia="宋体" w:cs="宋体"/>
                <w:sz w:val="24"/>
                <w:szCs w:val="24"/>
              </w:rPr>
              <w:t>28194462.69</w:t>
            </w:r>
            <w:r>
              <w:rPr>
                <w:rFonts w:hint="eastAsia" w:ascii="宋体" w:hAnsi="宋体" w:cs="宋体"/>
                <w:sz w:val="24"/>
                <w:szCs w:val="24"/>
                <w:lang w:val="en-US" w:eastAsia="zh-CN"/>
              </w:rPr>
              <w:t>元</w:t>
            </w:r>
          </w:p>
        </w:tc>
      </w:tr>
      <w:tr>
        <w:tblPrEx>
          <w:tblCellMar>
            <w:top w:w="0" w:type="dxa"/>
            <w:left w:w="10" w:type="dxa"/>
            <w:bottom w:w="0" w:type="dxa"/>
            <w:right w:w="10" w:type="dxa"/>
          </w:tblCellMar>
        </w:tblPrEx>
        <w:trPr>
          <w:trHeight w:val="1162" w:hRule="exact"/>
          <w:jc w:val="center"/>
        </w:trPr>
        <w:tc>
          <w:tcPr>
            <w:tcW w:w="3261" w:type="dxa"/>
            <w:vMerge w:val="restart"/>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98" w:lineRule="exact"/>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 xml:space="preserve">楼堂馆所控制情况 </w:t>
            </w:r>
            <w:r>
              <w:rPr>
                <w:rFonts w:hint="eastAsia" w:ascii="宋体" w:hAnsi="宋体" w:eastAsia="宋体" w:cs="宋体"/>
                <w:b/>
                <w:bCs/>
                <w:color w:val="000000"/>
                <w:spacing w:val="0"/>
                <w:w w:val="100"/>
                <w:position w:val="0"/>
                <w:sz w:val="24"/>
                <w:szCs w:val="24"/>
              </w:rPr>
              <w:t>（</w:t>
            </w:r>
            <w:r>
              <w:rPr>
                <w:rFonts w:hint="eastAsia" w:cs="宋体"/>
                <w:b/>
                <w:bCs/>
                <w:color w:val="000000"/>
                <w:spacing w:val="0"/>
                <w:w w:val="100"/>
                <w:position w:val="0"/>
                <w:sz w:val="24"/>
                <w:szCs w:val="24"/>
                <w:lang w:eastAsia="zh-CN"/>
              </w:rPr>
              <w:t>2020年</w:t>
            </w:r>
            <w:r>
              <w:rPr>
                <w:rFonts w:hint="eastAsia" w:ascii="宋体" w:hAnsi="宋体" w:eastAsia="宋体" w:cs="宋体"/>
                <w:color w:val="000000"/>
                <w:spacing w:val="0"/>
                <w:w w:val="100"/>
                <w:position w:val="0"/>
                <w:sz w:val="24"/>
                <w:szCs w:val="24"/>
              </w:rPr>
              <w:t>完工项目）</w:t>
            </w:r>
          </w:p>
        </w:tc>
        <w:tc>
          <w:tcPr>
            <w:tcW w:w="795"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98" w:lineRule="exact"/>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 xml:space="preserve">批复 规模 </w:t>
            </w:r>
            <w:r>
              <w:rPr>
                <w:rFonts w:hint="eastAsia" w:ascii="宋体" w:hAnsi="宋体" w:eastAsia="宋体" w:cs="宋体"/>
                <w:color w:val="000000"/>
                <w:spacing w:val="0"/>
                <w:w w:val="100"/>
                <w:position w:val="0"/>
                <w:sz w:val="24"/>
                <w:szCs w:val="24"/>
                <w:lang w:val="en-US" w:eastAsia="en-US" w:bidi="en-US"/>
              </w:rPr>
              <w:t>（m</w:t>
            </w:r>
            <w:r>
              <w:rPr>
                <w:rFonts w:hint="eastAsia" w:ascii="宋体" w:hAnsi="宋体" w:eastAsia="宋体" w:cs="宋体"/>
                <w:color w:val="000000"/>
                <w:spacing w:val="0"/>
                <w:w w:val="100"/>
                <w:position w:val="0"/>
                <w:sz w:val="24"/>
                <w:szCs w:val="24"/>
                <w:vertAlign w:val="superscript"/>
                <w:lang w:val="en-US" w:eastAsia="en-US" w:bidi="en-US"/>
              </w:rPr>
              <w:t>1</w:t>
            </w:r>
            <w:r>
              <w:rPr>
                <w:rFonts w:hint="eastAsia" w:ascii="宋体" w:hAnsi="宋体" w:eastAsia="宋体" w:cs="宋体"/>
                <w:color w:val="000000"/>
                <w:spacing w:val="0"/>
                <w:w w:val="100"/>
                <w:position w:val="0"/>
                <w:sz w:val="24"/>
                <w:szCs w:val="24"/>
                <w:lang w:val="en-US" w:eastAsia="en-US" w:bidi="en-US"/>
              </w:rPr>
              <w:t>）</w:t>
            </w:r>
          </w:p>
        </w:tc>
        <w:tc>
          <w:tcPr>
            <w:tcW w:w="971"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40" w:line="312" w:lineRule="exact"/>
              <w:ind w:left="220" w:right="0" w:firstLine="2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实际 规模</w:t>
            </w:r>
          </w:p>
          <w:p>
            <w:pPr>
              <w:pStyle w:val="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（m</w:t>
            </w:r>
            <w:r>
              <w:rPr>
                <w:rFonts w:hint="eastAsia" w:ascii="宋体" w:hAnsi="宋体" w:eastAsia="宋体" w:cs="宋体"/>
                <w:color w:val="000000"/>
                <w:spacing w:val="0"/>
                <w:w w:val="100"/>
                <w:position w:val="0"/>
                <w:sz w:val="24"/>
                <w:szCs w:val="24"/>
                <w:vertAlign w:val="superscript"/>
                <w:lang w:val="en-US" w:eastAsia="en-US" w:bidi="en-US"/>
              </w:rPr>
              <w:t>2</w:t>
            </w:r>
            <w:r>
              <w:rPr>
                <w:rFonts w:hint="eastAsia" w:ascii="宋体" w:hAnsi="宋体" w:eastAsia="宋体" w:cs="宋体"/>
                <w:color w:val="000000"/>
                <w:spacing w:val="0"/>
                <w:w w:val="100"/>
                <w:position w:val="0"/>
                <w:sz w:val="24"/>
                <w:szCs w:val="24"/>
                <w:lang w:val="en-US" w:eastAsia="en-US" w:bidi="en-US"/>
              </w:rPr>
              <w:t>）</w:t>
            </w:r>
          </w:p>
        </w:tc>
        <w:tc>
          <w:tcPr>
            <w:tcW w:w="1180"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规模控制率</w:t>
            </w:r>
          </w:p>
        </w:tc>
        <w:tc>
          <w:tcPr>
            <w:tcW w:w="1070"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预算投资 （万元）</w:t>
            </w:r>
          </w:p>
        </w:tc>
        <w:tc>
          <w:tcPr>
            <w:tcW w:w="1109"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实际投资 （万元）</w:t>
            </w:r>
          </w:p>
        </w:tc>
        <w:tc>
          <w:tcPr>
            <w:tcW w:w="1051" w:type="dxa"/>
            <w:tcBorders>
              <w:top w:val="single" w:color="auto" w:sz="4" w:space="0"/>
              <w:left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83" w:lineRule="exact"/>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投资概 算控制 率</w:t>
            </w:r>
          </w:p>
        </w:tc>
      </w:tr>
      <w:tr>
        <w:tblPrEx>
          <w:tblCellMar>
            <w:top w:w="0" w:type="dxa"/>
            <w:left w:w="10" w:type="dxa"/>
            <w:bottom w:w="0" w:type="dxa"/>
            <w:right w:w="10" w:type="dxa"/>
          </w:tblCellMar>
        </w:tblPrEx>
        <w:trPr>
          <w:trHeight w:val="466" w:hRule="exact"/>
          <w:jc w:val="center"/>
        </w:trPr>
        <w:tc>
          <w:tcPr>
            <w:tcW w:w="3261" w:type="dxa"/>
            <w:vMerge w:val="continue"/>
            <w:tcBorders>
              <w:left w:val="single" w:color="auto" w:sz="4" w:space="0"/>
            </w:tcBorders>
            <w:shd w:val="clear" w:color="auto" w:fill="FFFFFF"/>
            <w:vAlign w:val="center"/>
          </w:tcPr>
          <w:p>
            <w:pPr>
              <w:rPr>
                <w:rFonts w:hint="eastAsia" w:ascii="宋体" w:hAnsi="宋体" w:eastAsia="宋体" w:cs="宋体"/>
                <w:sz w:val="24"/>
                <w:szCs w:val="24"/>
              </w:rPr>
            </w:pPr>
          </w:p>
        </w:tc>
        <w:tc>
          <w:tcPr>
            <w:tcW w:w="795" w:type="dxa"/>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971" w:type="dxa"/>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1180" w:type="dxa"/>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1070" w:type="dxa"/>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1109" w:type="dxa"/>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1051"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1480" w:hRule="exact"/>
          <w:jc w:val="center"/>
        </w:trPr>
        <w:tc>
          <w:tcPr>
            <w:tcW w:w="3261" w:type="dxa"/>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80" w:after="0" w:line="240" w:lineRule="auto"/>
              <w:ind w:left="0" w:right="0" w:firstLine="6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厉行节约保障措施</w:t>
            </w:r>
          </w:p>
        </w:tc>
        <w:tc>
          <w:tcPr>
            <w:tcW w:w="6176" w:type="dxa"/>
            <w:gridSpan w:val="6"/>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r>
              <w:rPr>
                <w:rFonts w:hint="eastAsia" w:ascii="宋体" w:hAnsi="宋体" w:cs="宋体"/>
                <w:sz w:val="24"/>
              </w:rPr>
              <w:t>1、提倡节约用水用电，做到人走灯灭，加强电器管理。2、推行无纸化办公，尽力缩减办公经费。3、严格执行上级办公用房有关规定，防止铺张浪费。</w:t>
            </w:r>
            <w:r>
              <w:rPr>
                <w:rFonts w:hint="eastAsia" w:ascii="宋体" w:hAnsi="宋体" w:cs="宋体"/>
                <w:sz w:val="24"/>
                <w:lang w:val="en-US" w:eastAsia="zh-CN"/>
              </w:rPr>
              <w:t>4、严格执行差旅住宿及用餐标准。</w:t>
            </w:r>
          </w:p>
        </w:tc>
      </w:tr>
    </w:tbl>
    <w:p>
      <w:pPr>
        <w:pStyle w:val="26"/>
        <w:keepNext w:val="0"/>
        <w:keepLines w:val="0"/>
        <w:widowControl w:val="0"/>
        <w:shd w:val="clear" w:color="auto" w:fill="auto"/>
        <w:bidi w:val="0"/>
        <w:spacing w:before="0" w:after="0"/>
        <w:ind w:left="0" w:right="0" w:firstLine="0"/>
        <w:jc w:val="left"/>
        <w:rPr>
          <w:rFonts w:hint="eastAsia" w:ascii="宋体" w:hAnsi="宋体" w:eastAsia="宋体" w:cs="宋体"/>
          <w:color w:val="000000"/>
          <w:spacing w:val="0"/>
          <w:w w:val="100"/>
          <w:position w:val="0"/>
          <w:sz w:val="24"/>
          <w:szCs w:val="24"/>
        </w:rPr>
      </w:pPr>
    </w:p>
    <w:p>
      <w:pPr>
        <w:pStyle w:val="26"/>
        <w:keepNext w:val="0"/>
        <w:keepLines w:val="0"/>
        <w:widowControl w:val="0"/>
        <w:shd w:val="clear" w:color="auto" w:fill="auto"/>
        <w:bidi w:val="0"/>
        <w:spacing w:before="0" w:after="0"/>
        <w:ind w:left="0" w:right="0" w:firstLine="0"/>
        <w:jc w:val="left"/>
        <w:rPr>
          <w:rFonts w:hint="eastAsia" w:ascii="宋体" w:hAnsi="宋体" w:eastAsia="宋体" w:cs="宋体"/>
          <w:sz w:val="32"/>
          <w:szCs w:val="32"/>
        </w:rPr>
        <w:sectPr>
          <w:footerReference r:id="rId3" w:type="default"/>
          <w:footerReference r:id="rId4" w:type="even"/>
          <w:footnotePr>
            <w:numFmt w:val="decimal"/>
          </w:footnotePr>
          <w:pgSz w:w="11850" w:h="16783"/>
          <w:pgMar w:top="1440" w:right="1803" w:bottom="1440" w:left="1803" w:header="0" w:footer="850" w:gutter="0"/>
          <w:cols w:space="720" w:num="1"/>
          <w:rtlGutter w:val="0"/>
          <w:docGrid w:linePitch="360" w:charSpace="0"/>
        </w:sectPr>
      </w:pPr>
      <w:r>
        <w:rPr>
          <w:rFonts w:hint="eastAsia" w:ascii="宋体" w:hAnsi="宋体" w:eastAsia="宋体" w:cs="宋体"/>
          <w:color w:val="000000"/>
          <w:spacing w:val="0"/>
          <w:w w:val="100"/>
          <w:position w:val="0"/>
          <w:sz w:val="24"/>
          <w:szCs w:val="24"/>
        </w:rPr>
        <w:t>说明：“项目支出”需要填报基本支出以外的所有项目情况，包括业务工作项目、运行维护项目等；“公用经费”填报基本支出中的一般商品和服务支出。</w:t>
      </w:r>
    </w:p>
    <w:p>
      <w:pPr>
        <w:pStyle w:val="28"/>
        <w:keepNext w:val="0"/>
        <w:keepLines w:val="0"/>
        <w:widowControl w:val="0"/>
        <w:shd w:val="clear" w:color="auto" w:fill="auto"/>
        <w:bidi w:val="0"/>
        <w:spacing w:before="180" w:after="480" w:line="240" w:lineRule="auto"/>
        <w:ind w:left="0" w:right="0" w:firstLine="0"/>
        <w:jc w:val="left"/>
        <w:rPr>
          <w:rFonts w:hint="eastAsia" w:ascii="仿宋" w:hAnsi="仿宋" w:eastAsia="仿宋" w:cs="仿宋"/>
          <w:sz w:val="28"/>
          <w:szCs w:val="28"/>
        </w:rPr>
      </w:pPr>
      <w:r>
        <w:rPr>
          <w:rFonts w:hint="eastAsia" w:ascii="仿宋" w:hAnsi="仿宋" w:eastAsia="仿宋" w:cs="仿宋"/>
          <w:b w:val="0"/>
          <w:bCs w:val="0"/>
          <w:color w:val="000000"/>
          <w:spacing w:val="0"/>
          <w:w w:val="100"/>
          <w:position w:val="0"/>
          <w:sz w:val="28"/>
          <w:szCs w:val="28"/>
        </w:rPr>
        <w:t>附件</w:t>
      </w:r>
      <w:r>
        <w:rPr>
          <w:rFonts w:hint="eastAsia" w:ascii="仿宋" w:hAnsi="仿宋" w:eastAsia="仿宋" w:cs="仿宋"/>
          <w:color w:val="000000"/>
          <w:spacing w:val="0"/>
          <w:w w:val="100"/>
          <w:position w:val="0"/>
          <w:sz w:val="28"/>
          <w:szCs w:val="28"/>
          <w:lang w:val="en-US" w:eastAsia="zh-CN" w:bidi="en-US"/>
        </w:rPr>
        <w:t>1</w:t>
      </w:r>
      <w:r>
        <w:rPr>
          <w:rFonts w:hint="eastAsia" w:ascii="仿宋" w:hAnsi="仿宋" w:eastAsia="仿宋" w:cs="仿宋"/>
          <w:color w:val="000000"/>
          <w:spacing w:val="0"/>
          <w:w w:val="100"/>
          <w:position w:val="0"/>
          <w:sz w:val="28"/>
          <w:szCs w:val="28"/>
          <w:lang w:val="en-US" w:eastAsia="en-US" w:bidi="en-US"/>
        </w:rPr>
        <w:t>-3</w:t>
      </w:r>
    </w:p>
    <w:p>
      <w:pPr>
        <w:pStyle w:val="22"/>
        <w:keepNext/>
        <w:keepLines/>
        <w:widowControl w:val="0"/>
        <w:shd w:val="clear" w:color="auto" w:fill="auto"/>
        <w:bidi w:val="0"/>
        <w:spacing w:before="0" w:after="260" w:line="240" w:lineRule="auto"/>
        <w:ind w:left="0" w:right="0" w:firstLine="0"/>
        <w:jc w:val="center"/>
        <w:rPr>
          <w:rFonts w:hint="eastAsia" w:ascii="华文中宋" w:hAnsi="华文中宋" w:eastAsia="华文中宋" w:cs="华文中宋"/>
          <w:b/>
          <w:bCs/>
          <w:color w:val="000000"/>
          <w:spacing w:val="0"/>
          <w:w w:val="100"/>
          <w:position w:val="0"/>
          <w:sz w:val="44"/>
          <w:szCs w:val="44"/>
          <w:u w:val="none"/>
          <w:shd w:val="clear" w:color="auto" w:fill="auto"/>
          <w:lang w:val="en-US" w:eastAsia="zh-CN" w:bidi="zh-CN"/>
        </w:rPr>
      </w:pPr>
      <w:bookmarkStart w:id="6" w:name="bookmark89"/>
      <w:bookmarkStart w:id="7" w:name="bookmark88"/>
      <w:bookmarkStart w:id="8" w:name="bookmark90"/>
      <w:r>
        <w:rPr>
          <w:rFonts w:hint="eastAsia" w:ascii="华文中宋" w:hAnsi="华文中宋" w:eastAsia="华文中宋" w:cs="华文中宋"/>
          <w:b/>
          <w:bCs/>
          <w:color w:val="000000"/>
          <w:spacing w:val="0"/>
          <w:w w:val="100"/>
          <w:position w:val="0"/>
          <w:sz w:val="44"/>
          <w:szCs w:val="44"/>
          <w:u w:val="none"/>
          <w:shd w:val="clear" w:color="auto" w:fill="auto"/>
          <w:lang w:val="en-US" w:eastAsia="zh-CN" w:bidi="zh-CN"/>
        </w:rPr>
        <w:t>部门整体支出绩效报告</w:t>
      </w:r>
      <w:bookmarkEnd w:id="6"/>
      <w:bookmarkEnd w:id="7"/>
      <w:bookmarkEnd w:id="8"/>
    </w:p>
    <w:p>
      <w:pPr>
        <w:pStyle w:val="21"/>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sz w:val="32"/>
          <w:szCs w:val="32"/>
        </w:rPr>
      </w:pPr>
      <w:bookmarkStart w:id="9" w:name="bookmark91"/>
      <w:r>
        <w:rPr>
          <w:rFonts w:hint="eastAsia" w:ascii="仿宋_GB2312" w:hAnsi="仿宋_GB2312" w:eastAsia="仿宋_GB2312" w:cs="仿宋_GB2312"/>
          <w:b/>
          <w:bCs/>
          <w:color w:val="000000"/>
          <w:spacing w:val="0"/>
          <w:w w:val="100"/>
          <w:position w:val="0"/>
          <w:sz w:val="32"/>
          <w:szCs w:val="32"/>
        </w:rPr>
        <w:t>一</w:t>
      </w:r>
      <w:bookmarkEnd w:id="9"/>
      <w:r>
        <w:rPr>
          <w:rFonts w:hint="eastAsia" w:ascii="仿宋_GB2312" w:hAnsi="仿宋_GB2312" w:eastAsia="仿宋_GB2312" w:cs="仿宋_GB2312"/>
          <w:b/>
          <w:bCs/>
          <w:color w:val="000000"/>
          <w:spacing w:val="0"/>
          <w:w w:val="100"/>
          <w:position w:val="0"/>
          <w:sz w:val="32"/>
          <w:szCs w:val="32"/>
        </w:rPr>
        <w:t>、部门概况</w:t>
      </w:r>
    </w:p>
    <w:p>
      <w:pPr>
        <w:spacing w:line="640" w:lineRule="exact"/>
        <w:ind w:firstLine="640" w:firstLineChars="200"/>
        <w:jc w:val="both"/>
        <w:rPr>
          <w:rFonts w:hint="eastAsia" w:ascii="仿宋_GB2312" w:hAnsi="仿宋_GB2312" w:eastAsia="仿宋_GB2312" w:cs="仿宋_GB2312"/>
          <w:color w:val="000000"/>
          <w:spacing w:val="0"/>
          <w:w w:val="100"/>
          <w:position w:val="0"/>
          <w:sz w:val="32"/>
          <w:szCs w:val="32"/>
        </w:rPr>
      </w:pPr>
      <w:bookmarkStart w:id="10" w:name="bookmark92"/>
      <w:r>
        <w:rPr>
          <w:rFonts w:hint="eastAsia" w:ascii="仿宋_GB2312" w:hAnsi="仿宋_GB2312" w:eastAsia="仿宋_GB2312" w:cs="仿宋_GB2312"/>
          <w:color w:val="000000"/>
          <w:spacing w:val="0"/>
          <w:w w:val="100"/>
          <w:position w:val="0"/>
          <w:sz w:val="32"/>
          <w:szCs w:val="32"/>
        </w:rPr>
        <w:t>（一）部门基本情况</w:t>
      </w:r>
    </w:p>
    <w:p>
      <w:pPr>
        <w:spacing w:line="640" w:lineRule="exact"/>
        <w:ind w:firstLine="560" w:firstLineChars="200"/>
        <w:jc w:val="both"/>
        <w:rPr>
          <w:rFonts w:hint="eastAsia" w:ascii="Calibri" w:hAnsi="Calibri" w:eastAsia="仿宋_GB2312" w:cs="Times New Roman"/>
          <w:kern w:val="2"/>
          <w:sz w:val="28"/>
          <w:szCs w:val="28"/>
          <w:u w:val="none"/>
          <w:shd w:val="clear"/>
          <w:lang w:val="en-US" w:eastAsia="zh-CN" w:bidi="ar-SA"/>
        </w:rPr>
      </w:pPr>
      <w:r>
        <w:rPr>
          <w:rFonts w:hint="eastAsia" w:ascii="Calibri" w:hAnsi="Calibri" w:eastAsia="仿宋_GB2312" w:cs="Times New Roman"/>
          <w:kern w:val="2"/>
          <w:sz w:val="28"/>
          <w:szCs w:val="28"/>
          <w:u w:val="none"/>
          <w:shd w:val="clear"/>
          <w:lang w:val="en-US" w:eastAsia="zh-CN" w:bidi="ar-SA"/>
        </w:rPr>
        <w:t>珠晖区扶贫开发办公室是区政府工作部门，为正科级。现有在职人员</w:t>
      </w:r>
      <w:r>
        <w:rPr>
          <w:rFonts w:hint="eastAsia" w:eastAsia="仿宋_GB2312" w:cs="Times New Roman"/>
          <w:kern w:val="2"/>
          <w:sz w:val="28"/>
          <w:szCs w:val="28"/>
          <w:u w:val="none"/>
          <w:shd w:val="clear"/>
          <w:lang w:val="en-US" w:eastAsia="zh-CN" w:bidi="ar-SA"/>
        </w:rPr>
        <w:t>9</w:t>
      </w:r>
      <w:r>
        <w:rPr>
          <w:rFonts w:hint="eastAsia" w:ascii="Calibri" w:hAnsi="Calibri" w:eastAsia="仿宋_GB2312" w:cs="Times New Roman"/>
          <w:kern w:val="2"/>
          <w:sz w:val="28"/>
          <w:szCs w:val="28"/>
          <w:u w:val="none"/>
          <w:shd w:val="clear"/>
          <w:lang w:val="en-US" w:eastAsia="zh-CN" w:bidi="ar-SA"/>
        </w:rPr>
        <w:t>人，内设综合监测股、督查考核股、政策法规股、财务规划股。根据《中共衡阳市委办公室衡阳市人民政府办公室关于印发〈珠晖区机构改革方案〉的通知》（衡办[2019]15号）文件规定，主要工作职能有：(一)贯彻执行中央、省、市的扶贫开发法律、法规、规章和方针政策，负责全区扶贫开发工作的统筹协调、资金筹集、服务指导和监督管理工作。（二）负责拟订全区扶贫开发发展战略、政策措施、扶贫标准、发展规划、目标任务和年度计划，经批准后组织实施。（三）负责会同有关部门分配和管理扶贫资金物资，并会同有关部门监督和检查扶贫资金的使用情况；牵头组织扶贫资金使用的绩效考评；负责管理扶贫开发项目，指导扶贫开发项目的实施。（四）负责扶贫开发情况的动态监测；负责全区扶贫系统统计信息工作；负责扶贫开发宣传工作。（五）负责组织、协调、指导全区脱贫攻坚工作，组织实施精准扶贫、精准脱贫工作。负责对贫困地区干部开展扶贫业务培训。（六）承担协调扶贫开发系统风险防控、涉贫信访和舆情处置工作责任。承办区扶贫开发领导小组的日常工作和交办的其他事项。承办区委、区人民政府交办的其他事项。</w:t>
      </w:r>
    </w:p>
    <w:bookmarkEnd w:id="10"/>
    <w:p>
      <w:pPr>
        <w:widowControl/>
        <w:spacing w:line="600" w:lineRule="exact"/>
        <w:ind w:firstLine="627" w:firstLineChars="196"/>
        <w:jc w:val="left"/>
        <w:rPr>
          <w:rFonts w:hint="eastAsia" w:ascii="仿宋_GB2312" w:hAnsi="仿宋_GB2312" w:eastAsia="仿宋_GB2312" w:cs="仿宋_GB2312"/>
          <w:color w:val="000000"/>
          <w:spacing w:val="0"/>
          <w:w w:val="100"/>
          <w:position w:val="0"/>
          <w:sz w:val="32"/>
          <w:szCs w:val="32"/>
        </w:rPr>
      </w:pPr>
      <w:bookmarkStart w:id="11" w:name="bookmark93"/>
      <w:r>
        <w:rPr>
          <w:rFonts w:hint="eastAsia" w:ascii="仿宋_GB2312" w:hAnsi="仿宋_GB2312" w:eastAsia="仿宋_GB2312" w:cs="仿宋_GB2312"/>
          <w:color w:val="000000"/>
          <w:spacing w:val="0"/>
          <w:w w:val="100"/>
          <w:position w:val="0"/>
          <w:sz w:val="32"/>
          <w:szCs w:val="32"/>
        </w:rPr>
        <w:t>（</w:t>
      </w:r>
      <w:bookmarkEnd w:id="11"/>
      <w:r>
        <w:rPr>
          <w:rFonts w:hint="eastAsia" w:ascii="仿宋_GB2312" w:hAnsi="仿宋_GB2312" w:eastAsia="仿宋_GB2312" w:cs="仿宋_GB2312"/>
          <w:color w:val="000000"/>
          <w:spacing w:val="0"/>
          <w:w w:val="100"/>
          <w:position w:val="0"/>
          <w:sz w:val="32"/>
          <w:szCs w:val="32"/>
        </w:rPr>
        <w:t>二）部门整体支出规模、使用方向和主要内容、涉及范围</w:t>
      </w:r>
    </w:p>
    <w:p>
      <w:pPr>
        <w:widowControl/>
        <w:spacing w:line="600" w:lineRule="exact"/>
        <w:ind w:firstLine="548" w:firstLineChars="196"/>
        <w:jc w:val="left"/>
        <w:rPr>
          <w:rFonts w:hint="eastAsia" w:ascii="Calibri" w:hAnsi="Calibri" w:eastAsia="仿宋_GB2312" w:cs="Times New Roman"/>
          <w:kern w:val="2"/>
          <w:sz w:val="28"/>
          <w:szCs w:val="28"/>
          <w:u w:val="none"/>
          <w:shd w:val="clear"/>
          <w:lang w:val="en-US" w:eastAsia="zh-CN" w:bidi="ar-SA"/>
        </w:rPr>
      </w:pPr>
      <w:r>
        <w:rPr>
          <w:rFonts w:hint="eastAsia" w:ascii="Calibri" w:hAnsi="Calibri" w:eastAsia="仿宋_GB2312" w:cs="Times New Roman"/>
          <w:kern w:val="2"/>
          <w:sz w:val="28"/>
          <w:szCs w:val="28"/>
          <w:u w:val="none"/>
          <w:shd w:val="clear"/>
          <w:lang w:val="en-US" w:eastAsia="zh-CN" w:bidi="ar-SA"/>
        </w:rPr>
        <w:t>我单位</w:t>
      </w:r>
      <w:r>
        <w:rPr>
          <w:rFonts w:hint="default" w:ascii="Calibri" w:hAnsi="Calibri" w:eastAsia="仿宋_GB2312" w:cs="Times New Roman"/>
          <w:kern w:val="2"/>
          <w:sz w:val="28"/>
          <w:szCs w:val="28"/>
          <w:u w:val="none"/>
          <w:shd w:val="clear"/>
          <w:lang w:val="en-US" w:eastAsia="zh-CN" w:bidi="ar-SA"/>
        </w:rPr>
        <w:t>2</w:t>
      </w:r>
      <w:r>
        <w:rPr>
          <w:rFonts w:hint="eastAsia" w:eastAsia="仿宋_GB2312" w:cs="Times New Roman"/>
          <w:kern w:val="2"/>
          <w:sz w:val="28"/>
          <w:szCs w:val="28"/>
          <w:u w:val="none"/>
          <w:shd w:val="clear"/>
          <w:lang w:val="en-US" w:eastAsia="zh-CN" w:bidi="ar-SA"/>
        </w:rPr>
        <w:t>020年</w:t>
      </w:r>
      <w:r>
        <w:rPr>
          <w:rFonts w:hint="default" w:ascii="Calibri" w:hAnsi="Calibri" w:eastAsia="仿宋_GB2312" w:cs="Times New Roman"/>
          <w:kern w:val="2"/>
          <w:sz w:val="28"/>
          <w:szCs w:val="28"/>
          <w:u w:val="none"/>
          <w:shd w:val="clear"/>
          <w:lang w:val="en-US" w:eastAsia="zh-CN" w:bidi="ar-SA"/>
        </w:rPr>
        <w:t>度收入总计</w:t>
      </w:r>
      <w:r>
        <w:rPr>
          <w:rFonts w:hint="eastAsia" w:eastAsia="仿宋_GB2312" w:cs="Times New Roman"/>
          <w:kern w:val="2"/>
          <w:sz w:val="28"/>
          <w:szCs w:val="28"/>
          <w:u w:val="none"/>
          <w:shd w:val="clear"/>
          <w:lang w:val="en-US" w:eastAsia="zh-CN" w:bidi="ar-SA"/>
        </w:rPr>
        <w:t>30,958,190.41</w:t>
      </w:r>
      <w:r>
        <w:rPr>
          <w:rFonts w:hint="default" w:ascii="Calibri" w:hAnsi="Calibri" w:eastAsia="仿宋_GB2312" w:cs="Times New Roman"/>
          <w:kern w:val="2"/>
          <w:sz w:val="28"/>
          <w:szCs w:val="28"/>
          <w:u w:val="none"/>
          <w:shd w:val="clear"/>
          <w:lang w:val="en-US" w:eastAsia="zh-CN" w:bidi="ar-SA"/>
        </w:rPr>
        <w:t>元，其中财政拨款收入</w:t>
      </w:r>
      <w:r>
        <w:rPr>
          <w:rFonts w:hint="eastAsia" w:eastAsia="仿宋_GB2312" w:cs="Times New Roman"/>
          <w:kern w:val="2"/>
          <w:sz w:val="28"/>
          <w:szCs w:val="28"/>
          <w:u w:val="none"/>
          <w:shd w:val="clear"/>
          <w:lang w:val="en-US" w:eastAsia="zh-CN" w:bidi="ar-SA"/>
        </w:rPr>
        <w:t>30,958,190.41</w:t>
      </w:r>
      <w:r>
        <w:rPr>
          <w:rFonts w:hint="default" w:ascii="Calibri" w:hAnsi="Calibri" w:eastAsia="仿宋_GB2312" w:cs="Times New Roman"/>
          <w:kern w:val="2"/>
          <w:sz w:val="28"/>
          <w:szCs w:val="28"/>
          <w:u w:val="none"/>
          <w:shd w:val="clear"/>
          <w:lang w:val="en-US" w:eastAsia="zh-CN" w:bidi="ar-SA"/>
        </w:rPr>
        <w:t>元，占本年收入</w:t>
      </w:r>
      <w:r>
        <w:rPr>
          <w:rFonts w:hint="eastAsia" w:eastAsia="仿宋_GB2312" w:cs="Times New Roman"/>
          <w:kern w:val="2"/>
          <w:sz w:val="28"/>
          <w:szCs w:val="28"/>
          <w:u w:val="none"/>
          <w:shd w:val="clear"/>
          <w:lang w:val="en-US" w:eastAsia="zh-CN" w:bidi="ar-SA"/>
        </w:rPr>
        <w:t>100</w:t>
      </w:r>
      <w:r>
        <w:rPr>
          <w:rFonts w:hint="default" w:ascii="Calibri" w:hAnsi="Calibri" w:eastAsia="仿宋_GB2312" w:cs="Times New Roman"/>
          <w:kern w:val="2"/>
          <w:sz w:val="28"/>
          <w:szCs w:val="28"/>
          <w:u w:val="none"/>
          <w:shd w:val="clear"/>
          <w:lang w:val="en-US" w:eastAsia="zh-CN" w:bidi="ar-SA"/>
        </w:rPr>
        <w:t>%。本年支出总计</w:t>
      </w:r>
      <w:r>
        <w:rPr>
          <w:rFonts w:hint="eastAsia" w:eastAsia="仿宋_GB2312" w:cs="Times New Roman"/>
          <w:kern w:val="2"/>
          <w:sz w:val="28"/>
          <w:szCs w:val="28"/>
          <w:u w:val="none"/>
          <w:shd w:val="clear"/>
          <w:lang w:val="en-US" w:eastAsia="zh-CN" w:bidi="ar-SA"/>
        </w:rPr>
        <w:t>28194462.69</w:t>
      </w:r>
      <w:r>
        <w:rPr>
          <w:rFonts w:hint="default" w:ascii="Calibri" w:hAnsi="Calibri" w:eastAsia="仿宋_GB2312" w:cs="Times New Roman"/>
          <w:kern w:val="2"/>
          <w:sz w:val="28"/>
          <w:szCs w:val="28"/>
          <w:u w:val="none"/>
          <w:shd w:val="clear"/>
          <w:lang w:val="en-US" w:eastAsia="zh-CN" w:bidi="ar-SA"/>
        </w:rPr>
        <w:t>元，其中：基本支出</w:t>
      </w:r>
      <w:r>
        <w:rPr>
          <w:rFonts w:hint="eastAsia" w:eastAsia="仿宋_GB2312" w:cs="Times New Roman"/>
          <w:kern w:val="2"/>
          <w:sz w:val="28"/>
          <w:szCs w:val="28"/>
          <w:u w:val="none"/>
          <w:shd w:val="clear"/>
          <w:lang w:val="en-US" w:eastAsia="zh-CN" w:bidi="ar-SA"/>
        </w:rPr>
        <w:t>2,459,987.62</w:t>
      </w:r>
      <w:r>
        <w:rPr>
          <w:rFonts w:hint="default" w:ascii="Calibri" w:hAnsi="Calibri" w:eastAsia="仿宋_GB2312" w:cs="Times New Roman"/>
          <w:kern w:val="2"/>
          <w:sz w:val="28"/>
          <w:szCs w:val="28"/>
          <w:u w:val="none"/>
          <w:shd w:val="clear"/>
          <w:lang w:val="en-US" w:eastAsia="zh-CN" w:bidi="ar-SA"/>
        </w:rPr>
        <w:t>元，占本年支出的</w:t>
      </w:r>
      <w:r>
        <w:rPr>
          <w:rFonts w:hint="eastAsia" w:eastAsia="仿宋_GB2312" w:cs="Times New Roman"/>
          <w:kern w:val="2"/>
          <w:sz w:val="28"/>
          <w:szCs w:val="28"/>
          <w:u w:val="none"/>
          <w:shd w:val="clear"/>
          <w:lang w:val="en-US" w:eastAsia="zh-CN" w:bidi="ar-SA"/>
        </w:rPr>
        <w:t>8.73</w:t>
      </w:r>
      <w:r>
        <w:rPr>
          <w:rFonts w:hint="default" w:ascii="Calibri" w:hAnsi="Calibri" w:eastAsia="仿宋_GB2312" w:cs="Times New Roman"/>
          <w:kern w:val="2"/>
          <w:sz w:val="28"/>
          <w:szCs w:val="28"/>
          <w:u w:val="none"/>
          <w:shd w:val="clear"/>
          <w:lang w:val="en-US" w:eastAsia="zh-CN" w:bidi="ar-SA"/>
        </w:rPr>
        <w:t>%；项目支出</w:t>
      </w:r>
      <w:r>
        <w:rPr>
          <w:rFonts w:hint="eastAsia" w:eastAsia="仿宋_GB2312" w:cs="Times New Roman"/>
          <w:kern w:val="2"/>
          <w:sz w:val="28"/>
          <w:szCs w:val="28"/>
          <w:u w:val="none"/>
          <w:shd w:val="clear"/>
          <w:lang w:val="en-US" w:eastAsia="zh-CN" w:bidi="ar-SA"/>
        </w:rPr>
        <w:t>25,734,475.07</w:t>
      </w:r>
      <w:r>
        <w:rPr>
          <w:rFonts w:hint="default" w:ascii="Calibri" w:hAnsi="Calibri" w:eastAsia="仿宋_GB2312" w:cs="Times New Roman"/>
          <w:kern w:val="2"/>
          <w:sz w:val="28"/>
          <w:szCs w:val="28"/>
          <w:u w:val="none"/>
          <w:shd w:val="clear"/>
          <w:lang w:val="en-US" w:eastAsia="zh-CN" w:bidi="ar-SA"/>
        </w:rPr>
        <w:t>元，占本年支出的</w:t>
      </w:r>
      <w:r>
        <w:rPr>
          <w:rFonts w:hint="eastAsia" w:eastAsia="仿宋_GB2312" w:cs="Times New Roman"/>
          <w:kern w:val="2"/>
          <w:sz w:val="28"/>
          <w:szCs w:val="28"/>
          <w:u w:val="none"/>
          <w:shd w:val="clear"/>
          <w:lang w:val="en-US" w:eastAsia="zh-CN" w:bidi="ar-SA"/>
        </w:rPr>
        <w:t>91.27</w:t>
      </w:r>
      <w:r>
        <w:rPr>
          <w:rFonts w:hint="default" w:ascii="Calibri" w:hAnsi="Calibri" w:eastAsia="仿宋_GB2312" w:cs="Times New Roman"/>
          <w:kern w:val="2"/>
          <w:sz w:val="28"/>
          <w:szCs w:val="28"/>
          <w:u w:val="none"/>
          <w:shd w:val="clear"/>
          <w:lang w:val="en-US" w:eastAsia="zh-CN" w:bidi="ar-SA"/>
        </w:rPr>
        <w:t>%</w:t>
      </w:r>
      <w:r>
        <w:rPr>
          <w:rFonts w:hint="eastAsia" w:eastAsia="仿宋_GB2312" w:cs="Times New Roman"/>
          <w:kern w:val="2"/>
          <w:sz w:val="28"/>
          <w:szCs w:val="28"/>
          <w:u w:val="none"/>
          <w:shd w:val="clear"/>
          <w:lang w:val="en-US" w:eastAsia="zh-CN" w:bidi="ar-SA"/>
        </w:rPr>
        <w:t>。</w:t>
      </w:r>
    </w:p>
    <w:p>
      <w:pPr>
        <w:pStyle w:val="21"/>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leftChars="0" w:right="0" w:firstLine="643" w:firstLineChars="200"/>
        <w:jc w:val="both"/>
        <w:textAlignment w:val="auto"/>
        <w:rPr>
          <w:rFonts w:hint="eastAsia" w:ascii="仿宋_GB2312" w:hAnsi="仿宋_GB2312" w:eastAsia="仿宋_GB2312" w:cs="仿宋_GB2312"/>
          <w:b/>
          <w:bCs/>
          <w:sz w:val="32"/>
          <w:szCs w:val="32"/>
        </w:rPr>
      </w:pPr>
      <w:bookmarkStart w:id="12" w:name="bookmark94"/>
      <w:r>
        <w:rPr>
          <w:rFonts w:hint="eastAsia" w:ascii="仿宋_GB2312" w:hAnsi="仿宋_GB2312" w:eastAsia="仿宋_GB2312" w:cs="仿宋_GB2312"/>
          <w:b/>
          <w:bCs/>
          <w:color w:val="000000"/>
          <w:spacing w:val="0"/>
          <w:w w:val="100"/>
          <w:position w:val="0"/>
          <w:sz w:val="32"/>
          <w:szCs w:val="32"/>
        </w:rPr>
        <w:t>二</w:t>
      </w:r>
      <w:bookmarkEnd w:id="12"/>
      <w:r>
        <w:rPr>
          <w:rFonts w:hint="eastAsia" w:ascii="仿宋_GB2312" w:hAnsi="仿宋_GB2312" w:eastAsia="仿宋_GB2312" w:cs="仿宋_GB2312"/>
          <w:b/>
          <w:bCs/>
          <w:color w:val="000000"/>
          <w:spacing w:val="0"/>
          <w:w w:val="100"/>
          <w:position w:val="0"/>
          <w:sz w:val="32"/>
          <w:szCs w:val="32"/>
        </w:rPr>
        <w:t>、部门整体支出管理及使用情况</w:t>
      </w:r>
    </w:p>
    <w:p>
      <w:pPr>
        <w:pStyle w:val="21"/>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bookmarkStart w:id="13" w:name="bookmark95"/>
      <w:r>
        <w:rPr>
          <w:rFonts w:hint="eastAsia" w:ascii="仿宋_GB2312" w:hAnsi="仿宋_GB2312" w:eastAsia="仿宋_GB2312" w:cs="仿宋_GB2312"/>
          <w:color w:val="000000"/>
          <w:spacing w:val="0"/>
          <w:w w:val="100"/>
          <w:position w:val="0"/>
          <w:sz w:val="32"/>
          <w:szCs w:val="32"/>
        </w:rPr>
        <w:t>（</w:t>
      </w:r>
      <w:bookmarkEnd w:id="13"/>
      <w:r>
        <w:rPr>
          <w:rFonts w:hint="eastAsia" w:ascii="仿宋_GB2312" w:hAnsi="仿宋_GB2312" w:eastAsia="仿宋_GB2312" w:cs="仿宋_GB2312"/>
          <w:color w:val="000000"/>
          <w:spacing w:val="0"/>
          <w:w w:val="100"/>
          <w:position w:val="0"/>
          <w:sz w:val="32"/>
          <w:szCs w:val="32"/>
        </w:rPr>
        <w:t>一）基本支出</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jc w:val="both"/>
        <w:textAlignment w:val="auto"/>
        <w:rPr>
          <w:rFonts w:hint="eastAsia" w:ascii="宋体" w:hAnsi="宋体" w:eastAsia="宋体" w:cs="宋体"/>
          <w:color w:val="000000"/>
          <w:spacing w:val="0"/>
          <w:w w:val="100"/>
          <w:position w:val="0"/>
          <w:sz w:val="28"/>
          <w:szCs w:val="28"/>
        </w:rPr>
      </w:pPr>
      <w:r>
        <w:rPr>
          <w:rFonts w:hint="eastAsia" w:ascii="Calibri" w:hAnsi="Calibri" w:eastAsia="仿宋_GB2312" w:cs="Times New Roman"/>
          <w:kern w:val="2"/>
          <w:sz w:val="28"/>
          <w:szCs w:val="28"/>
          <w:u w:val="none"/>
          <w:shd w:val="clear"/>
          <w:lang w:val="en-US" w:eastAsia="zh-CN" w:bidi="ar-SA"/>
        </w:rPr>
        <w:t>主要是工资福利支出、商品和服务支出及公用经费支出。2020</w:t>
      </w:r>
      <w:r>
        <w:rPr>
          <w:rFonts w:hint="default" w:ascii="Calibri" w:hAnsi="Calibri" w:eastAsia="仿宋_GB2312" w:cs="Times New Roman"/>
          <w:kern w:val="2"/>
          <w:sz w:val="28"/>
          <w:szCs w:val="28"/>
          <w:u w:val="none"/>
          <w:shd w:val="clear"/>
          <w:lang w:val="en-US" w:eastAsia="zh-CN" w:bidi="ar-SA"/>
        </w:rPr>
        <w:t>年度基本支出2,459,987.62元，其中人员经费支出</w:t>
      </w:r>
      <w:r>
        <w:rPr>
          <w:rFonts w:hint="eastAsia" w:ascii="Calibri" w:hAnsi="Calibri" w:eastAsia="仿宋_GB2312" w:cs="Times New Roman"/>
          <w:kern w:val="2"/>
          <w:sz w:val="28"/>
          <w:szCs w:val="28"/>
          <w:u w:val="none"/>
          <w:shd w:val="clear"/>
          <w:lang w:val="en-US" w:eastAsia="zh-CN" w:bidi="ar-SA"/>
        </w:rPr>
        <w:t>1346854.85</w:t>
      </w:r>
      <w:r>
        <w:rPr>
          <w:rFonts w:hint="default" w:ascii="Calibri" w:hAnsi="Calibri" w:eastAsia="仿宋_GB2312" w:cs="Times New Roman"/>
          <w:kern w:val="2"/>
          <w:sz w:val="28"/>
          <w:szCs w:val="28"/>
          <w:u w:val="none"/>
          <w:shd w:val="clear"/>
          <w:lang w:val="en-US" w:eastAsia="zh-CN" w:bidi="ar-SA"/>
        </w:rPr>
        <w:t>元，用于基本工资、津补贴、奖金发放、</w:t>
      </w:r>
      <w:r>
        <w:rPr>
          <w:rFonts w:hint="eastAsia" w:ascii="Calibri" w:hAnsi="Calibri" w:eastAsia="仿宋_GB2312" w:cs="Times New Roman"/>
          <w:kern w:val="2"/>
          <w:sz w:val="28"/>
          <w:szCs w:val="28"/>
          <w:u w:val="none"/>
          <w:shd w:val="clear"/>
          <w:lang w:val="en-US" w:eastAsia="zh-CN" w:bidi="ar-SA"/>
        </w:rPr>
        <w:t>伙食补助费</w:t>
      </w:r>
      <w:r>
        <w:rPr>
          <w:rFonts w:hint="default" w:ascii="Calibri" w:hAnsi="Calibri" w:eastAsia="仿宋_GB2312" w:cs="Times New Roman"/>
          <w:kern w:val="2"/>
          <w:sz w:val="28"/>
          <w:szCs w:val="28"/>
          <w:u w:val="none"/>
          <w:shd w:val="clear"/>
          <w:lang w:val="en-US" w:eastAsia="zh-CN" w:bidi="ar-SA"/>
        </w:rPr>
        <w:t>、</w:t>
      </w:r>
      <w:r>
        <w:rPr>
          <w:rFonts w:hint="eastAsia" w:ascii="Calibri" w:hAnsi="Calibri" w:eastAsia="仿宋_GB2312" w:cs="Times New Roman"/>
          <w:kern w:val="2"/>
          <w:sz w:val="28"/>
          <w:szCs w:val="28"/>
          <w:u w:val="none"/>
          <w:shd w:val="clear"/>
          <w:lang w:val="en-US" w:eastAsia="zh-CN" w:bidi="ar-SA"/>
        </w:rPr>
        <w:t>基本养老保险、职工医疗保险、住房公积金、绩效工资、其他社会保障缴费、其他工资福利支出、生活补助、其他对个人和家庭的补助</w:t>
      </w:r>
      <w:r>
        <w:rPr>
          <w:rFonts w:hint="default" w:ascii="Calibri" w:hAnsi="Calibri" w:eastAsia="仿宋_GB2312" w:cs="Times New Roman"/>
          <w:kern w:val="2"/>
          <w:sz w:val="28"/>
          <w:szCs w:val="28"/>
          <w:u w:val="none"/>
          <w:shd w:val="clear"/>
          <w:lang w:val="en-US" w:eastAsia="zh-CN" w:bidi="ar-SA"/>
        </w:rPr>
        <w:t>等支出；公用支出</w:t>
      </w:r>
      <w:r>
        <w:rPr>
          <w:rFonts w:hint="eastAsia" w:ascii="Calibri" w:hAnsi="Calibri" w:eastAsia="仿宋_GB2312" w:cs="Times New Roman"/>
          <w:kern w:val="2"/>
          <w:sz w:val="28"/>
          <w:szCs w:val="28"/>
          <w:u w:val="none"/>
          <w:shd w:val="clear"/>
          <w:lang w:val="en-US" w:eastAsia="zh-CN" w:bidi="ar-SA"/>
        </w:rPr>
        <w:t>1113132.77</w:t>
      </w:r>
      <w:r>
        <w:rPr>
          <w:rFonts w:hint="default" w:ascii="Calibri" w:hAnsi="Calibri" w:eastAsia="仿宋_GB2312" w:cs="Times New Roman"/>
          <w:kern w:val="2"/>
          <w:sz w:val="28"/>
          <w:szCs w:val="28"/>
          <w:u w:val="none"/>
          <w:shd w:val="clear"/>
          <w:lang w:val="en-US" w:eastAsia="zh-CN" w:bidi="ar-SA"/>
        </w:rPr>
        <w:t>万元，主要用于办公费</w:t>
      </w:r>
      <w:r>
        <w:rPr>
          <w:rFonts w:hint="eastAsia" w:ascii="Calibri" w:hAnsi="Calibri" w:eastAsia="仿宋_GB2312" w:cs="Times New Roman"/>
          <w:kern w:val="2"/>
          <w:sz w:val="28"/>
          <w:szCs w:val="28"/>
          <w:u w:val="none"/>
          <w:shd w:val="clear"/>
          <w:lang w:val="en-US" w:eastAsia="zh-CN" w:bidi="ar-SA"/>
        </w:rPr>
        <w:t>、</w:t>
      </w:r>
      <w:r>
        <w:rPr>
          <w:rFonts w:hint="default" w:ascii="Calibri" w:hAnsi="Calibri" w:eastAsia="仿宋_GB2312" w:cs="Times New Roman"/>
          <w:kern w:val="2"/>
          <w:sz w:val="28"/>
          <w:szCs w:val="28"/>
          <w:u w:val="none"/>
          <w:shd w:val="clear"/>
          <w:lang w:val="en-US" w:eastAsia="zh-CN" w:bidi="ar-SA"/>
        </w:rPr>
        <w:t>印刷费</w:t>
      </w:r>
      <w:r>
        <w:rPr>
          <w:rFonts w:hint="eastAsia" w:ascii="Calibri" w:hAnsi="Calibri" w:eastAsia="仿宋_GB2312" w:cs="Times New Roman"/>
          <w:kern w:val="2"/>
          <w:sz w:val="28"/>
          <w:szCs w:val="28"/>
          <w:u w:val="none"/>
          <w:shd w:val="clear"/>
          <w:lang w:val="en-US" w:eastAsia="zh-CN" w:bidi="ar-SA"/>
        </w:rPr>
        <w:t>、</w:t>
      </w:r>
      <w:r>
        <w:rPr>
          <w:rFonts w:hint="default" w:ascii="Calibri" w:hAnsi="Calibri" w:eastAsia="仿宋_GB2312" w:cs="Times New Roman"/>
          <w:kern w:val="2"/>
          <w:sz w:val="28"/>
          <w:szCs w:val="28"/>
          <w:u w:val="none"/>
          <w:shd w:val="clear"/>
          <w:lang w:val="en-US" w:eastAsia="zh-CN" w:bidi="ar-SA"/>
        </w:rPr>
        <w:t>咨询费</w:t>
      </w:r>
      <w:r>
        <w:rPr>
          <w:rFonts w:hint="eastAsia" w:ascii="Calibri" w:hAnsi="Calibri" w:eastAsia="仿宋_GB2312" w:cs="Times New Roman"/>
          <w:kern w:val="2"/>
          <w:sz w:val="28"/>
          <w:szCs w:val="28"/>
          <w:u w:val="none"/>
          <w:shd w:val="clear"/>
          <w:lang w:val="en-US" w:eastAsia="zh-CN" w:bidi="ar-SA"/>
        </w:rPr>
        <w:t>、</w:t>
      </w:r>
      <w:r>
        <w:rPr>
          <w:rFonts w:hint="default" w:ascii="Calibri" w:hAnsi="Calibri" w:eastAsia="仿宋_GB2312" w:cs="Times New Roman"/>
          <w:kern w:val="2"/>
          <w:sz w:val="28"/>
          <w:szCs w:val="28"/>
          <w:u w:val="none"/>
          <w:shd w:val="clear"/>
          <w:lang w:val="en-US" w:eastAsia="zh-CN" w:bidi="ar-SA"/>
        </w:rPr>
        <w:t>电费</w:t>
      </w:r>
      <w:r>
        <w:rPr>
          <w:rFonts w:hint="eastAsia" w:ascii="Calibri" w:hAnsi="Calibri" w:eastAsia="仿宋_GB2312" w:cs="Times New Roman"/>
          <w:kern w:val="2"/>
          <w:sz w:val="28"/>
          <w:szCs w:val="28"/>
          <w:u w:val="none"/>
          <w:shd w:val="clear"/>
          <w:lang w:val="en-US" w:eastAsia="zh-CN" w:bidi="ar-SA"/>
        </w:rPr>
        <w:t>、</w:t>
      </w:r>
      <w:r>
        <w:rPr>
          <w:rFonts w:hint="default" w:ascii="Calibri" w:hAnsi="Calibri" w:eastAsia="仿宋_GB2312" w:cs="Times New Roman"/>
          <w:kern w:val="2"/>
          <w:sz w:val="28"/>
          <w:szCs w:val="28"/>
          <w:u w:val="none"/>
          <w:shd w:val="clear"/>
          <w:lang w:val="en-US" w:eastAsia="zh-CN" w:bidi="ar-SA"/>
        </w:rPr>
        <w:t>差旅费</w:t>
      </w:r>
      <w:r>
        <w:rPr>
          <w:rFonts w:hint="eastAsia" w:ascii="Calibri" w:hAnsi="Calibri" w:eastAsia="仿宋_GB2312" w:cs="Times New Roman"/>
          <w:kern w:val="2"/>
          <w:sz w:val="28"/>
          <w:szCs w:val="28"/>
          <w:u w:val="none"/>
          <w:shd w:val="clear"/>
          <w:lang w:val="en-US" w:eastAsia="zh-CN" w:bidi="ar-SA"/>
        </w:rPr>
        <w:t>、</w:t>
      </w:r>
      <w:r>
        <w:rPr>
          <w:rFonts w:hint="default" w:ascii="Calibri" w:hAnsi="Calibri" w:eastAsia="仿宋_GB2312" w:cs="Times New Roman"/>
          <w:kern w:val="2"/>
          <w:sz w:val="28"/>
          <w:szCs w:val="28"/>
          <w:u w:val="none"/>
          <w:shd w:val="clear"/>
          <w:lang w:val="en-US" w:eastAsia="zh-CN" w:bidi="ar-SA"/>
        </w:rPr>
        <w:t>维修（护）费</w:t>
      </w:r>
      <w:r>
        <w:rPr>
          <w:rFonts w:hint="eastAsia" w:ascii="Calibri" w:hAnsi="Calibri" w:eastAsia="仿宋_GB2312" w:cs="Times New Roman"/>
          <w:kern w:val="2"/>
          <w:sz w:val="28"/>
          <w:szCs w:val="28"/>
          <w:u w:val="none"/>
          <w:shd w:val="clear"/>
          <w:lang w:val="en-US" w:eastAsia="zh-CN" w:bidi="ar-SA"/>
        </w:rPr>
        <w:t>、</w:t>
      </w:r>
      <w:r>
        <w:rPr>
          <w:rFonts w:hint="default" w:ascii="Calibri" w:hAnsi="Calibri" w:eastAsia="仿宋_GB2312" w:cs="Times New Roman"/>
          <w:kern w:val="2"/>
          <w:sz w:val="28"/>
          <w:szCs w:val="28"/>
          <w:u w:val="none"/>
          <w:shd w:val="clear"/>
          <w:lang w:val="en-US" w:eastAsia="zh-CN" w:bidi="ar-SA"/>
        </w:rPr>
        <w:t>租赁费</w:t>
      </w:r>
      <w:r>
        <w:rPr>
          <w:rFonts w:hint="eastAsia" w:ascii="Calibri" w:hAnsi="Calibri" w:eastAsia="仿宋_GB2312" w:cs="Times New Roman"/>
          <w:kern w:val="2"/>
          <w:sz w:val="28"/>
          <w:szCs w:val="28"/>
          <w:u w:val="none"/>
          <w:shd w:val="clear"/>
          <w:lang w:val="en-US" w:eastAsia="zh-CN" w:bidi="ar-SA"/>
        </w:rPr>
        <w:t>、</w:t>
      </w:r>
      <w:r>
        <w:rPr>
          <w:rFonts w:hint="default" w:ascii="Calibri" w:hAnsi="Calibri" w:eastAsia="仿宋_GB2312" w:cs="Times New Roman"/>
          <w:kern w:val="2"/>
          <w:sz w:val="28"/>
          <w:szCs w:val="28"/>
          <w:u w:val="none"/>
          <w:shd w:val="clear"/>
          <w:lang w:val="en-US" w:eastAsia="zh-CN" w:bidi="ar-SA"/>
        </w:rPr>
        <w:t>会议费</w:t>
      </w:r>
      <w:r>
        <w:rPr>
          <w:rFonts w:hint="eastAsia" w:ascii="Calibri" w:hAnsi="Calibri" w:eastAsia="仿宋_GB2312" w:cs="Times New Roman"/>
          <w:kern w:val="2"/>
          <w:sz w:val="28"/>
          <w:szCs w:val="28"/>
          <w:u w:val="none"/>
          <w:shd w:val="clear"/>
          <w:lang w:val="en-US" w:eastAsia="zh-CN" w:bidi="ar-SA"/>
        </w:rPr>
        <w:t>、</w:t>
      </w:r>
      <w:r>
        <w:rPr>
          <w:rFonts w:hint="default" w:ascii="Calibri" w:hAnsi="Calibri" w:eastAsia="仿宋_GB2312" w:cs="Times New Roman"/>
          <w:kern w:val="2"/>
          <w:sz w:val="28"/>
          <w:szCs w:val="28"/>
          <w:u w:val="none"/>
          <w:shd w:val="clear"/>
          <w:lang w:val="en-US" w:eastAsia="zh-CN" w:bidi="ar-SA"/>
        </w:rPr>
        <w:t>培训费</w:t>
      </w:r>
      <w:r>
        <w:rPr>
          <w:rFonts w:hint="eastAsia" w:ascii="Calibri" w:hAnsi="Calibri" w:eastAsia="仿宋_GB2312" w:cs="Times New Roman"/>
          <w:kern w:val="2"/>
          <w:sz w:val="28"/>
          <w:szCs w:val="28"/>
          <w:u w:val="none"/>
          <w:shd w:val="clear"/>
          <w:lang w:val="en-US" w:eastAsia="zh-CN" w:bidi="ar-SA"/>
        </w:rPr>
        <w:t>、</w:t>
      </w:r>
      <w:r>
        <w:rPr>
          <w:rFonts w:hint="default" w:ascii="Calibri" w:hAnsi="Calibri" w:eastAsia="仿宋_GB2312" w:cs="Times New Roman"/>
          <w:kern w:val="2"/>
          <w:sz w:val="28"/>
          <w:szCs w:val="28"/>
          <w:u w:val="none"/>
          <w:shd w:val="clear"/>
          <w:lang w:val="en-US" w:eastAsia="zh-CN" w:bidi="ar-SA"/>
        </w:rPr>
        <w:t>专用材料费</w:t>
      </w:r>
      <w:r>
        <w:rPr>
          <w:rFonts w:hint="eastAsia" w:ascii="Calibri" w:hAnsi="Calibri" w:eastAsia="仿宋_GB2312" w:cs="Times New Roman"/>
          <w:kern w:val="2"/>
          <w:sz w:val="28"/>
          <w:szCs w:val="28"/>
          <w:u w:val="none"/>
          <w:shd w:val="clear"/>
          <w:lang w:val="en-US" w:eastAsia="zh-CN" w:bidi="ar-SA"/>
        </w:rPr>
        <w:t>、</w:t>
      </w:r>
      <w:r>
        <w:rPr>
          <w:rFonts w:hint="default" w:ascii="Calibri" w:hAnsi="Calibri" w:eastAsia="仿宋_GB2312" w:cs="Times New Roman"/>
          <w:kern w:val="2"/>
          <w:sz w:val="28"/>
          <w:szCs w:val="28"/>
          <w:u w:val="none"/>
          <w:shd w:val="clear"/>
          <w:lang w:val="en-US" w:eastAsia="zh-CN" w:bidi="ar-SA"/>
        </w:rPr>
        <w:t>劳务费</w:t>
      </w:r>
      <w:r>
        <w:rPr>
          <w:rFonts w:hint="eastAsia" w:ascii="Calibri" w:hAnsi="Calibri" w:eastAsia="仿宋_GB2312" w:cs="Times New Roman"/>
          <w:kern w:val="2"/>
          <w:sz w:val="28"/>
          <w:szCs w:val="28"/>
          <w:u w:val="none"/>
          <w:shd w:val="clear"/>
          <w:lang w:val="en-US" w:eastAsia="zh-CN" w:bidi="ar-SA"/>
        </w:rPr>
        <w:t>、</w:t>
      </w:r>
      <w:r>
        <w:rPr>
          <w:rFonts w:hint="default" w:ascii="Calibri" w:hAnsi="Calibri" w:eastAsia="仿宋_GB2312" w:cs="Times New Roman"/>
          <w:kern w:val="2"/>
          <w:sz w:val="28"/>
          <w:szCs w:val="28"/>
          <w:u w:val="none"/>
          <w:shd w:val="clear"/>
          <w:lang w:val="en-US" w:eastAsia="zh-CN" w:bidi="ar-SA"/>
        </w:rPr>
        <w:t>委托业务费</w:t>
      </w:r>
      <w:r>
        <w:rPr>
          <w:rFonts w:hint="eastAsia" w:ascii="Calibri" w:hAnsi="Calibri" w:eastAsia="仿宋_GB2312" w:cs="Times New Roman"/>
          <w:kern w:val="2"/>
          <w:sz w:val="28"/>
          <w:szCs w:val="28"/>
          <w:u w:val="none"/>
          <w:shd w:val="clear"/>
          <w:lang w:val="en-US" w:eastAsia="zh-CN" w:bidi="ar-SA"/>
        </w:rPr>
        <w:t>、</w:t>
      </w:r>
      <w:r>
        <w:rPr>
          <w:rFonts w:hint="default" w:ascii="Calibri" w:hAnsi="Calibri" w:eastAsia="仿宋_GB2312" w:cs="Times New Roman"/>
          <w:kern w:val="2"/>
          <w:sz w:val="28"/>
          <w:szCs w:val="28"/>
          <w:u w:val="none"/>
          <w:shd w:val="clear"/>
          <w:lang w:val="en-US" w:eastAsia="zh-CN" w:bidi="ar-SA"/>
        </w:rPr>
        <w:t>工会经费</w:t>
      </w:r>
      <w:r>
        <w:rPr>
          <w:rFonts w:hint="eastAsia" w:ascii="Calibri" w:hAnsi="Calibri" w:eastAsia="仿宋_GB2312" w:cs="Times New Roman"/>
          <w:kern w:val="2"/>
          <w:sz w:val="28"/>
          <w:szCs w:val="28"/>
          <w:u w:val="none"/>
          <w:shd w:val="clear"/>
          <w:lang w:val="en-US" w:eastAsia="zh-CN" w:bidi="ar-SA"/>
        </w:rPr>
        <w:t>、</w:t>
      </w:r>
      <w:r>
        <w:rPr>
          <w:rFonts w:hint="default" w:ascii="Calibri" w:hAnsi="Calibri" w:eastAsia="仿宋_GB2312" w:cs="Times New Roman"/>
          <w:kern w:val="2"/>
          <w:sz w:val="28"/>
          <w:szCs w:val="28"/>
          <w:u w:val="none"/>
          <w:shd w:val="clear"/>
          <w:lang w:val="en-US" w:eastAsia="zh-CN" w:bidi="ar-SA"/>
        </w:rPr>
        <w:t>福利费</w:t>
      </w:r>
      <w:r>
        <w:rPr>
          <w:rFonts w:hint="eastAsia" w:ascii="Calibri" w:hAnsi="Calibri" w:eastAsia="仿宋_GB2312" w:cs="Times New Roman"/>
          <w:kern w:val="2"/>
          <w:sz w:val="28"/>
          <w:szCs w:val="28"/>
          <w:u w:val="none"/>
          <w:shd w:val="clear"/>
          <w:lang w:val="en-US" w:eastAsia="zh-CN" w:bidi="ar-SA"/>
        </w:rPr>
        <w:t>、</w:t>
      </w:r>
      <w:r>
        <w:rPr>
          <w:rFonts w:hint="default" w:ascii="Calibri" w:hAnsi="Calibri" w:eastAsia="仿宋_GB2312" w:cs="Times New Roman"/>
          <w:kern w:val="2"/>
          <w:sz w:val="28"/>
          <w:szCs w:val="28"/>
          <w:u w:val="none"/>
          <w:shd w:val="clear"/>
          <w:lang w:val="en-US" w:eastAsia="zh-CN" w:bidi="ar-SA"/>
        </w:rPr>
        <w:t>其他交通费用</w:t>
      </w:r>
      <w:r>
        <w:rPr>
          <w:rFonts w:hint="eastAsia" w:ascii="Calibri" w:hAnsi="Calibri" w:eastAsia="仿宋_GB2312" w:cs="Times New Roman"/>
          <w:kern w:val="2"/>
          <w:sz w:val="28"/>
          <w:szCs w:val="28"/>
          <w:u w:val="none"/>
          <w:shd w:val="clear"/>
          <w:lang w:val="en-US" w:eastAsia="zh-CN" w:bidi="ar-SA"/>
        </w:rPr>
        <w:t>、</w:t>
      </w:r>
      <w:r>
        <w:rPr>
          <w:rFonts w:hint="default" w:ascii="Calibri" w:hAnsi="Calibri" w:eastAsia="仿宋_GB2312" w:cs="Times New Roman"/>
          <w:kern w:val="2"/>
          <w:sz w:val="28"/>
          <w:szCs w:val="28"/>
          <w:u w:val="none"/>
          <w:shd w:val="clear"/>
          <w:lang w:val="en-US" w:eastAsia="zh-CN" w:bidi="ar-SA"/>
        </w:rPr>
        <w:t>其他商品和服务支出等</w:t>
      </w:r>
      <w:r>
        <w:rPr>
          <w:rFonts w:hint="eastAsia" w:ascii="Calibri" w:hAnsi="Calibri" w:eastAsia="仿宋_GB2312" w:cs="Times New Roman"/>
          <w:kern w:val="2"/>
          <w:sz w:val="28"/>
          <w:szCs w:val="28"/>
          <w:u w:val="none"/>
          <w:shd w:val="clear"/>
          <w:lang w:val="en-US" w:eastAsia="zh-CN" w:bidi="ar-SA"/>
        </w:rPr>
        <w:t>日常</w:t>
      </w:r>
      <w:r>
        <w:rPr>
          <w:rFonts w:hint="default" w:ascii="Calibri" w:hAnsi="Calibri" w:eastAsia="仿宋_GB2312" w:cs="Times New Roman"/>
          <w:kern w:val="2"/>
          <w:sz w:val="28"/>
          <w:szCs w:val="28"/>
          <w:u w:val="none"/>
          <w:shd w:val="clear"/>
          <w:lang w:val="en-US" w:eastAsia="zh-CN" w:bidi="ar-SA"/>
        </w:rPr>
        <w:t>方面支出；</w:t>
      </w:r>
      <w:r>
        <w:rPr>
          <w:rFonts w:hint="eastAsia" w:ascii="Calibri" w:hAnsi="Calibri" w:eastAsia="仿宋_GB2312" w:cs="Times New Roman"/>
          <w:kern w:val="2"/>
          <w:sz w:val="28"/>
          <w:szCs w:val="28"/>
          <w:u w:val="none"/>
          <w:shd w:val="clear"/>
          <w:lang w:val="en-US" w:eastAsia="zh-CN" w:bidi="ar-SA"/>
        </w:rPr>
        <w:t>为保障单位机构正常运转、完成日常工作任务而发生的各项支出。</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jc w:val="both"/>
        <w:textAlignment w:val="auto"/>
        <w:rPr>
          <w:rFonts w:hint="default" w:ascii="Calibri" w:hAnsi="Calibri" w:eastAsia="仿宋_GB2312" w:cs="Times New Roman"/>
          <w:kern w:val="2"/>
          <w:sz w:val="28"/>
          <w:szCs w:val="28"/>
          <w:u w:val="none"/>
          <w:shd w:val="clear"/>
          <w:lang w:val="en-US" w:eastAsia="zh-CN" w:bidi="ar-SA"/>
        </w:rPr>
      </w:pPr>
      <w:r>
        <w:rPr>
          <w:rFonts w:hint="eastAsia" w:ascii="Calibri" w:hAnsi="Calibri" w:eastAsia="仿宋_GB2312" w:cs="Times New Roman"/>
          <w:kern w:val="2"/>
          <w:sz w:val="28"/>
          <w:szCs w:val="28"/>
          <w:u w:val="none"/>
          <w:shd w:val="clear"/>
          <w:lang w:val="en-US" w:eastAsia="zh-CN" w:bidi="ar-SA"/>
        </w:rPr>
        <w:t>2020年没有发生“三公”经费支出。</w:t>
      </w:r>
    </w:p>
    <w:p>
      <w:pPr>
        <w:pStyle w:val="21"/>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bookmarkStart w:id="14" w:name="bookmark96"/>
      <w:r>
        <w:rPr>
          <w:rFonts w:hint="eastAsia" w:ascii="仿宋_GB2312" w:hAnsi="仿宋_GB2312" w:eastAsia="仿宋_GB2312" w:cs="仿宋_GB2312"/>
          <w:color w:val="000000"/>
          <w:spacing w:val="0"/>
          <w:w w:val="100"/>
          <w:position w:val="0"/>
          <w:sz w:val="32"/>
          <w:szCs w:val="32"/>
        </w:rPr>
        <w:t>（</w:t>
      </w:r>
      <w:bookmarkEnd w:id="14"/>
      <w:r>
        <w:rPr>
          <w:rFonts w:hint="eastAsia" w:ascii="仿宋_GB2312" w:hAnsi="仿宋_GB2312" w:eastAsia="仿宋_GB2312" w:cs="仿宋_GB2312"/>
          <w:color w:val="000000"/>
          <w:spacing w:val="0"/>
          <w:w w:val="100"/>
          <w:position w:val="0"/>
          <w:sz w:val="32"/>
          <w:szCs w:val="32"/>
        </w:rPr>
        <w:t>二）项目支出</w:t>
      </w:r>
    </w:p>
    <w:p>
      <w:pPr>
        <w:spacing w:line="640" w:lineRule="exact"/>
        <w:ind w:firstLine="560" w:firstLineChars="200"/>
        <w:jc w:val="both"/>
        <w:rPr>
          <w:rFonts w:hint="default" w:eastAsia="仿宋_GB2312" w:cs="Times New Roman"/>
          <w:color w:val="auto"/>
          <w:kern w:val="2"/>
          <w:sz w:val="28"/>
          <w:szCs w:val="28"/>
          <w:u w:val="none"/>
          <w:shd w:val="clear"/>
          <w:lang w:val="en-US" w:eastAsia="zh-CN" w:bidi="ar-SA"/>
        </w:rPr>
      </w:pPr>
      <w:bookmarkStart w:id="15" w:name="bookmark97"/>
      <w:r>
        <w:rPr>
          <w:rFonts w:hint="eastAsia" w:eastAsia="仿宋_GB2312" w:cs="Times New Roman"/>
          <w:color w:val="auto"/>
          <w:kern w:val="2"/>
          <w:sz w:val="28"/>
          <w:szCs w:val="28"/>
          <w:u w:val="none"/>
          <w:shd w:val="clear"/>
          <w:lang w:val="en-US" w:eastAsia="zh-CN" w:bidi="ar-SA"/>
        </w:rPr>
        <w:t>2020</w:t>
      </w:r>
      <w:r>
        <w:rPr>
          <w:rFonts w:hint="eastAsia" w:ascii="Calibri" w:hAnsi="Calibri" w:eastAsia="仿宋_GB2312" w:cs="Times New Roman"/>
          <w:color w:val="auto"/>
          <w:kern w:val="2"/>
          <w:sz w:val="28"/>
          <w:szCs w:val="28"/>
          <w:u w:val="none"/>
          <w:shd w:val="clear"/>
          <w:lang w:val="en-US" w:eastAsia="zh-CN" w:bidi="ar-SA"/>
        </w:rPr>
        <w:t>年</w:t>
      </w:r>
      <w:r>
        <w:rPr>
          <w:rFonts w:hint="eastAsia" w:eastAsia="仿宋_GB2312" w:cs="Times New Roman"/>
          <w:color w:val="auto"/>
          <w:kern w:val="2"/>
          <w:sz w:val="28"/>
          <w:szCs w:val="28"/>
          <w:u w:val="none"/>
          <w:shd w:val="clear"/>
          <w:lang w:val="en-US" w:eastAsia="zh-CN" w:bidi="ar-SA"/>
        </w:rPr>
        <w:t>项目支出</w:t>
      </w:r>
      <w:r>
        <w:rPr>
          <w:rFonts w:hint="eastAsia" w:eastAsia="仿宋_GB2312" w:cs="Times New Roman"/>
          <w:kern w:val="2"/>
          <w:sz w:val="28"/>
          <w:szCs w:val="28"/>
          <w:u w:val="none"/>
          <w:shd w:val="clear"/>
          <w:lang w:val="en-US" w:eastAsia="zh-CN" w:bidi="ar-SA"/>
        </w:rPr>
        <w:t>25,734,475.07</w:t>
      </w:r>
      <w:r>
        <w:rPr>
          <w:rFonts w:hint="eastAsia" w:eastAsia="仿宋_GB2312" w:cs="Times New Roman"/>
          <w:color w:val="auto"/>
          <w:kern w:val="2"/>
          <w:sz w:val="28"/>
          <w:szCs w:val="28"/>
          <w:u w:val="none"/>
          <w:shd w:val="clear"/>
          <w:lang w:val="en-US" w:eastAsia="zh-CN" w:bidi="ar-SA"/>
        </w:rPr>
        <w:t>万元</w:t>
      </w:r>
      <w:r>
        <w:rPr>
          <w:rFonts w:hint="eastAsia" w:ascii="Calibri" w:hAnsi="Calibri" w:eastAsia="仿宋_GB2312" w:cs="Times New Roman"/>
          <w:color w:val="auto"/>
          <w:kern w:val="2"/>
          <w:sz w:val="28"/>
          <w:szCs w:val="28"/>
          <w:u w:val="none"/>
          <w:shd w:val="clear"/>
          <w:lang w:val="en-US" w:eastAsia="zh-CN" w:bidi="ar-SA"/>
        </w:rPr>
        <w:t>，</w:t>
      </w:r>
      <w:r>
        <w:rPr>
          <w:rFonts w:hint="eastAsia" w:eastAsia="仿宋_GB2312" w:cs="Times New Roman"/>
          <w:color w:val="auto"/>
          <w:kern w:val="2"/>
          <w:sz w:val="28"/>
          <w:szCs w:val="28"/>
          <w:u w:val="none"/>
          <w:shd w:val="clear"/>
          <w:lang w:val="en-US" w:eastAsia="zh-CN" w:bidi="ar-SA"/>
        </w:rPr>
        <w:t>用于扶贫支出。扶贫小额信贷贴息67015.69元，2020年产业扶贫资金9905550.00元，雨露计划343500.00元，对口帮扶石栏镇600000.00元，农村危房改造资金230000.00元，电商扶贫资金48000.00元，湖南省创业致富带头人培训经费63040.00元，基础设施项目11327369.38元，安全饮水支出2480000.00元，疫情生产奖补资金500000.00元，脱</w:t>
      </w:r>
      <w:bookmarkStart w:id="21" w:name="_GoBack"/>
      <w:bookmarkEnd w:id="21"/>
      <w:r>
        <w:rPr>
          <w:rFonts w:hint="eastAsia" w:eastAsia="仿宋_GB2312" w:cs="Times New Roman"/>
          <w:color w:val="auto"/>
          <w:kern w:val="2"/>
          <w:sz w:val="28"/>
          <w:szCs w:val="28"/>
          <w:u w:val="none"/>
          <w:shd w:val="clear"/>
          <w:lang w:val="en-US" w:eastAsia="zh-CN" w:bidi="ar-SA"/>
        </w:rPr>
        <w:t>贫攻坚回头看考核奖励奖金100000.00元，人大代表扶贫基地帮扶资金100000.00元</w:t>
      </w:r>
    </w:p>
    <w:bookmarkEnd w:id="15"/>
    <w:p>
      <w:pPr>
        <w:pStyle w:val="21"/>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sz w:val="32"/>
          <w:szCs w:val="32"/>
        </w:rPr>
      </w:pPr>
      <w:bookmarkStart w:id="16" w:name="bookmark100"/>
      <w:r>
        <w:rPr>
          <w:rFonts w:hint="eastAsia" w:ascii="仿宋_GB2312" w:hAnsi="仿宋_GB2312" w:eastAsia="仿宋_GB2312" w:cs="仿宋_GB2312"/>
          <w:b/>
          <w:bCs/>
          <w:color w:val="000000"/>
          <w:spacing w:val="0"/>
          <w:w w:val="100"/>
          <w:position w:val="0"/>
          <w:sz w:val="32"/>
          <w:szCs w:val="32"/>
        </w:rPr>
        <w:t>三</w:t>
      </w:r>
      <w:bookmarkEnd w:id="16"/>
      <w:r>
        <w:rPr>
          <w:rFonts w:hint="eastAsia" w:ascii="仿宋_GB2312" w:hAnsi="仿宋_GB2312" w:eastAsia="仿宋_GB2312" w:cs="仿宋_GB2312"/>
          <w:b/>
          <w:bCs/>
          <w:color w:val="000000"/>
          <w:spacing w:val="0"/>
          <w:w w:val="100"/>
          <w:position w:val="0"/>
          <w:sz w:val="32"/>
          <w:szCs w:val="32"/>
        </w:rPr>
        <w:t>、部门项目组织实施情况</w:t>
      </w:r>
    </w:p>
    <w:p>
      <w:pPr>
        <w:widowControl/>
        <w:spacing w:line="600" w:lineRule="exact"/>
        <w:ind w:firstLine="548" w:firstLineChars="196"/>
        <w:jc w:val="left"/>
        <w:rPr>
          <w:rFonts w:hint="eastAsia" w:ascii="Calibri" w:hAnsi="Calibri" w:eastAsia="仿宋_GB2312" w:cs="Times New Roman"/>
          <w:kern w:val="2"/>
          <w:sz w:val="28"/>
          <w:szCs w:val="28"/>
          <w:u w:val="none"/>
          <w:shd w:val="clear"/>
          <w:lang w:val="en-US" w:eastAsia="zh-CN" w:bidi="ar-SA"/>
        </w:rPr>
      </w:pPr>
      <w:r>
        <w:rPr>
          <w:rFonts w:hint="eastAsia" w:eastAsia="仿宋_GB2312" w:cs="Times New Roman"/>
          <w:kern w:val="2"/>
          <w:sz w:val="28"/>
          <w:szCs w:val="28"/>
          <w:u w:val="none"/>
          <w:shd w:val="clear"/>
          <w:lang w:val="en-US" w:eastAsia="zh-CN" w:bidi="ar-SA"/>
        </w:rPr>
        <w:t>（一）</w:t>
      </w:r>
      <w:r>
        <w:rPr>
          <w:rFonts w:hint="eastAsia" w:ascii="Calibri" w:hAnsi="Calibri" w:eastAsia="仿宋_GB2312" w:cs="Times New Roman"/>
          <w:kern w:val="2"/>
          <w:sz w:val="28"/>
          <w:szCs w:val="28"/>
          <w:u w:val="none"/>
          <w:shd w:val="clear"/>
          <w:lang w:val="en-US" w:eastAsia="zh-CN" w:bidi="ar-SA"/>
        </w:rPr>
        <w:t>项目组织情况分析</w:t>
      </w:r>
    </w:p>
    <w:p>
      <w:pPr>
        <w:widowControl/>
        <w:spacing w:line="600" w:lineRule="exact"/>
        <w:ind w:firstLine="548" w:firstLineChars="196"/>
        <w:jc w:val="left"/>
        <w:rPr>
          <w:rFonts w:hint="eastAsia" w:ascii="Calibri" w:hAnsi="Calibri" w:eastAsia="仿宋_GB2312" w:cs="Times New Roman"/>
          <w:kern w:val="2"/>
          <w:sz w:val="28"/>
          <w:szCs w:val="28"/>
          <w:u w:val="none"/>
          <w:shd w:val="clear"/>
          <w:lang w:val="en-US" w:eastAsia="zh-CN" w:bidi="ar-SA"/>
        </w:rPr>
      </w:pPr>
      <w:r>
        <w:rPr>
          <w:rFonts w:hint="eastAsia" w:ascii="Calibri" w:hAnsi="Calibri" w:eastAsia="仿宋_GB2312" w:cs="Times New Roman"/>
          <w:kern w:val="2"/>
          <w:sz w:val="28"/>
          <w:szCs w:val="28"/>
          <w:u w:val="none"/>
          <w:shd w:val="clear"/>
          <w:lang w:val="en-US" w:eastAsia="zh-CN" w:bidi="ar-SA"/>
        </w:rPr>
        <w:t>区政府作为脱贫攻坚项目库建设主体，负责组织相关部门，加强资金统筹调度，做好项目库审定，依据项目库安排下达资金项目，并加强实施进度跟踪检查；区扶贫</w:t>
      </w:r>
      <w:r>
        <w:rPr>
          <w:rFonts w:hint="eastAsia" w:eastAsia="仿宋_GB2312" w:cs="Times New Roman"/>
          <w:kern w:val="2"/>
          <w:sz w:val="28"/>
          <w:szCs w:val="28"/>
          <w:u w:val="none"/>
          <w:shd w:val="clear"/>
          <w:lang w:val="en-US" w:eastAsia="zh-CN" w:bidi="ar-SA"/>
        </w:rPr>
        <w:t>办</w:t>
      </w:r>
      <w:r>
        <w:rPr>
          <w:rFonts w:hint="eastAsia" w:ascii="Calibri" w:hAnsi="Calibri" w:eastAsia="仿宋_GB2312" w:cs="Times New Roman"/>
          <w:kern w:val="2"/>
          <w:sz w:val="28"/>
          <w:szCs w:val="28"/>
          <w:u w:val="none"/>
          <w:shd w:val="clear"/>
          <w:lang w:val="en-US" w:eastAsia="zh-CN" w:bidi="ar-SA"/>
        </w:rPr>
        <w:t>牵头负责项目库建设和管理工作；乡镇、涉农街道、区直相关部门做好项目论证、复核工作，指导村两委按照民主决策程序申报入库项目；村两委、第一书记、驻村工作队等认真组织动员群众，宣传政策、申报项目，并推动项目实施。</w:t>
      </w:r>
    </w:p>
    <w:p>
      <w:pPr>
        <w:widowControl/>
        <w:spacing w:line="600" w:lineRule="exact"/>
        <w:ind w:firstLine="548" w:firstLineChars="196"/>
        <w:jc w:val="left"/>
        <w:rPr>
          <w:rFonts w:hint="eastAsia" w:ascii="Calibri" w:hAnsi="Calibri" w:eastAsia="仿宋_GB2312" w:cs="Times New Roman"/>
          <w:kern w:val="2"/>
          <w:sz w:val="28"/>
          <w:szCs w:val="28"/>
          <w:u w:val="none"/>
          <w:shd w:val="clear"/>
          <w:lang w:val="en-US" w:eastAsia="zh-CN" w:bidi="ar-SA"/>
        </w:rPr>
      </w:pPr>
      <w:r>
        <w:rPr>
          <w:rFonts w:hint="eastAsia" w:ascii="Calibri" w:hAnsi="Calibri" w:eastAsia="仿宋_GB2312" w:cs="Times New Roman"/>
          <w:kern w:val="2"/>
          <w:sz w:val="28"/>
          <w:szCs w:val="28"/>
          <w:u w:val="none"/>
          <w:shd w:val="clear"/>
          <w:lang w:val="en-US" w:eastAsia="zh-CN" w:bidi="ar-SA"/>
        </w:rPr>
        <w:t>严格按照村申报、乡审核、区审定的入库程序。村两委和驻村工作队经村两委会和村民代表大会讨论，广泛征求群众意见后，形成村级项目申报清单；乡镇、涉农街道对村级申报项目进行审核、排序后，报送区扶贫开发领导小组和相关行业部门；区审定后纳入项目库，按轻重缓急进行排序，逐年滚动实施。村、乡、区三级公示均不低于10天。</w:t>
      </w:r>
    </w:p>
    <w:p>
      <w:pPr>
        <w:widowControl/>
        <w:spacing w:line="600" w:lineRule="exact"/>
        <w:ind w:firstLine="548" w:firstLineChars="196"/>
        <w:jc w:val="left"/>
        <w:rPr>
          <w:rFonts w:hint="eastAsia" w:ascii="Calibri" w:hAnsi="Calibri" w:eastAsia="仿宋_GB2312" w:cs="Times New Roman"/>
          <w:kern w:val="2"/>
          <w:sz w:val="28"/>
          <w:szCs w:val="28"/>
          <w:u w:val="none"/>
          <w:shd w:val="clear"/>
          <w:lang w:val="en-US" w:eastAsia="zh-CN" w:bidi="ar-SA"/>
        </w:rPr>
      </w:pPr>
      <w:r>
        <w:rPr>
          <w:rFonts w:hint="eastAsia" w:eastAsia="仿宋_GB2312" w:cs="Times New Roman"/>
          <w:kern w:val="2"/>
          <w:sz w:val="28"/>
          <w:szCs w:val="28"/>
          <w:u w:val="none"/>
          <w:shd w:val="clear"/>
          <w:lang w:val="en-US" w:eastAsia="zh-CN" w:bidi="ar-SA"/>
        </w:rPr>
        <w:t>（二）</w:t>
      </w:r>
      <w:r>
        <w:rPr>
          <w:rFonts w:hint="eastAsia" w:ascii="Calibri" w:hAnsi="Calibri" w:eastAsia="仿宋_GB2312" w:cs="Times New Roman"/>
          <w:kern w:val="2"/>
          <w:sz w:val="28"/>
          <w:szCs w:val="28"/>
          <w:u w:val="none"/>
          <w:shd w:val="clear"/>
          <w:lang w:val="en-US" w:eastAsia="zh-CN" w:bidi="ar-SA"/>
        </w:rPr>
        <w:t>项目实施情况</w:t>
      </w:r>
    </w:p>
    <w:p>
      <w:pPr>
        <w:widowControl/>
        <w:spacing w:line="600" w:lineRule="exact"/>
        <w:ind w:firstLine="548" w:firstLineChars="196"/>
        <w:jc w:val="left"/>
        <w:rPr>
          <w:rFonts w:hint="default"/>
          <w:lang w:val="en-US" w:eastAsia="zh-CN"/>
        </w:rPr>
      </w:pPr>
      <w:r>
        <w:rPr>
          <w:rFonts w:hint="eastAsia" w:ascii="Calibri" w:hAnsi="Calibri" w:eastAsia="仿宋_GB2312" w:cs="Times New Roman"/>
          <w:kern w:val="2"/>
          <w:sz w:val="28"/>
          <w:szCs w:val="28"/>
          <w:u w:val="none"/>
          <w:shd w:val="clear"/>
          <w:lang w:val="en-US" w:eastAsia="zh-CN" w:bidi="ar-SA"/>
        </w:rPr>
        <w:t>坚持有进有出、适时更新，成熟一批、入库一批、实施一批</w:t>
      </w:r>
      <w:r>
        <w:rPr>
          <w:rFonts w:hint="eastAsia" w:eastAsia="仿宋_GB2312" w:cs="Times New Roman"/>
          <w:kern w:val="2"/>
          <w:sz w:val="28"/>
          <w:szCs w:val="28"/>
          <w:u w:val="none"/>
          <w:shd w:val="clear"/>
          <w:lang w:val="en-US" w:eastAsia="zh-CN" w:bidi="ar-SA"/>
        </w:rPr>
        <w:t>。基础设施项目方面，实施项目30个；产业扶贫项目方面，实施项目44个；就业扶贫（疫情奖补）项目方面，实施项目12个；消费扶贫项目方面，实施项目1个。教育扶贫项目方面，实施项目2个；水利扶贫项目方面，实施项目3个；电商扶贫项目方面，实施项目1个；农村危房改造项目方面，实施项目1个。</w:t>
      </w:r>
    </w:p>
    <w:p>
      <w:pPr>
        <w:pStyle w:val="21"/>
        <w:keepNext w:val="0"/>
        <w:keepLines w:val="0"/>
        <w:pageBreakBefore w:val="0"/>
        <w:widowControl w:val="0"/>
        <w:shd w:val="clear" w:color="auto" w:fill="auto"/>
        <w:tabs>
          <w:tab w:val="left" w:pos="876"/>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sz w:val="32"/>
          <w:szCs w:val="32"/>
        </w:rPr>
      </w:pPr>
      <w:bookmarkStart w:id="17" w:name="bookmark101"/>
      <w:r>
        <w:rPr>
          <w:rFonts w:hint="eastAsia" w:ascii="仿宋_GB2312" w:hAnsi="仿宋_GB2312" w:eastAsia="仿宋_GB2312" w:cs="仿宋_GB2312"/>
          <w:b/>
          <w:bCs/>
          <w:color w:val="000000"/>
          <w:spacing w:val="0"/>
          <w:w w:val="100"/>
          <w:position w:val="0"/>
          <w:sz w:val="32"/>
          <w:szCs w:val="32"/>
        </w:rPr>
        <w:t>四</w:t>
      </w:r>
      <w:bookmarkEnd w:id="17"/>
      <w:r>
        <w:rPr>
          <w:rFonts w:hint="eastAsia" w:ascii="仿宋_GB2312" w:hAnsi="仿宋_GB2312" w:eastAsia="仿宋_GB2312" w:cs="仿宋_GB2312"/>
          <w:b/>
          <w:bCs/>
          <w:color w:val="000000"/>
          <w:spacing w:val="0"/>
          <w:w w:val="100"/>
          <w:position w:val="0"/>
          <w:sz w:val="32"/>
          <w:szCs w:val="32"/>
        </w:rPr>
        <w:t>、资产管理情况</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Calibri" w:hAnsi="Calibri" w:eastAsia="仿宋_GB2312" w:cs="Times New Roman"/>
          <w:kern w:val="2"/>
          <w:sz w:val="28"/>
          <w:szCs w:val="28"/>
          <w:u w:val="none"/>
          <w:shd w:val="clear"/>
          <w:lang w:val="en-US" w:eastAsia="zh-CN" w:bidi="ar-SA"/>
        </w:rPr>
      </w:pPr>
      <w:r>
        <w:rPr>
          <w:rFonts w:hint="eastAsia" w:ascii="Calibri" w:hAnsi="Calibri" w:eastAsia="仿宋_GB2312" w:cs="Times New Roman"/>
          <w:kern w:val="2"/>
          <w:sz w:val="28"/>
          <w:szCs w:val="28"/>
          <w:u w:val="none"/>
          <w:shd w:val="clear"/>
          <w:lang w:val="en-US" w:eastAsia="zh-CN" w:bidi="ar-SA"/>
        </w:rPr>
        <w:t>截至20</w:t>
      </w:r>
      <w:r>
        <w:rPr>
          <w:rFonts w:hint="eastAsia" w:eastAsia="仿宋_GB2312" w:cs="Times New Roman"/>
          <w:kern w:val="2"/>
          <w:sz w:val="28"/>
          <w:szCs w:val="28"/>
          <w:u w:val="none"/>
          <w:shd w:val="clear"/>
          <w:lang w:val="en-US" w:eastAsia="zh-CN" w:bidi="ar-SA"/>
        </w:rPr>
        <w:t>20</w:t>
      </w:r>
      <w:r>
        <w:rPr>
          <w:rFonts w:hint="eastAsia" w:ascii="Calibri" w:hAnsi="Calibri" w:eastAsia="仿宋_GB2312" w:cs="Times New Roman"/>
          <w:kern w:val="2"/>
          <w:sz w:val="28"/>
          <w:szCs w:val="28"/>
          <w:u w:val="none"/>
          <w:shd w:val="clear"/>
          <w:lang w:val="en-US" w:eastAsia="zh-CN" w:bidi="ar-SA"/>
        </w:rPr>
        <w:t>年12月31日，本单位共有车辆 0 辆，其中，领导干部用车0 辆、机要通信用车0辆、应急保障用车0辆、执法执勤用车0辆、特种专业技术用车0辆、其他用车0辆；单位价值50万元以上通用设备0台（套）；单位价值100万元以上专用设备0台（套）。</w:t>
      </w:r>
    </w:p>
    <w:p>
      <w:pPr>
        <w:pStyle w:val="21"/>
        <w:keepNext w:val="0"/>
        <w:keepLines w:val="0"/>
        <w:pageBreakBefore w:val="0"/>
        <w:widowControl w:val="0"/>
        <w:shd w:val="clear" w:color="auto" w:fill="auto"/>
        <w:tabs>
          <w:tab w:val="left" w:pos="886"/>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sz w:val="32"/>
          <w:szCs w:val="32"/>
        </w:rPr>
      </w:pPr>
      <w:bookmarkStart w:id="18" w:name="bookmark102"/>
      <w:r>
        <w:rPr>
          <w:rFonts w:hint="eastAsia" w:ascii="仿宋_GB2312" w:hAnsi="仿宋_GB2312" w:eastAsia="仿宋_GB2312" w:cs="仿宋_GB2312"/>
          <w:b/>
          <w:bCs/>
          <w:color w:val="000000"/>
          <w:spacing w:val="0"/>
          <w:w w:val="100"/>
          <w:position w:val="0"/>
          <w:sz w:val="32"/>
          <w:szCs w:val="32"/>
        </w:rPr>
        <w:t>五</w:t>
      </w:r>
      <w:bookmarkEnd w:id="18"/>
      <w:r>
        <w:rPr>
          <w:rFonts w:hint="eastAsia" w:ascii="仿宋_GB2312" w:hAnsi="仿宋_GB2312" w:eastAsia="仿宋_GB2312" w:cs="仿宋_GB2312"/>
          <w:b/>
          <w:bCs/>
          <w:color w:val="000000"/>
          <w:spacing w:val="0"/>
          <w:w w:val="100"/>
          <w:position w:val="0"/>
          <w:sz w:val="32"/>
          <w:szCs w:val="32"/>
        </w:rPr>
        <w:t>、部门整体支出绩效情况</w:t>
      </w:r>
    </w:p>
    <w:p>
      <w:pPr>
        <w:pStyle w:val="6"/>
        <w:ind w:firstLine="560" w:firstLineChars="200"/>
        <w:rPr>
          <w:rFonts w:hint="eastAsia" w:ascii="方正小标宋简体" w:hAnsi="方正小标宋简体" w:eastAsia="仿宋_GB2312" w:cs="方正小标宋简体"/>
          <w:color w:val="000000"/>
          <w:sz w:val="40"/>
          <w:szCs w:val="40"/>
          <w:lang w:val="en-US" w:eastAsia="zh-CN"/>
        </w:rPr>
      </w:pPr>
      <w:r>
        <w:rPr>
          <w:rFonts w:hint="eastAsia" w:ascii="Calibri" w:hAnsi="Calibri" w:eastAsia="仿宋_GB2312" w:cs="Times New Roman"/>
          <w:kern w:val="2"/>
          <w:sz w:val="28"/>
          <w:szCs w:val="28"/>
          <w:u w:val="none"/>
          <w:shd w:val="clear"/>
          <w:lang w:val="en-US" w:eastAsia="zh-CN" w:bidi="ar-SA"/>
        </w:rPr>
        <w:t>单位总体运行良好，圆满完成了各项工作任务，取得良好的社会效益。2020年实现了5个贫困村全部出列，939户3226名贫困人口全部脱贫，18户43名边缘易致贫户，16户40名脱贫不稳定户全面消除致贫返贫风险，贫困发生率从2014年5.2%降为0，消除了区域性整体贫困。</w:t>
      </w:r>
    </w:p>
    <w:p>
      <w:pPr>
        <w:pStyle w:val="6"/>
        <w:ind w:firstLine="560" w:firstLineChars="200"/>
        <w:rPr>
          <w:rFonts w:hint="eastAsia" w:ascii="Calibri" w:hAnsi="Calibri" w:eastAsia="仿宋_GB2312" w:cs="Times New Roman"/>
          <w:kern w:val="2"/>
          <w:sz w:val="28"/>
          <w:szCs w:val="28"/>
          <w:u w:val="none"/>
          <w:shd w:val="clear"/>
          <w:lang w:val="en-US" w:eastAsia="zh-CN" w:bidi="ar-SA"/>
        </w:rPr>
      </w:pPr>
      <w:r>
        <w:rPr>
          <w:rFonts w:hint="eastAsia" w:ascii="Calibri" w:hAnsi="Calibri" w:eastAsia="仿宋_GB2312" w:cs="Times New Roman"/>
          <w:kern w:val="2"/>
          <w:sz w:val="28"/>
          <w:szCs w:val="28"/>
          <w:u w:val="none"/>
          <w:shd w:val="clear"/>
          <w:lang w:val="en-US" w:eastAsia="zh-CN" w:bidi="ar-SA"/>
        </w:rPr>
        <w:t>（一）“两不愁三保障”全面解决。安居扶贫方面，实现“应改尽改”。教育扶贫方面，大力开展“三帮一”劝学活动，建立“一键式”精准资助模式，严格落实“雨露计划”职业教育补助，建立了从学前到研究生教育阶段家庭经济困难学生资助体系。有效解决了因贫因残失学辍学问题，从源头上切断贫困代际传递。健康扶贫方面，落实落细健康扶贫政策，全区建档立卡贫困人口参保率达到100%，全部实现了县域内“一站式”结算、住院“先诊疗后付费”，贫困人口基本医疗保障水平得到了显著提升，看病贵、看病难的问题得到了全面缓解。安全饮水方面，扎实推进农村安全饮水巩固工程，，巩固提升农村饮水安全1.52万人，全区贫困人口饮水保障率达100%。兜底保障方面，筑牢了贫困弱势群体基本生活保障体系。</w:t>
      </w:r>
    </w:p>
    <w:p>
      <w:pPr>
        <w:pStyle w:val="6"/>
        <w:ind w:firstLine="560" w:firstLineChars="200"/>
        <w:rPr>
          <w:rFonts w:hint="eastAsia" w:ascii="Calibri" w:hAnsi="Calibri" w:eastAsia="仿宋_GB2312" w:cs="Times New Roman"/>
          <w:kern w:val="2"/>
          <w:sz w:val="28"/>
          <w:szCs w:val="28"/>
          <w:u w:val="none"/>
          <w:shd w:val="clear"/>
          <w:lang w:val="en-US" w:eastAsia="zh-CN" w:bidi="ar-SA"/>
        </w:rPr>
      </w:pPr>
      <w:r>
        <w:rPr>
          <w:rFonts w:hint="eastAsia" w:ascii="Calibri" w:hAnsi="Calibri" w:eastAsia="仿宋_GB2312" w:cs="Times New Roman"/>
          <w:kern w:val="2"/>
          <w:sz w:val="28"/>
          <w:szCs w:val="28"/>
          <w:u w:val="none"/>
          <w:shd w:val="clear"/>
          <w:lang w:val="en-US" w:eastAsia="zh-CN" w:bidi="ar-SA"/>
        </w:rPr>
        <w:t>（二）农村经济社会发展后劲显著增强。产业扶贫方面，大力发展蔬菜种植、畜禽养殖、特色水果、休闲农业、农产品加工等7大产业，就业扶贫方面，返岗复工送一批。企业招聘选一批。扶贫车间带一批公益岗位兜一批。消费扶贫方面。搭建平台“销”。依托活动“促”。通过单位“签”。发动个人“购”</w:t>
      </w:r>
    </w:p>
    <w:p>
      <w:pPr>
        <w:pStyle w:val="6"/>
        <w:ind w:firstLine="560" w:firstLineChars="200"/>
        <w:rPr>
          <w:rFonts w:hint="eastAsia" w:ascii="Calibri" w:hAnsi="Calibri" w:eastAsia="仿宋_GB2312" w:cs="Times New Roman"/>
          <w:kern w:val="2"/>
          <w:sz w:val="28"/>
          <w:szCs w:val="28"/>
          <w:u w:val="none"/>
          <w:shd w:val="clear"/>
          <w:lang w:val="en-US" w:eastAsia="zh-CN" w:bidi="ar-SA"/>
        </w:rPr>
      </w:pPr>
      <w:r>
        <w:rPr>
          <w:rFonts w:hint="eastAsia" w:ascii="Calibri" w:hAnsi="Calibri" w:eastAsia="仿宋_GB2312" w:cs="Times New Roman"/>
          <w:kern w:val="2"/>
          <w:sz w:val="28"/>
          <w:szCs w:val="28"/>
          <w:u w:val="none"/>
          <w:shd w:val="clear"/>
          <w:lang w:val="en-US" w:eastAsia="zh-CN" w:bidi="ar-SA"/>
        </w:rPr>
        <w:t>（三）农村生产生活条件发生翻天覆地变化。交通扶贫方面，建制村通客班车率达到100%。通讯扶贫方面，行政村光纤通达率达到100%，4G覆盖率达到100%。电力扶贫方面，贫困村电网升级改造率达到100%。</w:t>
      </w:r>
    </w:p>
    <w:p>
      <w:pPr>
        <w:pStyle w:val="21"/>
        <w:keepNext w:val="0"/>
        <w:keepLines w:val="0"/>
        <w:pageBreakBefore w:val="0"/>
        <w:widowControl w:val="0"/>
        <w:shd w:val="clear" w:color="auto" w:fill="auto"/>
        <w:tabs>
          <w:tab w:val="left" w:pos="886"/>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sz w:val="32"/>
          <w:szCs w:val="32"/>
        </w:rPr>
      </w:pPr>
      <w:bookmarkStart w:id="19" w:name="bookmark103"/>
      <w:r>
        <w:rPr>
          <w:rFonts w:hint="eastAsia" w:ascii="仿宋_GB2312" w:hAnsi="仿宋_GB2312" w:eastAsia="仿宋_GB2312" w:cs="仿宋_GB2312"/>
          <w:b/>
          <w:bCs/>
          <w:color w:val="000000"/>
          <w:spacing w:val="0"/>
          <w:w w:val="100"/>
          <w:position w:val="0"/>
          <w:sz w:val="32"/>
          <w:szCs w:val="32"/>
        </w:rPr>
        <w:t>六</w:t>
      </w:r>
      <w:bookmarkEnd w:id="19"/>
      <w:r>
        <w:rPr>
          <w:rFonts w:hint="eastAsia" w:ascii="仿宋_GB2312" w:hAnsi="仿宋_GB2312" w:eastAsia="仿宋_GB2312" w:cs="仿宋_GB2312"/>
          <w:b/>
          <w:bCs/>
          <w:color w:val="000000"/>
          <w:spacing w:val="0"/>
          <w:w w:val="100"/>
          <w:position w:val="0"/>
          <w:sz w:val="32"/>
          <w:szCs w:val="32"/>
        </w:rPr>
        <w:t>、存在的主要问题</w:t>
      </w:r>
    </w:p>
    <w:p>
      <w:pPr>
        <w:widowControl/>
        <w:numPr>
          <w:ilvl w:val="0"/>
          <w:numId w:val="0"/>
        </w:numPr>
        <w:spacing w:line="600" w:lineRule="exact"/>
        <w:ind w:leftChars="0" w:firstLine="560" w:firstLineChars="200"/>
        <w:jc w:val="left"/>
        <w:rPr>
          <w:rFonts w:hint="eastAsia" w:ascii="Calibri" w:hAnsi="Calibri" w:eastAsia="仿宋_GB2312" w:cs="Times New Roman"/>
          <w:kern w:val="2"/>
          <w:sz w:val="28"/>
          <w:szCs w:val="28"/>
          <w:u w:val="none"/>
          <w:shd w:val="clear"/>
          <w:lang w:val="en-US" w:eastAsia="zh-CN" w:bidi="ar-SA"/>
        </w:rPr>
      </w:pPr>
      <w:r>
        <w:rPr>
          <w:rFonts w:hint="eastAsia" w:eastAsia="仿宋_GB2312" w:cs="Times New Roman"/>
          <w:kern w:val="2"/>
          <w:sz w:val="28"/>
          <w:szCs w:val="28"/>
          <w:u w:val="none"/>
          <w:shd w:val="clear"/>
          <w:lang w:val="en-US" w:eastAsia="zh-CN" w:bidi="ar-SA"/>
        </w:rPr>
        <w:t>预算编制有待加强；</w:t>
      </w:r>
      <w:r>
        <w:rPr>
          <w:rFonts w:hint="eastAsia" w:ascii="Calibri" w:hAnsi="Calibri" w:eastAsia="仿宋_GB2312" w:cs="Times New Roman"/>
          <w:kern w:val="2"/>
          <w:sz w:val="28"/>
          <w:szCs w:val="28"/>
          <w:u w:val="none"/>
          <w:shd w:val="clear"/>
          <w:lang w:val="en-US" w:eastAsia="zh-CN" w:bidi="ar-SA"/>
        </w:rPr>
        <w:t>日常资产管理程序有待优化。</w:t>
      </w:r>
    </w:p>
    <w:p>
      <w:pPr>
        <w:pStyle w:val="21"/>
        <w:keepNext w:val="0"/>
        <w:keepLines w:val="0"/>
        <w:pageBreakBefore w:val="0"/>
        <w:widowControl w:val="0"/>
        <w:shd w:val="clear" w:color="auto" w:fill="auto"/>
        <w:tabs>
          <w:tab w:val="left" w:pos="886"/>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sz w:val="32"/>
          <w:szCs w:val="32"/>
        </w:rPr>
      </w:pPr>
      <w:bookmarkStart w:id="20" w:name="bookmark104"/>
      <w:r>
        <w:rPr>
          <w:rFonts w:hint="eastAsia" w:ascii="仿宋_GB2312" w:hAnsi="仿宋_GB2312" w:eastAsia="仿宋_GB2312" w:cs="仿宋_GB2312"/>
          <w:b/>
          <w:bCs/>
          <w:color w:val="000000"/>
          <w:spacing w:val="0"/>
          <w:w w:val="100"/>
          <w:position w:val="0"/>
          <w:sz w:val="32"/>
          <w:szCs w:val="32"/>
        </w:rPr>
        <w:t>七</w:t>
      </w:r>
      <w:bookmarkEnd w:id="20"/>
      <w:r>
        <w:rPr>
          <w:rFonts w:hint="eastAsia" w:ascii="仿宋_GB2312" w:hAnsi="仿宋_GB2312" w:eastAsia="仿宋_GB2312" w:cs="仿宋_GB2312"/>
          <w:b/>
          <w:bCs/>
          <w:color w:val="000000"/>
          <w:spacing w:val="0"/>
          <w:w w:val="100"/>
          <w:position w:val="0"/>
          <w:sz w:val="32"/>
          <w:szCs w:val="32"/>
        </w:rPr>
        <w:t>、改进措施和有关建议</w:t>
      </w:r>
    </w:p>
    <w:p>
      <w:pPr>
        <w:widowControl/>
        <w:numPr>
          <w:ilvl w:val="0"/>
          <w:numId w:val="0"/>
        </w:numPr>
        <w:spacing w:line="600" w:lineRule="exact"/>
        <w:ind w:leftChars="0" w:firstLine="560" w:firstLineChars="200"/>
        <w:jc w:val="left"/>
        <w:rPr>
          <w:rFonts w:hint="eastAsia" w:ascii="Calibri" w:hAnsi="Calibri" w:eastAsia="仿宋_GB2312" w:cs="Times New Roman"/>
          <w:kern w:val="2"/>
          <w:sz w:val="28"/>
          <w:szCs w:val="28"/>
          <w:u w:val="none"/>
          <w:shd w:val="clear"/>
          <w:lang w:val="en-US" w:eastAsia="zh-CN" w:bidi="ar-SA"/>
        </w:rPr>
      </w:pPr>
      <w:r>
        <w:rPr>
          <w:rFonts w:hint="eastAsia" w:eastAsia="仿宋_GB2312" w:cs="Times New Roman"/>
          <w:kern w:val="2"/>
          <w:sz w:val="28"/>
          <w:szCs w:val="28"/>
          <w:u w:val="none"/>
          <w:shd w:val="clear"/>
          <w:lang w:val="zh-CN" w:eastAsia="zh-CN" w:bidi="ar-SA"/>
        </w:rPr>
        <w:t>细化预算编制工作，认真做好预算的编制。进一步加强内部机构的预算管理意识，严格按照预算编制的相关制度和要求，本着“勤俭节约、保障运转”的原则进行预算的编制;尽可能全面地进一步提高预算编制的科学性、合理性、严谨性和可控性。在日常管理过程中，严格执行单位财务制度。</w:t>
      </w:r>
      <w:r>
        <w:rPr>
          <w:rFonts w:hint="eastAsia" w:ascii="Calibri" w:hAnsi="Calibri" w:eastAsia="仿宋_GB2312" w:cs="Times New Roman"/>
          <w:kern w:val="2"/>
          <w:sz w:val="28"/>
          <w:szCs w:val="28"/>
          <w:u w:val="none"/>
          <w:shd w:val="clear"/>
          <w:lang w:val="en-US" w:eastAsia="zh-CN" w:bidi="ar-SA"/>
        </w:rPr>
        <w:t>进一步健全和完善资产管理制度及内部控制制度，创新管理手段，用新思路、新方法，改进完善资产管理方法。</w:t>
      </w:r>
    </w:p>
    <w:p>
      <w:pPr>
        <w:widowControl/>
        <w:numPr>
          <w:ilvl w:val="0"/>
          <w:numId w:val="0"/>
        </w:numPr>
        <w:spacing w:line="600" w:lineRule="exact"/>
        <w:ind w:leftChars="0" w:firstLine="560" w:firstLineChars="200"/>
        <w:jc w:val="left"/>
        <w:rPr>
          <w:rFonts w:hint="eastAsia" w:eastAsia="仿宋_GB2312" w:cs="Times New Roman"/>
          <w:kern w:val="2"/>
          <w:sz w:val="28"/>
          <w:szCs w:val="28"/>
          <w:u w:val="none"/>
          <w:shd w:val="clear"/>
          <w:lang w:val="zh-CN" w:eastAsia="zh-CN" w:bidi="ar-SA"/>
        </w:rPr>
      </w:pP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1300" w:line="360" w:lineRule="auto"/>
        <w:ind w:left="0" w:right="0" w:firstLine="640" w:firstLineChars="200"/>
        <w:jc w:val="both"/>
        <w:textAlignment w:val="auto"/>
        <w:rPr>
          <w:rFonts w:hint="eastAsia" w:ascii="仿宋_GB2312" w:hAnsi="仿宋_GB2312" w:eastAsia="仿宋_GB2312" w:cs="仿宋_GB2312"/>
          <w:sz w:val="32"/>
          <w:szCs w:val="32"/>
        </w:rPr>
      </w:pPr>
    </w:p>
    <w:p>
      <w:pPr>
        <w:spacing w:line="1" w:lineRule="exact"/>
        <w:jc w:val="center"/>
        <w:rPr>
          <w:rFonts w:hint="eastAsia" w:ascii="宋体" w:hAnsi="宋体" w:eastAsia="宋体" w:cs="宋体"/>
          <w:sz w:val="18"/>
          <w:szCs w:val="18"/>
          <w:lang w:eastAsia="zh-CN"/>
        </w:rPr>
      </w:pPr>
    </w:p>
    <w:sectPr>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1010920</wp:posOffset>
              </wp:positionH>
              <wp:positionV relativeFrom="page">
                <wp:posOffset>9731375</wp:posOffset>
              </wp:positionV>
              <wp:extent cx="603250" cy="106680"/>
              <wp:effectExtent l="0" t="0" r="0" b="0"/>
              <wp:wrapNone/>
              <wp:docPr id="30" name="Shape 30"/>
              <wp:cNvGraphicFramePr/>
              <a:graphic xmlns:a="http://schemas.openxmlformats.org/drawingml/2006/main">
                <a:graphicData uri="http://schemas.microsoft.com/office/word/2010/wordprocessingShape">
                  <wps:wsp>
                    <wps:cNvSpPr txBox="1"/>
                    <wps:spPr>
                      <a:xfrm>
                        <a:off x="0" y="0"/>
                        <a:ext cx="603250" cy="106680"/>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rPr>
                              <w:sz w:val="24"/>
                              <w:szCs w:val="24"/>
                            </w:rPr>
                          </w:pPr>
                          <w:r>
                            <w:rPr>
                              <w:rFonts w:ascii="Courier New" w:hAnsi="Courier New" w:eastAsia="Courier New" w:cs="Courier New"/>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pacing w:val="0"/>
                              <w:w w:val="100"/>
                              <w:position w:val="0"/>
                              <w:sz w:val="24"/>
                              <w:szCs w:val="24"/>
                            </w:rPr>
                            <w:t>#</w:t>
                          </w:r>
                          <w:r>
                            <w:rPr>
                              <w:rFonts w:ascii="Courier New" w:hAnsi="Courier New" w:eastAsia="Courier New" w:cs="Courier New"/>
                              <w:color w:val="000000"/>
                              <w:spacing w:val="0"/>
                              <w:w w:val="100"/>
                              <w:position w:val="0"/>
                              <w:sz w:val="24"/>
                              <w:szCs w:val="24"/>
                            </w:rPr>
                            <w:fldChar w:fldCharType="end"/>
                          </w:r>
                          <w:r>
                            <w:rPr>
                              <w:rFonts w:ascii="Courier New" w:hAnsi="Courier New" w:eastAsia="Courier New" w:cs="Courier New"/>
                              <w:color w:val="000000"/>
                              <w:spacing w:val="0"/>
                              <w:w w:val="100"/>
                              <w:position w:val="0"/>
                              <w:sz w:val="24"/>
                              <w:szCs w:val="24"/>
                            </w:rPr>
                            <w:t xml:space="preserve"> </w:t>
                          </w:r>
                          <w:r>
                            <w:rPr>
                              <w:rFonts w:ascii="Courier New" w:hAnsi="Courier New" w:eastAsia="Courier New" w:cs="Courier New"/>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30" o:spid="_x0000_s1026" o:spt="202" type="#_x0000_t202" style="position:absolute;left:0pt;margin-left:79.6pt;margin-top:766.25pt;height:8.4pt;width:47.5pt;mso-position-horizontal-relative:page;mso-position-vertical-relative:page;mso-wrap-style:none;z-index:-251657216;mso-width-relative:page;mso-height-relative:page;" filled="f" stroked="f" coordsize="21600,21600"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jC3MNgA&#10;AAANAQAADwAAAAAAAAABACAAAAAiAAAAZHJzL2Rvd25yZXYueG1sUEsBAhQAFAAAAAgAh07iQLFp&#10;guatAQAAcQMAAA4AAAAAAAAAAQAgAAAAJwEAAGRycy9lMm9Eb2MueG1sUEsFBgAAAAAGAAYAWQEA&#10;AEYFA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rPr>
                        <w:sz w:val="24"/>
                        <w:szCs w:val="24"/>
                      </w:rPr>
                    </w:pPr>
                    <w:r>
                      <w:rPr>
                        <w:rFonts w:ascii="Courier New" w:hAnsi="Courier New" w:eastAsia="Courier New" w:cs="Courier New"/>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pacing w:val="0"/>
                        <w:w w:val="100"/>
                        <w:position w:val="0"/>
                        <w:sz w:val="24"/>
                        <w:szCs w:val="24"/>
                      </w:rPr>
                      <w:t>#</w:t>
                    </w:r>
                    <w:r>
                      <w:rPr>
                        <w:rFonts w:ascii="Courier New" w:hAnsi="Courier New" w:eastAsia="Courier New" w:cs="Courier New"/>
                        <w:color w:val="000000"/>
                        <w:spacing w:val="0"/>
                        <w:w w:val="100"/>
                        <w:position w:val="0"/>
                        <w:sz w:val="24"/>
                        <w:szCs w:val="24"/>
                      </w:rPr>
                      <w:fldChar w:fldCharType="end"/>
                    </w:r>
                    <w:r>
                      <w:rPr>
                        <w:rFonts w:ascii="Courier New" w:hAnsi="Courier New" w:eastAsia="Courier New" w:cs="Courier New"/>
                        <w:color w:val="000000"/>
                        <w:spacing w:val="0"/>
                        <w:w w:val="100"/>
                        <w:position w:val="0"/>
                        <w:sz w:val="24"/>
                        <w:szCs w:val="24"/>
                      </w:rPr>
                      <w:t xml:space="preserve"> </w:t>
                    </w:r>
                    <w:r>
                      <w:rPr>
                        <w:rFonts w:ascii="Courier New" w:hAnsi="Courier New" w:eastAsia="Courier New" w:cs="Courier New"/>
                        <w:color w:val="000000"/>
                        <w:spacing w:val="0"/>
                        <w:w w:val="100"/>
                        <w:position w:val="0"/>
                        <w:sz w:val="24"/>
                        <w:szCs w:val="24"/>
                        <w:lang w:val="en-US" w:eastAsia="en-US" w:bidi="en-US"/>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E7F6B"/>
    <w:multiLevelType w:val="singleLevel"/>
    <w:tmpl w:val="F51E7F6B"/>
    <w:lvl w:ilvl="0" w:tentative="0">
      <w:start w:val="1"/>
      <w:numFmt w:val="decimal"/>
      <w:suff w:val="nothing"/>
      <w:lvlText w:val="%1、"/>
      <w:lvlJc w:val="left"/>
    </w:lvl>
  </w:abstractNum>
  <w:abstractNum w:abstractNumId="1">
    <w:nsid w:val="64421996"/>
    <w:multiLevelType w:val="multilevel"/>
    <w:tmpl w:val="64421996"/>
    <w:lvl w:ilvl="0" w:tentative="0">
      <w:start w:val="1"/>
      <w:numFmt w:val="decimal"/>
      <w:lvlText w:val="%1"/>
      <w:lvlJc w:val="left"/>
    </w:lvl>
    <w:lvl w:ilvl="1" w:tentative="0">
      <w:start w:val="1"/>
      <w:numFmt w:val="decimal"/>
      <w:lvlText w:val="%1.%2"/>
      <w:lvlJc w:val="left"/>
    </w:lvl>
    <w:lvl w:ilvl="2" w:tentative="0">
      <w:start w:val="1"/>
      <w:numFmt w:val="decimal"/>
      <w:pStyle w:val="4"/>
      <w:lvlText w:val="%1.%2.%3"/>
      <w:lvlJc w:val="left"/>
      <w:rPr>
        <w:rFonts w:hint="default" w:ascii="Arial" w:hAnsi="Arial"/>
      </w:rPr>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81120"/>
    <w:rsid w:val="0019036C"/>
    <w:rsid w:val="003D6554"/>
    <w:rsid w:val="02312FDE"/>
    <w:rsid w:val="030A3C3B"/>
    <w:rsid w:val="03737E75"/>
    <w:rsid w:val="074F0BC1"/>
    <w:rsid w:val="0B595ECF"/>
    <w:rsid w:val="0C505A2A"/>
    <w:rsid w:val="0DCF742F"/>
    <w:rsid w:val="15224E9F"/>
    <w:rsid w:val="1810076A"/>
    <w:rsid w:val="19264A6D"/>
    <w:rsid w:val="1C1C6D73"/>
    <w:rsid w:val="1CB55F50"/>
    <w:rsid w:val="1F6E185C"/>
    <w:rsid w:val="205265F0"/>
    <w:rsid w:val="236639AE"/>
    <w:rsid w:val="281F749A"/>
    <w:rsid w:val="290A0FAD"/>
    <w:rsid w:val="2A0222CB"/>
    <w:rsid w:val="2C8F18D7"/>
    <w:rsid w:val="2E02504E"/>
    <w:rsid w:val="32D36CA2"/>
    <w:rsid w:val="33A64D31"/>
    <w:rsid w:val="33B015AE"/>
    <w:rsid w:val="38343147"/>
    <w:rsid w:val="39FE7598"/>
    <w:rsid w:val="3A970F0F"/>
    <w:rsid w:val="3B213989"/>
    <w:rsid w:val="3BE645DA"/>
    <w:rsid w:val="3E2A4C34"/>
    <w:rsid w:val="3F577654"/>
    <w:rsid w:val="40902688"/>
    <w:rsid w:val="40E10467"/>
    <w:rsid w:val="423B1DB6"/>
    <w:rsid w:val="48642122"/>
    <w:rsid w:val="4999703E"/>
    <w:rsid w:val="4D301426"/>
    <w:rsid w:val="4D625F91"/>
    <w:rsid w:val="4EEF5A31"/>
    <w:rsid w:val="4FB15369"/>
    <w:rsid w:val="527541A2"/>
    <w:rsid w:val="52E51199"/>
    <w:rsid w:val="55F2551D"/>
    <w:rsid w:val="56020D0D"/>
    <w:rsid w:val="56C81120"/>
    <w:rsid w:val="56F073BC"/>
    <w:rsid w:val="5B8E7E9F"/>
    <w:rsid w:val="5C222FD4"/>
    <w:rsid w:val="5C947345"/>
    <w:rsid w:val="62513BD9"/>
    <w:rsid w:val="67356573"/>
    <w:rsid w:val="688268EC"/>
    <w:rsid w:val="69050936"/>
    <w:rsid w:val="6BB31B72"/>
    <w:rsid w:val="6C30748E"/>
    <w:rsid w:val="6E6B2B17"/>
    <w:rsid w:val="75227E34"/>
    <w:rsid w:val="7B475A52"/>
    <w:rsid w:val="7EAD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unhideWhenUsed/>
    <w:qFormat/>
    <w:uiPriority w:val="0"/>
    <w:pPr>
      <w:keepNext/>
      <w:keepLines/>
      <w:numPr>
        <w:ilvl w:val="2"/>
        <w:numId w:val="1"/>
      </w:numPr>
      <w:spacing w:before="480" w:line="288" w:lineRule="auto"/>
      <w:outlineLvl w:val="2"/>
    </w:pPr>
    <w:rPr>
      <w:rFonts w:ascii="Arial" w:hAnsi="Arial"/>
      <w:b/>
      <w:bCs/>
      <w:kern w:val="44"/>
      <w:sz w:val="2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5"/>
    <w:basedOn w:val="1"/>
    <w:next w:val="1"/>
    <w:qFormat/>
    <w:uiPriority w:val="0"/>
    <w:pPr>
      <w:widowControl w:val="0"/>
      <w:spacing w:before="0" w:after="0"/>
      <w:ind w:left="1680" w:leftChars="800" w:right="0"/>
      <w:jc w:val="both"/>
    </w:pPr>
    <w:rPr>
      <w:rFonts w:ascii="Times New Roman" w:hAnsi="Times New Roman" w:eastAsia="宋体" w:cs="宋体"/>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qFormat/>
    <w:uiPriority w:val="0"/>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styleId="10">
    <w:name w:val="FollowedHyperlink"/>
    <w:basedOn w:val="9"/>
    <w:qFormat/>
    <w:uiPriority w:val="0"/>
    <w:rPr>
      <w:color w:val="800080"/>
      <w:u w:val="none"/>
    </w:rPr>
  </w:style>
  <w:style w:type="character" w:styleId="11">
    <w:name w:val="Emphasis"/>
    <w:basedOn w:val="9"/>
    <w:qFormat/>
    <w:uiPriority w:val="0"/>
  </w:style>
  <w:style w:type="character" w:styleId="12">
    <w:name w:val="HTML Definition"/>
    <w:basedOn w:val="9"/>
    <w:qFormat/>
    <w:uiPriority w:val="0"/>
  </w:style>
  <w:style w:type="character" w:styleId="13">
    <w:name w:val="HTML Typewriter"/>
    <w:basedOn w:val="9"/>
    <w:qFormat/>
    <w:uiPriority w:val="0"/>
    <w:rPr>
      <w:rFonts w:ascii="monospace" w:hAnsi="monospace" w:eastAsia="monospace" w:cs="monospace"/>
      <w:sz w:val="20"/>
    </w:rPr>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0000FF"/>
      <w:u w:val="none"/>
    </w:rPr>
  </w:style>
  <w:style w:type="character" w:styleId="17">
    <w:name w:val="HTML Code"/>
    <w:basedOn w:val="9"/>
    <w:qFormat/>
    <w:uiPriority w:val="0"/>
    <w:rPr>
      <w:rFonts w:ascii="微软雅黑" w:hAnsi="微软雅黑" w:eastAsia="微软雅黑" w:cs="微软雅黑"/>
      <w:sz w:val="14"/>
      <w:szCs w:val="14"/>
    </w:rPr>
  </w:style>
  <w:style w:type="character" w:styleId="18">
    <w:name w:val="HTML Cite"/>
    <w:basedOn w:val="9"/>
    <w:qFormat/>
    <w:uiPriority w:val="0"/>
  </w:style>
  <w:style w:type="character" w:styleId="19">
    <w:name w:val="HTML Keyboard"/>
    <w:basedOn w:val="9"/>
    <w:qFormat/>
    <w:uiPriority w:val="0"/>
    <w:rPr>
      <w:rFonts w:hint="default" w:ascii="monospace" w:hAnsi="monospace" w:eastAsia="monospace" w:cs="monospace"/>
      <w:sz w:val="20"/>
    </w:rPr>
  </w:style>
  <w:style w:type="character" w:styleId="20">
    <w:name w:val="HTML Sample"/>
    <w:basedOn w:val="9"/>
    <w:qFormat/>
    <w:uiPriority w:val="0"/>
    <w:rPr>
      <w:rFonts w:hint="default" w:ascii="monospace" w:hAnsi="monospace" w:eastAsia="monospace" w:cs="monospace"/>
    </w:rPr>
  </w:style>
  <w:style w:type="paragraph" w:customStyle="1" w:styleId="21">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 w:type="paragraph" w:customStyle="1" w:styleId="22">
    <w:name w:val="Heading #2|1"/>
    <w:basedOn w:val="1"/>
    <w:qFormat/>
    <w:uiPriority w:val="0"/>
    <w:pPr>
      <w:widowControl w:val="0"/>
      <w:shd w:val="clear" w:color="auto" w:fill="auto"/>
      <w:spacing w:after="300"/>
      <w:jc w:val="center"/>
      <w:outlineLvl w:val="1"/>
    </w:pPr>
    <w:rPr>
      <w:rFonts w:ascii="宋体" w:hAnsi="宋体" w:eastAsia="宋体" w:cs="宋体"/>
      <w:sz w:val="44"/>
      <w:szCs w:val="44"/>
      <w:u w:val="none"/>
      <w:shd w:val="clear" w:color="auto" w:fill="auto"/>
      <w:lang w:val="zh-CN" w:eastAsia="zh-CN" w:bidi="zh-CN"/>
    </w:rPr>
  </w:style>
  <w:style w:type="paragraph" w:customStyle="1" w:styleId="23">
    <w:name w:val="Body text|3"/>
    <w:basedOn w:val="1"/>
    <w:qFormat/>
    <w:uiPriority w:val="0"/>
    <w:pPr>
      <w:widowControl w:val="0"/>
      <w:shd w:val="clear" w:color="auto" w:fill="auto"/>
      <w:spacing w:before="220" w:after="720"/>
      <w:ind w:firstLine="520"/>
    </w:pPr>
    <w:rPr>
      <w:sz w:val="32"/>
      <w:szCs w:val="32"/>
      <w:u w:val="none"/>
      <w:shd w:val="clear" w:color="auto" w:fill="auto"/>
    </w:rPr>
  </w:style>
  <w:style w:type="paragraph" w:customStyle="1" w:styleId="24">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paragraph" w:customStyle="1" w:styleId="25">
    <w:name w:val="Body text|4"/>
    <w:basedOn w:val="1"/>
    <w:qFormat/>
    <w:uiPriority w:val="0"/>
    <w:pPr>
      <w:widowControl w:val="0"/>
      <w:shd w:val="clear" w:color="auto" w:fill="auto"/>
      <w:spacing w:after="60"/>
      <w:ind w:firstLine="320"/>
    </w:pPr>
    <w:rPr>
      <w:rFonts w:ascii="宋体" w:hAnsi="宋体" w:eastAsia="宋体" w:cs="宋体"/>
      <w:u w:val="none"/>
      <w:shd w:val="clear" w:color="auto" w:fill="auto"/>
      <w:lang w:val="zh-CN" w:eastAsia="zh-CN" w:bidi="zh-CN"/>
    </w:rPr>
  </w:style>
  <w:style w:type="paragraph" w:customStyle="1" w:styleId="26">
    <w:name w:val="Table caption|1"/>
    <w:basedOn w:val="1"/>
    <w:qFormat/>
    <w:uiPriority w:val="0"/>
    <w:pPr>
      <w:widowControl w:val="0"/>
      <w:shd w:val="clear" w:color="auto" w:fill="auto"/>
      <w:spacing w:line="302" w:lineRule="exact"/>
      <w:jc w:val="right"/>
    </w:pPr>
    <w:rPr>
      <w:rFonts w:ascii="宋体" w:hAnsi="宋体" w:eastAsia="宋体" w:cs="宋体"/>
      <w:sz w:val="19"/>
      <w:szCs w:val="19"/>
      <w:u w:val="none"/>
      <w:shd w:val="clear" w:color="auto" w:fill="auto"/>
      <w:lang w:val="zh-CN" w:eastAsia="zh-CN" w:bidi="zh-CN"/>
    </w:rPr>
  </w:style>
  <w:style w:type="paragraph" w:customStyle="1" w:styleId="27">
    <w:name w:val="Header or footer|2"/>
    <w:basedOn w:val="1"/>
    <w:qFormat/>
    <w:uiPriority w:val="0"/>
    <w:pPr>
      <w:widowControl w:val="0"/>
      <w:shd w:val="clear" w:color="auto" w:fill="auto"/>
    </w:pPr>
    <w:rPr>
      <w:sz w:val="20"/>
      <w:szCs w:val="20"/>
      <w:u w:val="none"/>
      <w:shd w:val="clear" w:color="auto" w:fill="auto"/>
      <w:lang w:val="zh-CN" w:eastAsia="zh-CN" w:bidi="zh-CN"/>
    </w:rPr>
  </w:style>
  <w:style w:type="paragraph" w:customStyle="1" w:styleId="28">
    <w:name w:val="Body text|2"/>
    <w:basedOn w:val="1"/>
    <w:qFormat/>
    <w:uiPriority w:val="0"/>
    <w:pPr>
      <w:widowControl w:val="0"/>
      <w:shd w:val="clear" w:color="auto" w:fill="auto"/>
      <w:spacing w:after="470"/>
    </w:pPr>
    <w:rPr>
      <w:b/>
      <w:bCs/>
      <w:sz w:val="19"/>
      <w:szCs w:val="19"/>
      <w:u w:val="none"/>
      <w:shd w:val="clear" w:color="auto" w:fill="auto"/>
      <w:lang w:val="zh-CN" w:eastAsia="zh-CN" w:bidi="zh-CN"/>
    </w:rPr>
  </w:style>
  <w:style w:type="character" w:customStyle="1" w:styleId="29">
    <w:name w:val="bsharetext"/>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2020-05-15T02:55:00Z</dcterms:created>
  <dc:creator></dc:creator>
  <cp:lastModifiedBy>Sha.n</cp:lastModifiedBy>
  <cp:lastPrinted>2020-05-18T02:11:00Z</cp:lastPrinted>
  <dcterms:modified xsi:type="dcterms:W3CDTF">2021-11-24T06:52:17Z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5B0B4E53DD794F668841C17755A3D4B5</vt:lpwstr>
  </property>
</Properties>
</file>