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/>
        <w:keepLines/>
        <w:spacing w:after="260"/>
        <w:rPr>
          <w:color w:val="000000"/>
          <w:sz w:val="32"/>
          <w:szCs w:val="32"/>
          <w:lang w:val="en-US"/>
        </w:rPr>
      </w:pPr>
      <w:bookmarkStart w:id="0" w:name="bookmark90"/>
      <w:bookmarkStart w:id="1" w:name="bookmark88"/>
      <w:bookmarkStart w:id="2" w:name="bookmark89"/>
      <w:r>
        <w:rPr>
          <w:rFonts w:hint="eastAsia"/>
          <w:color w:val="000000"/>
          <w:sz w:val="32"/>
          <w:szCs w:val="32"/>
          <w:lang w:val="en-US"/>
        </w:rPr>
        <w:t>2019年部门整体支出绩效报告</w:t>
      </w:r>
      <w:bookmarkEnd w:id="0"/>
      <w:bookmarkEnd w:id="1"/>
      <w:bookmarkEnd w:id="2"/>
    </w:p>
    <w:p>
      <w:pPr>
        <w:spacing w:line="620" w:lineRule="exac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一、基本概况</w:t>
      </w:r>
    </w:p>
    <w:p>
      <w:pPr>
        <w:spacing w:line="620" w:lineRule="exact"/>
        <w:ind w:firstLine="643" w:firstLineChars="2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（一）机构设置情况</w:t>
      </w:r>
    </w:p>
    <w:p>
      <w:pPr>
        <w:spacing w:line="62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单位内设</w:t>
      </w:r>
      <w:r>
        <w:rPr>
          <w:rFonts w:hint="eastAsia" w:ascii="仿宋_GB2312" w:hAnsi="华文中宋" w:eastAsia="仿宋_GB2312"/>
          <w:sz w:val="32"/>
          <w:szCs w:val="32"/>
        </w:rPr>
        <w:t>：</w:t>
      </w:r>
      <w:bookmarkStart w:id="5" w:name="_GoBack"/>
      <w:r>
        <w:rPr>
          <w:rFonts w:hint="eastAsia" w:ascii="仿宋_GB2312" w:hAnsi="华文中宋" w:eastAsia="仿宋_GB2312"/>
          <w:sz w:val="32"/>
          <w:szCs w:val="32"/>
        </w:rPr>
        <w:t>办公室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华文中宋" w:eastAsia="仿宋_GB2312"/>
          <w:sz w:val="32"/>
          <w:szCs w:val="32"/>
        </w:rPr>
        <w:t>巡查信息股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、产业发展股</w:t>
      </w:r>
      <w:r>
        <w:rPr>
          <w:rFonts w:hint="eastAsia" w:ascii="仿宋_GB2312" w:hAnsi="华文中宋" w:eastAsia="仿宋_GB2312"/>
          <w:sz w:val="32"/>
          <w:szCs w:val="32"/>
        </w:rPr>
        <w:t>。</w:t>
      </w:r>
    </w:p>
    <w:bookmarkEnd w:id="5"/>
    <w:p>
      <w:pPr>
        <w:spacing w:line="62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珠晖区商贸服务中心2020年部门决算汇总公开单位构成包括：包含单位本级</w:t>
      </w:r>
      <w:r>
        <w:rPr>
          <w:rFonts w:hint="eastAsia" w:ascii="仿宋_GB2312" w:hAnsi="华文中宋" w:eastAsia="仿宋_GB2312"/>
          <w:sz w:val="32"/>
          <w:szCs w:val="32"/>
        </w:rPr>
        <w:t>。</w:t>
      </w:r>
    </w:p>
    <w:p>
      <w:pPr>
        <w:spacing w:line="620" w:lineRule="exact"/>
        <w:ind w:firstLine="643" w:firstLineChars="200"/>
        <w:rPr>
          <w:rFonts w:hint="eastAsia"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（二）主要工作职责</w:t>
      </w:r>
    </w:p>
    <w:p>
      <w:pPr>
        <w:spacing w:line="62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主要工作任务：指导区大型商贸经营场所安全生产、消防安全宣传教育培训、商贸场所日常巡查、安全隐患排查、综治维稳信息收集等。</w:t>
      </w:r>
    </w:p>
    <w:p>
      <w:pPr>
        <w:pStyle w:val="18"/>
        <w:tabs>
          <w:tab w:val="left" w:pos="1101"/>
        </w:tabs>
        <w:spacing w:line="620" w:lineRule="exact"/>
        <w:ind w:firstLine="500"/>
        <w:rPr>
          <w:rFonts w:hint="eastAsia" w:ascii="黑体" w:hAnsi="华文中宋" w:eastAsia="黑体" w:cs="Times New Roman"/>
          <w:sz w:val="32"/>
          <w:szCs w:val="32"/>
          <w:lang w:val="en-US"/>
        </w:rPr>
      </w:pPr>
      <w:bookmarkStart w:id="3" w:name="bookmark100"/>
      <w:r>
        <w:rPr>
          <w:rFonts w:hint="eastAsia" w:ascii="黑体" w:hAnsi="华文中宋" w:eastAsia="黑体" w:cs="Times New Roman"/>
          <w:sz w:val="32"/>
          <w:szCs w:val="32"/>
          <w:lang w:val="en-US"/>
        </w:rPr>
        <w:t>二、部门整体支出管理及使用情况</w:t>
      </w:r>
    </w:p>
    <w:p>
      <w:pPr>
        <w:spacing w:line="620" w:lineRule="exact"/>
        <w:ind w:firstLine="643" w:firstLineChars="2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（一）部门整体支出规模</w:t>
      </w:r>
    </w:p>
    <w:p>
      <w:pPr>
        <w:pStyle w:val="28"/>
        <w:spacing w:after="2"/>
        <w:ind w:firstLine="640"/>
        <w:rPr>
          <w:rFonts w:hint="eastAsia"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 xml:space="preserve">2020年度收入合计331.94万元，其中：财政拨款收入293.42万元，占88.39%；上级补助收入38.4万元，占11.57%；事业收入0万元，占0%；经营收入0万元，占0%；附属单位上缴收入0万元，占0%；其他收入0.12万元，占0.04%。 </w:t>
      </w:r>
    </w:p>
    <w:p>
      <w:pPr>
        <w:spacing w:line="620" w:lineRule="exact"/>
        <w:ind w:firstLine="643" w:firstLineChars="200"/>
        <w:rPr>
          <w:rFonts w:hint="eastAsia"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（二）支出使用方向和主要内容、涉及范围等</w:t>
      </w:r>
    </w:p>
    <w:p>
      <w:pPr>
        <w:spacing w:line="620" w:lineRule="exact"/>
        <w:ind w:firstLine="643" w:firstLineChars="200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1、基本支出情况</w:t>
      </w:r>
    </w:p>
    <w:p>
      <w:pPr>
        <w:spacing w:line="62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t>2020年度财政拨款基本支出294.66万元，其中：人员经费177.3万元，主要包括基本工资、津贴补贴、奖金、伙食补助费；公用经费117.37万元，主要包括办公费、印刷费、咨询费、手续费。</w:t>
      </w:r>
    </w:p>
    <w:p>
      <w:pPr>
        <w:spacing w:line="62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“三公”经费支出为</w:t>
      </w:r>
      <w:r>
        <w:rPr>
          <w:rFonts w:ascii="仿宋_GB2312" w:hAnsi="华文中宋" w:eastAsia="仿宋_GB2312"/>
          <w:sz w:val="32"/>
          <w:szCs w:val="32"/>
        </w:rPr>
        <w:t>0.43</w:t>
      </w:r>
      <w:r>
        <w:rPr>
          <w:rFonts w:hint="eastAsia" w:ascii="仿宋_GB2312" w:hAnsi="华文中宋" w:eastAsia="仿宋_GB2312"/>
          <w:sz w:val="32"/>
          <w:szCs w:val="32"/>
        </w:rPr>
        <w:t>万元，主</w:t>
      </w:r>
      <w:r>
        <w:rPr>
          <w:rFonts w:ascii="仿宋_GB2312" w:hAnsi="华文中宋" w:eastAsia="仿宋_GB2312"/>
          <w:sz w:val="32"/>
          <w:szCs w:val="32"/>
        </w:rPr>
        <w:t>要用于</w:t>
      </w:r>
      <w:r>
        <w:rPr>
          <w:rFonts w:hint="eastAsia" w:ascii="仿宋_GB2312" w:hAnsi="华文中宋" w:eastAsia="仿宋_GB2312"/>
          <w:sz w:val="32"/>
          <w:szCs w:val="32"/>
        </w:rPr>
        <w:t>公务用车运行费支出</w:t>
      </w:r>
      <w:r>
        <w:rPr>
          <w:rFonts w:ascii="仿宋_GB2312" w:hAnsi="华文中宋" w:eastAsia="仿宋_GB2312"/>
          <w:sz w:val="32"/>
          <w:szCs w:val="32"/>
        </w:rPr>
        <w:t>。</w:t>
      </w:r>
    </w:p>
    <w:p>
      <w:pPr>
        <w:spacing w:line="620" w:lineRule="exact"/>
        <w:ind w:firstLine="643" w:firstLineChars="200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2、专项支出情况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年专项支出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620" w:lineRule="exact"/>
        <w:ind w:firstLine="643" w:firstLineChars="200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3、“三公”经费情况</w:t>
      </w:r>
    </w:p>
    <w:p>
      <w:pPr>
        <w:spacing w:line="62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t>20</w:t>
      </w:r>
      <w:r>
        <w:rPr>
          <w:rFonts w:hint="eastAsia" w:ascii="仿宋_GB2312" w:hAnsi="华文中宋" w:eastAsia="仿宋_GB2312"/>
          <w:sz w:val="32"/>
          <w:szCs w:val="32"/>
        </w:rPr>
        <w:t>19年“三公”经费预算数为</w:t>
      </w:r>
      <w:r>
        <w:rPr>
          <w:rFonts w:ascii="仿宋_GB2312" w:hAnsi="华文中宋" w:eastAsia="仿宋_GB2312"/>
          <w:sz w:val="32"/>
          <w:szCs w:val="32"/>
        </w:rPr>
        <w:t>2</w:t>
      </w:r>
      <w:r>
        <w:rPr>
          <w:rFonts w:hint="eastAsia" w:ascii="仿宋_GB2312" w:hAnsi="华文中宋" w:eastAsia="仿宋_GB2312"/>
          <w:sz w:val="32"/>
          <w:szCs w:val="32"/>
        </w:rPr>
        <w:t>万元，其中，公务接待费</w:t>
      </w:r>
      <w:r>
        <w:rPr>
          <w:rFonts w:ascii="仿宋_GB2312" w:hAnsi="华文中宋" w:eastAsia="仿宋_GB2312"/>
          <w:sz w:val="32"/>
          <w:szCs w:val="32"/>
        </w:rPr>
        <w:t>0</w:t>
      </w:r>
      <w:r>
        <w:rPr>
          <w:rFonts w:hint="eastAsia" w:ascii="仿宋_GB2312" w:hAnsi="华文中宋" w:eastAsia="仿宋_GB2312"/>
          <w:sz w:val="32"/>
          <w:szCs w:val="32"/>
        </w:rPr>
        <w:t>万元，公务用车购置及运行费</w:t>
      </w:r>
      <w:r>
        <w:rPr>
          <w:rFonts w:ascii="仿宋_GB2312" w:hAnsi="华文中宋" w:eastAsia="仿宋_GB2312"/>
          <w:sz w:val="32"/>
          <w:szCs w:val="32"/>
        </w:rPr>
        <w:t>0.43</w:t>
      </w:r>
      <w:r>
        <w:rPr>
          <w:rFonts w:hint="eastAsia" w:ascii="仿宋_GB2312" w:hAnsi="华文中宋" w:eastAsia="仿宋_GB2312"/>
          <w:sz w:val="32"/>
          <w:szCs w:val="32"/>
        </w:rPr>
        <w:t>万元（其中，公务用车购置费</w:t>
      </w:r>
      <w:r>
        <w:rPr>
          <w:rFonts w:ascii="仿宋_GB2312" w:hAnsi="华文中宋" w:eastAsia="仿宋_GB2312"/>
          <w:sz w:val="32"/>
          <w:szCs w:val="32"/>
        </w:rPr>
        <w:t>0</w:t>
      </w:r>
      <w:r>
        <w:rPr>
          <w:rFonts w:hint="eastAsia" w:ascii="仿宋_GB2312" w:hAnsi="华文中宋" w:eastAsia="仿宋_GB2312"/>
          <w:sz w:val="32"/>
          <w:szCs w:val="32"/>
        </w:rPr>
        <w:t>万元，公务用车运行费</w:t>
      </w:r>
      <w:r>
        <w:rPr>
          <w:rFonts w:ascii="仿宋_GB2312" w:hAnsi="华文中宋" w:eastAsia="仿宋_GB2312"/>
          <w:sz w:val="32"/>
          <w:szCs w:val="32"/>
        </w:rPr>
        <w:t>0.43</w:t>
      </w:r>
      <w:r>
        <w:rPr>
          <w:rFonts w:hint="eastAsia" w:ascii="仿宋_GB2312" w:hAnsi="华文中宋" w:eastAsia="仿宋_GB2312"/>
          <w:sz w:val="32"/>
          <w:szCs w:val="32"/>
        </w:rPr>
        <w:t>万元），因公出国（境）费</w:t>
      </w:r>
      <w:r>
        <w:rPr>
          <w:rFonts w:ascii="仿宋_GB2312" w:hAnsi="华文中宋" w:eastAsia="仿宋_GB2312"/>
          <w:sz w:val="32"/>
          <w:szCs w:val="32"/>
        </w:rPr>
        <w:t>0</w:t>
      </w:r>
      <w:r>
        <w:rPr>
          <w:rFonts w:hint="eastAsia" w:ascii="仿宋_GB2312" w:hAnsi="华文中宋" w:eastAsia="仿宋_GB2312"/>
          <w:sz w:val="32"/>
          <w:szCs w:val="32"/>
        </w:rPr>
        <w:t>万元。</w:t>
      </w:r>
    </w:p>
    <w:p>
      <w:pPr>
        <w:spacing w:line="620" w:lineRule="exact"/>
        <w:ind w:firstLine="640" w:firstLineChars="200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三、部门专项组织实施情况</w:t>
      </w:r>
    </w:p>
    <w:p>
      <w:pPr>
        <w:spacing w:line="62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无建设项目</w:t>
      </w:r>
    </w:p>
    <w:bookmarkEnd w:id="3"/>
    <w:p>
      <w:pPr>
        <w:spacing w:line="620" w:lineRule="exact"/>
        <w:ind w:firstLine="640" w:firstLineChars="200"/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四、部门整体支出绩效情况</w:t>
      </w:r>
    </w:p>
    <w:tbl>
      <w:tblPr>
        <w:tblStyle w:val="5"/>
        <w:tblW w:w="90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反映部门履职及履职效益情况。主要从部门整体支出的经济性、效率性、有效性和可持续性等方面进行量化、具体分析。其中：经济性分析主要是对成本（预算）控制、节约等情况进 行分析；效率性分析主要是对各项工作、专项完成的进度及质 量等情况进行分析；有效性分析主要是对反映部门整体支出使 用效果的个性指标进行分析；可持续性分析主要是对支出完成后，后续政策、资金、人员机构安排和管理措施等影响项目持续发展的因素进行分析。</w:t>
            </w:r>
          </w:p>
          <w:p>
            <w:pPr>
              <w:spacing w:line="620" w:lineRule="exact"/>
              <w:ind w:firstLine="640" w:firstLineChars="200"/>
              <w:rPr>
                <w:rFonts w:hint="eastAsia"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五、存在的主要问题</w:t>
            </w:r>
          </w:p>
          <w:p>
            <w:pPr>
              <w:spacing w:line="620" w:lineRule="exact"/>
              <w:ind w:firstLine="640" w:firstLineChars="200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年初预算的编制较为精细，按照费用支出的使用范围和内容，进行了基本支出、项目支出的严格区分，并按照预算的最末级明细进行预算支出管理;编制明细预算;预算执行情况还有待加强，</w:t>
            </w:r>
          </w:p>
          <w:p>
            <w:pPr>
              <w:spacing w:line="620" w:lineRule="exact"/>
              <w:ind w:firstLine="640" w:firstLineChars="200"/>
              <w:rPr>
                <w:rFonts w:hint="eastAsia" w:ascii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六、改进措施和建议</w:t>
            </w:r>
          </w:p>
        </w:tc>
      </w:tr>
    </w:tbl>
    <w:p>
      <w:pPr>
        <w:pStyle w:val="18"/>
        <w:spacing w:line="360" w:lineRule="auto"/>
        <w:ind w:firstLine="420"/>
        <w:rPr>
          <w:rFonts w:ascii="仿宋_GB2312" w:hAnsi="华文中宋" w:eastAsia="仿宋_GB2312" w:cs="Times New Roman"/>
          <w:sz w:val="32"/>
          <w:szCs w:val="32"/>
          <w:lang w:val="en-US" w:bidi="ar-SA"/>
        </w:rPr>
      </w:pPr>
      <w:r>
        <w:rPr>
          <w:rFonts w:hint="eastAsia" w:ascii="仿宋_GB2312" w:hAnsi="华文中宋" w:eastAsia="仿宋_GB2312" w:cs="Times New Roman"/>
          <w:sz w:val="32"/>
          <w:szCs w:val="32"/>
          <w:lang w:val="en-US" w:bidi="ar-SA"/>
        </w:rPr>
        <w:t>主要阐述资金安排、使用，资产管理过程中存在的问题。</w:t>
      </w:r>
    </w:p>
    <w:p>
      <w:pPr>
        <w:pStyle w:val="18"/>
        <w:spacing w:line="360" w:lineRule="auto"/>
        <w:ind w:firstLine="420"/>
        <w:rPr>
          <w:rFonts w:ascii="仿宋_GB2312" w:hAnsi="华文中宋" w:eastAsia="仿宋_GB2312" w:cs="Times New Roman"/>
          <w:sz w:val="32"/>
          <w:szCs w:val="32"/>
          <w:lang w:val="en-US" w:bidi="ar-SA"/>
        </w:rPr>
      </w:pPr>
      <w:r>
        <w:rPr>
          <w:rFonts w:hint="eastAsia" w:ascii="仿宋_GB2312" w:hAnsi="华文中宋" w:eastAsia="仿宋_GB2312" w:cs="Times New Roman"/>
          <w:sz w:val="32"/>
          <w:szCs w:val="32"/>
          <w:lang w:val="en-US" w:bidi="ar-SA"/>
        </w:rPr>
        <w:t>固定资产的登记、管理不完善，资产管理需要加强。</w:t>
      </w:r>
    </w:p>
    <w:p>
      <w:pPr>
        <w:spacing w:line="620" w:lineRule="exact"/>
        <w:ind w:firstLine="640" w:firstLineChars="200"/>
        <w:rPr>
          <w:rFonts w:ascii="黑体" w:hAnsi="华文中宋" w:eastAsia="黑体"/>
          <w:sz w:val="32"/>
          <w:szCs w:val="32"/>
        </w:rPr>
      </w:pPr>
      <w:bookmarkStart w:id="4" w:name="bookmark104"/>
      <w:r>
        <w:rPr>
          <w:rFonts w:hint="eastAsia" w:ascii="黑体" w:hAnsi="华文中宋" w:eastAsia="黑体"/>
          <w:sz w:val="32"/>
          <w:szCs w:val="32"/>
        </w:rPr>
        <w:t>七</w:t>
      </w:r>
      <w:bookmarkEnd w:id="4"/>
      <w:r>
        <w:rPr>
          <w:rFonts w:hint="eastAsia" w:ascii="黑体" w:hAnsi="华文中宋" w:eastAsia="黑体"/>
          <w:sz w:val="32"/>
          <w:szCs w:val="32"/>
        </w:rPr>
        <w:t>、改进措施和有关建议</w:t>
      </w:r>
    </w:p>
    <w:p>
      <w:pPr>
        <w:pStyle w:val="18"/>
        <w:spacing w:line="360" w:lineRule="auto"/>
        <w:ind w:firstLine="420"/>
        <w:rPr>
          <w:rFonts w:ascii="仿宋_GB2312" w:hAnsi="华文中宋" w:eastAsia="仿宋_GB2312" w:cs="Times New Roman"/>
          <w:sz w:val="32"/>
          <w:szCs w:val="32"/>
          <w:lang w:val="en-US" w:bidi="ar-SA"/>
        </w:rPr>
      </w:pPr>
      <w:r>
        <w:rPr>
          <w:rFonts w:hint="eastAsia" w:ascii="仿宋_GB2312" w:hAnsi="华文中宋" w:eastAsia="仿宋_GB2312" w:cs="Times New Roman"/>
          <w:sz w:val="32"/>
          <w:szCs w:val="32"/>
          <w:lang w:val="en-US" w:bidi="ar-SA"/>
        </w:rPr>
        <w:t>对存在的问题提出切实可行的改进措施和有关建议等。建立健全固定资产管理制度。把固定资产纳入规范化、制度化轨道，建立各项固定资产管理管理制度，做到有章有循。准备反映固定资产增减情况，及时入账，做到账实相符。</w:t>
      </w:r>
    </w:p>
    <w:p>
      <w:pPr>
        <w:spacing w:line="1" w:lineRule="exact"/>
        <w:jc w:val="center"/>
        <w:rPr>
          <w:rFonts w:ascii="宋体" w:hAnsi="宋体" w:cs="宋体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1383" w:right="1701" w:bottom="127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0" o:spid="_x0000_s2051" o:spt="202" type="#_x0000_t202" style="position:absolute;left:0pt;margin-left:79.6pt;margin-top:766.25pt;height:8.4pt;width:47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4wtzDYAAAADQEAAA8AAAAAAAAAAQAgAAAAIgAAAGRycy9kb3du&#10;cmV2LnhtbFBLAQIUABQAAAAIAIdO4kBhv3MujQEAACMDAAAOAAAAAAAAAAEAIAAAACc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4"/>
                  <w:jc w:val="left"/>
                  <w:rPr>
                    <w:sz w:val="24"/>
                    <w:szCs w:val="24"/>
                  </w:rPr>
                </w:pPr>
                <w:r>
                  <w:rPr>
                    <w:rFonts w:ascii="Courier New" w:hAnsi="Courier New" w:eastAsia="Courier New" w:cs="Courier New"/>
                    <w:color w:val="000000"/>
                    <w:sz w:val="24"/>
                    <w:szCs w:val="24"/>
                    <w:lang w:val="en-US" w:eastAsia="en-US" w:bidi="en-US"/>
                  </w:rPr>
                  <w:t>—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Courier New" w:hAnsi="Courier New" w:eastAsia="Courier New" w:cs="Courier New"/>
                    <w:color w:val="000000"/>
                    <w:sz w:val="24"/>
                    <w:szCs w:val="24"/>
                  </w:rPr>
                  <w:t>#</w:t>
                </w:r>
                <w:r>
                  <w:rPr>
                    <w:rFonts w:ascii="Courier New" w:hAnsi="Courier New" w:eastAsia="Courier New" w:cs="Courier New"/>
                    <w:color w:val="000000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eastAsia="Courier New" w:cs="Courier New"/>
                    <w:color w:val="000000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eastAsia="Courier New" w:cs="Courier New"/>
                    <w:color w:val="000000"/>
                    <w:sz w:val="24"/>
                    <w:szCs w:val="24"/>
                    <w:lang w:val="en-US" w:eastAsia="en-US" w:bidi="en-US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6C81120"/>
    <w:rsid w:val="000C11D6"/>
    <w:rsid w:val="001F2433"/>
    <w:rsid w:val="00201867"/>
    <w:rsid w:val="002B1A02"/>
    <w:rsid w:val="003A10EB"/>
    <w:rsid w:val="00427756"/>
    <w:rsid w:val="00586F2B"/>
    <w:rsid w:val="005F4829"/>
    <w:rsid w:val="005F7E1C"/>
    <w:rsid w:val="006D667F"/>
    <w:rsid w:val="007D4018"/>
    <w:rsid w:val="008B1F0A"/>
    <w:rsid w:val="00931DF7"/>
    <w:rsid w:val="00946EA3"/>
    <w:rsid w:val="009922E1"/>
    <w:rsid w:val="009D2CE8"/>
    <w:rsid w:val="00A42942"/>
    <w:rsid w:val="00AA09A4"/>
    <w:rsid w:val="00B60F5D"/>
    <w:rsid w:val="00BE343B"/>
    <w:rsid w:val="00C447E1"/>
    <w:rsid w:val="00CD6AE3"/>
    <w:rsid w:val="00D4065B"/>
    <w:rsid w:val="00DA690A"/>
    <w:rsid w:val="00F83116"/>
    <w:rsid w:val="01F646D9"/>
    <w:rsid w:val="02312FDE"/>
    <w:rsid w:val="030A3C3B"/>
    <w:rsid w:val="03737E75"/>
    <w:rsid w:val="096E03E2"/>
    <w:rsid w:val="0A7212EE"/>
    <w:rsid w:val="0AEC21F6"/>
    <w:rsid w:val="0C505A2A"/>
    <w:rsid w:val="115B71E4"/>
    <w:rsid w:val="15224E9F"/>
    <w:rsid w:val="1810076A"/>
    <w:rsid w:val="1BB424A3"/>
    <w:rsid w:val="1CB55F50"/>
    <w:rsid w:val="1F6E185C"/>
    <w:rsid w:val="205265F0"/>
    <w:rsid w:val="22327D4B"/>
    <w:rsid w:val="236639AE"/>
    <w:rsid w:val="290A0FAD"/>
    <w:rsid w:val="2BD842FA"/>
    <w:rsid w:val="2C8F18D7"/>
    <w:rsid w:val="2EAE0451"/>
    <w:rsid w:val="30242343"/>
    <w:rsid w:val="33B015AE"/>
    <w:rsid w:val="36FA7313"/>
    <w:rsid w:val="386726C0"/>
    <w:rsid w:val="39F07A6A"/>
    <w:rsid w:val="3B195752"/>
    <w:rsid w:val="3BE645DA"/>
    <w:rsid w:val="3F577654"/>
    <w:rsid w:val="419B1E66"/>
    <w:rsid w:val="423B1DB6"/>
    <w:rsid w:val="431130AB"/>
    <w:rsid w:val="46982461"/>
    <w:rsid w:val="4999703E"/>
    <w:rsid w:val="4C7D16E9"/>
    <w:rsid w:val="4D301426"/>
    <w:rsid w:val="4D625F91"/>
    <w:rsid w:val="4DAD5A12"/>
    <w:rsid w:val="527541A2"/>
    <w:rsid w:val="52E51199"/>
    <w:rsid w:val="52FC628B"/>
    <w:rsid w:val="56264655"/>
    <w:rsid w:val="56C81120"/>
    <w:rsid w:val="56F073BC"/>
    <w:rsid w:val="58694C64"/>
    <w:rsid w:val="5B8E7E9F"/>
    <w:rsid w:val="5D951189"/>
    <w:rsid w:val="62513BD9"/>
    <w:rsid w:val="633E6B66"/>
    <w:rsid w:val="666511E2"/>
    <w:rsid w:val="67983B05"/>
    <w:rsid w:val="683434AB"/>
    <w:rsid w:val="688268EC"/>
    <w:rsid w:val="710559BC"/>
    <w:rsid w:val="760A16B6"/>
    <w:rsid w:val="7785384A"/>
    <w:rsid w:val="7E463776"/>
    <w:rsid w:val="7EA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ascii="微软雅黑" w:hAnsi="微软雅黑" w:eastAsia="微软雅黑" w:cs="微软雅黑"/>
      <w:sz w:val="14"/>
      <w:szCs w:val="1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paragraph" w:customStyle="1" w:styleId="18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19"/>
      <w:szCs w:val="19"/>
      <w:lang w:val="zh-CN" w:bidi="zh-CN"/>
    </w:rPr>
  </w:style>
  <w:style w:type="paragraph" w:customStyle="1" w:styleId="19">
    <w:name w:val="Heading #2|1"/>
    <w:basedOn w:val="1"/>
    <w:qFormat/>
    <w:uiPriority w:val="0"/>
    <w:pPr>
      <w:spacing w:after="300"/>
      <w:jc w:val="center"/>
      <w:outlineLvl w:val="1"/>
    </w:pPr>
    <w:rPr>
      <w:rFonts w:ascii="宋体" w:hAnsi="宋体" w:cs="宋体"/>
      <w:sz w:val="44"/>
      <w:szCs w:val="44"/>
      <w:lang w:val="zh-CN" w:bidi="zh-CN"/>
    </w:rPr>
  </w:style>
  <w:style w:type="paragraph" w:customStyle="1" w:styleId="20">
    <w:name w:val="Body text|3"/>
    <w:basedOn w:val="1"/>
    <w:qFormat/>
    <w:uiPriority w:val="0"/>
    <w:pPr>
      <w:spacing w:before="220" w:after="720"/>
      <w:ind w:firstLine="520"/>
    </w:pPr>
    <w:rPr>
      <w:sz w:val="32"/>
      <w:szCs w:val="32"/>
    </w:rPr>
  </w:style>
  <w:style w:type="paragraph" w:customStyle="1" w:styleId="21">
    <w:name w:val="Other|1"/>
    <w:basedOn w:val="1"/>
    <w:qFormat/>
    <w:uiPriority w:val="0"/>
    <w:pPr>
      <w:spacing w:line="302" w:lineRule="exact"/>
    </w:pPr>
    <w:rPr>
      <w:rFonts w:ascii="宋体" w:hAnsi="宋体" w:cs="宋体"/>
      <w:sz w:val="19"/>
      <w:szCs w:val="19"/>
      <w:lang w:val="zh-CN" w:bidi="zh-CN"/>
    </w:rPr>
  </w:style>
  <w:style w:type="paragraph" w:customStyle="1" w:styleId="22">
    <w:name w:val="Body text|4"/>
    <w:basedOn w:val="1"/>
    <w:qFormat/>
    <w:uiPriority w:val="0"/>
    <w:pPr>
      <w:spacing w:after="60"/>
      <w:ind w:firstLine="320"/>
    </w:pPr>
    <w:rPr>
      <w:rFonts w:ascii="宋体" w:hAnsi="宋体" w:cs="宋体"/>
      <w:lang w:val="zh-CN" w:bidi="zh-CN"/>
    </w:rPr>
  </w:style>
  <w:style w:type="paragraph" w:customStyle="1" w:styleId="23">
    <w:name w:val="Table caption|1"/>
    <w:basedOn w:val="1"/>
    <w:qFormat/>
    <w:uiPriority w:val="0"/>
    <w:pPr>
      <w:spacing w:line="302" w:lineRule="exact"/>
      <w:jc w:val="right"/>
    </w:pPr>
    <w:rPr>
      <w:rFonts w:ascii="宋体" w:hAnsi="宋体" w:cs="宋体"/>
      <w:sz w:val="19"/>
      <w:szCs w:val="19"/>
      <w:lang w:val="zh-CN" w:bidi="zh-CN"/>
    </w:rPr>
  </w:style>
  <w:style w:type="paragraph" w:customStyle="1" w:styleId="24">
    <w:name w:val="Header or footer|2"/>
    <w:basedOn w:val="1"/>
    <w:qFormat/>
    <w:uiPriority w:val="0"/>
    <w:rPr>
      <w:sz w:val="20"/>
      <w:szCs w:val="20"/>
      <w:lang w:val="zh-CN" w:bidi="zh-CN"/>
    </w:rPr>
  </w:style>
  <w:style w:type="paragraph" w:customStyle="1" w:styleId="25">
    <w:name w:val="Body text|2"/>
    <w:basedOn w:val="1"/>
    <w:qFormat/>
    <w:uiPriority w:val="0"/>
    <w:pPr>
      <w:spacing w:after="470"/>
    </w:pPr>
    <w:rPr>
      <w:b/>
      <w:bCs/>
      <w:sz w:val="19"/>
      <w:szCs w:val="19"/>
      <w:lang w:val="zh-CN" w:bidi="zh-CN"/>
    </w:rPr>
  </w:style>
  <w:style w:type="character" w:customStyle="1" w:styleId="26">
    <w:name w:val="bsharetext"/>
    <w:basedOn w:val="6"/>
    <w:qFormat/>
    <w:uiPriority w:val="0"/>
  </w:style>
  <w:style w:type="character" w:customStyle="1" w:styleId="2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8">
    <w:name w:val="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</Words>
  <Characters>934</Characters>
  <Lines>7</Lines>
  <Paragraphs>2</Paragraphs>
  <TotalTime>105</TotalTime>
  <ScaleCrop>false</ScaleCrop>
  <LinksUpToDate>false</LinksUpToDate>
  <CharactersWithSpaces>1095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2020-05-15T02:55:00Z</dcterms:created>
  <dc:creator></dc:creator>
  <cp:lastModifiedBy>Administrator</cp:lastModifiedBy>
  <cp:lastPrinted>2020-06-22T07:19:00Z</cp:lastPrinted>
  <dcterms:modified xsi:type="dcterms:W3CDTF">2021-11-22T11:35:57Z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FA8A74C9864D47F087FE11D8EAB30351</vt:lpwstr>
  </property>
</Properties>
</file>