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420"/>
        <w:ind w:firstLine="0"/>
        <w:jc w:val="center"/>
        <w:rPr>
          <w:rFonts w:ascii="宋体" w:hAnsi="宋体" w:cs="宋体"/>
          <w:color w:val="000000"/>
          <w:sz w:val="28"/>
          <w:szCs w:val="28"/>
          <w:lang w:val="zh-CN" w:bidi="zh-CN"/>
        </w:rPr>
      </w:pPr>
      <w:bookmarkStart w:id="0" w:name="bookmark85"/>
      <w:bookmarkStart w:id="1" w:name="bookmark86"/>
      <w:bookmarkStart w:id="2" w:name="bookmark87"/>
      <w:r>
        <w:rPr>
          <w:rFonts w:hint="eastAsia" w:ascii="宋体" w:hAnsi="宋体" w:cs="宋体"/>
          <w:color w:val="000000"/>
          <w:sz w:val="28"/>
          <w:szCs w:val="28"/>
          <w:lang w:val="zh-CN" w:bidi="zh-CN"/>
        </w:rPr>
        <w:t>江东综合批发市场</w:t>
      </w:r>
      <w:r>
        <w:rPr>
          <w:rFonts w:ascii="宋体" w:hAnsi="宋体" w:cs="宋体"/>
          <w:color w:val="000000"/>
          <w:sz w:val="28"/>
          <w:szCs w:val="28"/>
          <w:lang w:val="zh-CN" w:bidi="zh-CN"/>
        </w:rPr>
        <w:t>部门整体支出绩效评价</w:t>
      </w:r>
      <w:bookmarkEnd w:id="0"/>
      <w:bookmarkEnd w:id="1"/>
      <w:bookmarkEnd w:id="2"/>
    </w:p>
    <w:p>
      <w:pPr>
        <w:pStyle w:val="19"/>
        <w:tabs>
          <w:tab w:val="left" w:pos="867"/>
        </w:tabs>
        <w:spacing w:line="360" w:lineRule="auto"/>
        <w:rPr>
          <w:sz w:val="28"/>
          <w:szCs w:val="28"/>
        </w:rPr>
      </w:pPr>
      <w:r>
        <w:rPr>
          <w:rFonts w:hint="eastAsia"/>
          <w:color w:val="000000"/>
          <w:sz w:val="28"/>
          <w:szCs w:val="28"/>
        </w:rPr>
        <w:t>一、部门概况</w:t>
      </w:r>
    </w:p>
    <w:p>
      <w:pPr>
        <w:pStyle w:val="19"/>
        <w:tabs>
          <w:tab w:val="left" w:pos="1113"/>
        </w:tabs>
        <w:spacing w:line="360" w:lineRule="auto"/>
        <w:ind w:firstLine="500"/>
        <w:rPr>
          <w:rFonts w:hint="eastAsia" w:ascii="宋体" w:hAnsi="宋体" w:eastAsia="宋体" w:cs="宋体"/>
          <w:color w:val="000000"/>
          <w:kern w:val="2"/>
          <w:sz w:val="28"/>
          <w:szCs w:val="28"/>
          <w:lang w:val="zh-CN" w:eastAsia="zh-CN" w:bidi="zh-CN"/>
        </w:rPr>
      </w:pPr>
      <w:bookmarkStart w:id="3" w:name="bookmark92"/>
      <w:r>
        <w:rPr>
          <w:rFonts w:hint="eastAsia" w:ascii="宋体" w:hAnsi="宋体" w:eastAsia="宋体" w:cs="宋体"/>
          <w:color w:val="000000"/>
          <w:kern w:val="2"/>
          <w:sz w:val="28"/>
          <w:szCs w:val="28"/>
          <w:lang w:val="zh-CN" w:eastAsia="zh-CN" w:bidi="zh-CN"/>
        </w:rPr>
        <w:t>（</w:t>
      </w:r>
      <w:bookmarkEnd w:id="3"/>
      <w:r>
        <w:rPr>
          <w:rFonts w:hint="eastAsia" w:ascii="宋体" w:hAnsi="宋体" w:eastAsia="宋体" w:cs="宋体"/>
          <w:color w:val="000000"/>
          <w:kern w:val="2"/>
          <w:sz w:val="28"/>
          <w:szCs w:val="28"/>
          <w:lang w:val="zh-CN" w:eastAsia="zh-CN" w:bidi="zh-CN"/>
        </w:rPr>
        <w:t>一）部门基本情况</w:t>
      </w:r>
    </w:p>
    <w:p>
      <w:pPr>
        <w:spacing w:line="590" w:lineRule="exact"/>
        <w:ind w:firstLine="660"/>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kern w:val="2"/>
          <w:sz w:val="28"/>
          <w:szCs w:val="28"/>
          <w:lang w:val="zh-CN" w:eastAsia="zh-CN" w:bidi="zh-CN"/>
        </w:rPr>
        <w:t>1.机构设置</w:t>
      </w:r>
    </w:p>
    <w:p>
      <w:pPr>
        <w:spacing w:line="590" w:lineRule="exact"/>
        <w:ind w:firstLine="660"/>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kern w:val="2"/>
          <w:sz w:val="28"/>
          <w:szCs w:val="28"/>
          <w:lang w:val="zh-CN" w:eastAsia="zh-CN" w:bidi="zh-CN"/>
        </w:rPr>
        <w:t>区商务下设</w:t>
      </w:r>
      <w:r>
        <w:rPr>
          <w:rFonts w:hint="eastAsia" w:ascii="宋体" w:hAnsi="宋体" w:eastAsia="宋体" w:cs="宋体"/>
          <w:color w:val="000000"/>
          <w:kern w:val="2"/>
          <w:sz w:val="28"/>
          <w:szCs w:val="28"/>
          <w:lang w:val="en-US" w:eastAsia="zh-CN" w:bidi="zh-CN"/>
        </w:rPr>
        <w:t>:综合办公室</w:t>
      </w:r>
      <w:r>
        <w:rPr>
          <w:rFonts w:hint="eastAsia" w:ascii="宋体" w:hAnsi="宋体" w:eastAsia="宋体" w:cs="宋体"/>
          <w:color w:val="000000"/>
          <w:kern w:val="2"/>
          <w:sz w:val="28"/>
          <w:szCs w:val="28"/>
          <w:lang w:val="zh-CN" w:eastAsia="zh-CN" w:bidi="zh-CN"/>
        </w:rPr>
        <w:t>。</w:t>
      </w:r>
    </w:p>
    <w:p>
      <w:pPr>
        <w:spacing w:line="590" w:lineRule="exact"/>
        <w:ind w:firstLine="660"/>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kern w:val="2"/>
          <w:sz w:val="28"/>
          <w:szCs w:val="28"/>
          <w:lang w:val="zh-CN" w:eastAsia="zh-CN" w:bidi="zh-CN"/>
        </w:rPr>
        <w:t>2.职能职责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560" w:firstLineChars="200"/>
        <w:rPr>
          <w:rFonts w:hint="eastAsia" w:ascii="宋体" w:hAnsi="宋体" w:eastAsia="宋体" w:cs="宋体"/>
          <w:color w:val="000000"/>
          <w:kern w:val="2"/>
          <w:sz w:val="28"/>
          <w:szCs w:val="28"/>
          <w:lang w:val="en-US" w:eastAsia="zh-CN" w:bidi="zh-CN"/>
        </w:rPr>
      </w:pPr>
      <w:r>
        <w:rPr>
          <w:rFonts w:hint="eastAsia" w:ascii="宋体" w:hAnsi="宋体" w:cs="宋体"/>
          <w:color w:val="000000"/>
          <w:kern w:val="2"/>
          <w:sz w:val="28"/>
          <w:szCs w:val="28"/>
          <w:lang w:val="en-US" w:eastAsia="zh-CN" w:bidi="zh-CN"/>
        </w:rPr>
        <w:t>一、</w:t>
      </w:r>
      <w:r>
        <w:rPr>
          <w:rFonts w:hint="eastAsia" w:ascii="宋体" w:hAnsi="宋体" w:eastAsia="宋体" w:cs="宋体"/>
          <w:color w:val="000000"/>
          <w:kern w:val="2"/>
          <w:sz w:val="28"/>
          <w:szCs w:val="28"/>
          <w:lang w:val="en-US" w:eastAsia="zh-CN" w:bidi="zh-CN"/>
        </w:rPr>
        <w:t>市场管理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1、经营者应遵守有关法律、法规、遵守公平、自愿、诚信的原则遵守商业道德。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rFonts w:hint="eastAsia" w:ascii="宋体" w:hAnsi="宋体" w:eastAsia="宋体" w:cs="宋体"/>
          <w:color w:val="000000"/>
          <w:kern w:val="2"/>
          <w:sz w:val="28"/>
          <w:szCs w:val="28"/>
          <w:lang w:val="en-US" w:eastAsia="zh-CN" w:bidi="zh-CN"/>
        </w:rPr>
      </w:pPr>
      <w:r>
        <w:rPr>
          <w:rFonts w:hint="eastAsia" w:ascii="宋体" w:hAnsi="宋体" w:cs="宋体"/>
          <w:color w:val="000000"/>
          <w:kern w:val="2"/>
          <w:sz w:val="28"/>
          <w:szCs w:val="28"/>
          <w:lang w:val="en-US" w:eastAsia="zh-CN" w:bidi="zh-CN"/>
        </w:rPr>
        <w:t>2</w:t>
      </w:r>
      <w:r>
        <w:rPr>
          <w:rFonts w:hint="eastAsia" w:ascii="宋体" w:hAnsi="宋体" w:eastAsia="宋体" w:cs="宋体"/>
          <w:color w:val="000000"/>
          <w:kern w:val="2"/>
          <w:sz w:val="28"/>
          <w:szCs w:val="28"/>
          <w:lang w:val="en-US" w:eastAsia="zh-CN" w:bidi="zh-CN"/>
        </w:rPr>
        <w:t>、市场内不准下棋、打扑克、赌博以及从事与市场经营无关的活动违者将移交有关部门处理。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w:t>
      </w:r>
      <w:r>
        <w:rPr>
          <w:rFonts w:hint="eastAsia" w:ascii="宋体" w:hAnsi="宋体" w:cs="宋体"/>
          <w:color w:val="000000"/>
          <w:kern w:val="2"/>
          <w:sz w:val="28"/>
          <w:szCs w:val="28"/>
          <w:lang w:val="en-US" w:eastAsia="zh-CN" w:bidi="zh-CN"/>
        </w:rPr>
        <w:t>3</w:t>
      </w:r>
      <w:r>
        <w:rPr>
          <w:rFonts w:hint="eastAsia" w:ascii="宋体" w:hAnsi="宋体" w:eastAsia="宋体" w:cs="宋体"/>
          <w:color w:val="000000"/>
          <w:kern w:val="2"/>
          <w:sz w:val="28"/>
          <w:szCs w:val="28"/>
          <w:lang w:val="en-US" w:eastAsia="zh-CN" w:bidi="zh-CN"/>
        </w:rPr>
        <w:t>、严禁在场内外乱停乱放各种车辆，经营者载货的车辆务必在当日早晨七点钟前将货卸玩并立即退出场外按指定地点停放整齐。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w:t>
      </w:r>
      <w:r>
        <w:rPr>
          <w:rFonts w:hint="eastAsia" w:ascii="宋体" w:hAnsi="宋体" w:cs="宋体"/>
          <w:color w:val="000000"/>
          <w:kern w:val="2"/>
          <w:sz w:val="28"/>
          <w:szCs w:val="28"/>
          <w:lang w:val="en-US" w:eastAsia="zh-CN" w:bidi="zh-CN"/>
        </w:rPr>
        <w:t>4</w:t>
      </w:r>
      <w:r>
        <w:rPr>
          <w:rFonts w:hint="eastAsia" w:ascii="宋体" w:hAnsi="宋体" w:eastAsia="宋体" w:cs="宋体"/>
          <w:color w:val="000000"/>
          <w:kern w:val="2"/>
          <w:sz w:val="28"/>
          <w:szCs w:val="28"/>
          <w:lang w:val="en-US" w:eastAsia="zh-CN" w:bidi="zh-CN"/>
        </w:rPr>
        <w:t>、破坏市场设施及财物并造成损失的按原价赔偿。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w:t>
      </w:r>
      <w:r>
        <w:rPr>
          <w:rFonts w:hint="eastAsia" w:ascii="宋体" w:hAnsi="宋体" w:cs="宋体"/>
          <w:color w:val="000000"/>
          <w:kern w:val="2"/>
          <w:sz w:val="28"/>
          <w:szCs w:val="28"/>
          <w:lang w:val="en-US" w:eastAsia="zh-CN" w:bidi="zh-CN"/>
        </w:rPr>
        <w:t>5</w:t>
      </w:r>
      <w:r>
        <w:rPr>
          <w:rFonts w:hint="eastAsia" w:ascii="宋体" w:hAnsi="宋体" w:eastAsia="宋体" w:cs="宋体"/>
          <w:color w:val="000000"/>
          <w:kern w:val="2"/>
          <w:sz w:val="28"/>
          <w:szCs w:val="28"/>
          <w:lang w:val="en-US" w:eastAsia="zh-CN" w:bidi="zh-CN"/>
        </w:rPr>
        <w:t>、租赁期间如遇市场规划、修建、调整等，市场管理者有权单方终止合同，承租方自愿无条件服从。市场管理方剩余期间的租金退给承租方承租方不再作其他要求和补偿。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二、食品安全管理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1、入市经营人员应自觉遵守食品安全有关规定有拒卖过期、有害、有毒等不合格食品的义务。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2、市场实行商品准入制度，不合格食品、蔬菜等市场所有权采取禁止入市经营、暂存、销毁等措施进行处理。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3、入市经营业户须在摊位确定后到相关部门办理卫生许可证和营业执照，店前应统一悬挂营业执照或摊位证，特殊规定的必须持有有关部门许可证照做到证照齐全亮照经营。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4、经营业户不得销售过期、变质、有害、有毒等食品违者市场所有权对不合格食品进行暂存、销毁情节严重者收回摊位门市房剩余租金不退。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三、卫生管理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1、经营者应自觉保持市场卫生整洁。经营业户摊位前卫生实行门前三包实行垃圾装袋或桶状发现门前、摊位前脏、乱、差除当即责令其清除。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2、业户严禁向排污管道倾倒垃圾、污水等以防排水管道堵塞。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四、治安消防管理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1、市场内严禁打架斗殴、相互吵骂、酗酒闹事、欺负外地客商、扒窃钱物、扰乱市场经营秩序等情节严重的除移交有关部门处理外市场所有权收回摊位门市房剩余租金不退。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2、市场经营业户应服从管理遵守市场规章制度不得无理取闹、打骂、侮辱工作人员、扰乱市场秩序、妨碍或阻扰工作人员正常工作违者移交相关部门处理。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color w:val="000000"/>
          <w:kern w:val="2"/>
          <w:sz w:val="28"/>
          <w:szCs w:val="28"/>
          <w:lang w:val="en-US" w:eastAsia="zh-CN" w:bidi="zh-CN"/>
        </w:rPr>
      </w:pPr>
      <w:r>
        <w:rPr>
          <w:rFonts w:hint="eastAsia" w:ascii="宋体" w:hAnsi="宋体" w:eastAsia="宋体" w:cs="宋体"/>
          <w:color w:val="000000"/>
          <w:kern w:val="2"/>
          <w:sz w:val="28"/>
          <w:szCs w:val="28"/>
          <w:lang w:val="en-US" w:eastAsia="zh-CN" w:bidi="zh-CN"/>
        </w:rPr>
        <w:t>　　3、不准擅自改动用电线路和安装使用大负荷电器等违者予以停电没收电器设施。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000000"/>
          <w:sz w:val="28"/>
          <w:szCs w:val="28"/>
        </w:rPr>
      </w:pPr>
      <w:r>
        <w:rPr>
          <w:rFonts w:hint="eastAsia" w:ascii="宋体" w:hAnsi="宋体" w:eastAsia="宋体" w:cs="宋体"/>
          <w:color w:val="000000"/>
          <w:kern w:val="2"/>
          <w:sz w:val="28"/>
          <w:szCs w:val="28"/>
          <w:lang w:val="en-US" w:eastAsia="zh-CN" w:bidi="zh-CN"/>
        </w:rPr>
        <w:t>　　4、市场内人人有参与救火救灾的义务一旦发生火情应立即拨打火警电话119。 对违反以上规定的经营者视情节分别给予罚款、没收商品、停业整顿、吊销营业执照、逐出市场等处罚情节严重者移交司法部门处理。</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3.重点工作计划。</w:t>
      </w:r>
    </w:p>
    <w:p>
      <w:pPr>
        <w:spacing w:line="580" w:lineRule="exact"/>
        <w:ind w:firstLine="560" w:firstLineChars="200"/>
        <w:rPr>
          <w:rFonts w:cs="宋体"/>
          <w:color w:val="000000"/>
          <w:sz w:val="28"/>
          <w:szCs w:val="28"/>
        </w:rPr>
      </w:pPr>
      <w:r>
        <w:rPr>
          <w:rFonts w:hint="eastAsia" w:ascii="宋体" w:hAnsi="宋体" w:cs="宋体"/>
          <w:color w:val="000000"/>
          <w:sz w:val="28"/>
          <w:szCs w:val="28"/>
          <w:lang w:val="zh-CN" w:bidi="zh-CN"/>
        </w:rPr>
        <w:t>（一）贯彻执行有关国内外贸易、国际经济合作、区域经济合作的发展战略、政策，拟订全区国内外贸易、招商引资、承接产业转移、对外援助、对外投资和对外经济合作的中长期规划、政策措施和实施办法</w:t>
      </w:r>
      <w:r>
        <w:rPr>
          <w:rFonts w:hint="eastAsia" w:ascii="宋体" w:hAnsi="宋体" w:cs="宋体"/>
          <w:color w:val="000000"/>
          <w:sz w:val="28"/>
          <w:szCs w:val="28"/>
        </w:rPr>
        <w:t>；</w:t>
      </w:r>
      <w:r>
        <w:rPr>
          <w:rFonts w:hint="eastAsia" w:cs="宋体"/>
          <w:color w:val="000000"/>
          <w:sz w:val="28"/>
          <w:szCs w:val="28"/>
        </w:rPr>
        <w:t>承担全区招商引资和承接产业转移工作。</w:t>
      </w:r>
    </w:p>
    <w:p>
      <w:pPr>
        <w:spacing w:line="580" w:lineRule="exact"/>
        <w:ind w:firstLine="560" w:firstLineChars="200"/>
        <w:rPr>
          <w:rFonts w:cs="宋体"/>
          <w:color w:val="000000"/>
          <w:sz w:val="28"/>
          <w:szCs w:val="28"/>
        </w:rPr>
      </w:pPr>
      <w:r>
        <w:rPr>
          <w:rFonts w:hint="eastAsia" w:cs="宋体"/>
          <w:color w:val="000000"/>
          <w:sz w:val="28"/>
          <w:szCs w:val="28"/>
        </w:rPr>
        <w:t>（二）拟订并组织实施招商引资和承接产业转移政策；承担全区商务系统统计及其信息发布工作，提供信息咨询服务，指导全区流通领域（商场、超市、专业市场、批发市场、农贸市场除外）信息网络和电子商务建设。</w:t>
      </w:r>
    </w:p>
    <w:p>
      <w:pPr>
        <w:spacing w:line="580" w:lineRule="exact"/>
        <w:ind w:firstLine="560" w:firstLineChars="200"/>
        <w:rPr>
          <w:rFonts w:ascii="宋体" w:hAnsi="宋体" w:cs="宋体"/>
          <w:color w:val="000000"/>
          <w:sz w:val="28"/>
          <w:szCs w:val="28"/>
        </w:rPr>
      </w:pPr>
      <w:r>
        <w:rPr>
          <w:rFonts w:hint="eastAsia" w:cs="宋体"/>
          <w:color w:val="000000"/>
          <w:sz w:val="28"/>
          <w:szCs w:val="28"/>
        </w:rPr>
        <w:t>（三）负责对区内成品油系统的安全生产工作实施监督管理；指导区投资事务促进服务中心和区江东综合批发市场服务中心开展相关工作。</w:t>
      </w:r>
    </w:p>
    <w:p>
      <w:pPr>
        <w:pStyle w:val="19"/>
        <w:tabs>
          <w:tab w:val="left" w:pos="867"/>
        </w:tabs>
        <w:spacing w:line="360" w:lineRule="auto"/>
        <w:rPr>
          <w:rFonts w:hint="eastAsia"/>
          <w:color w:val="000000"/>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pPr>
        <w:spacing w:line="560" w:lineRule="exact"/>
        <w:ind w:firstLine="645"/>
        <w:rPr>
          <w:rFonts w:hint="eastAsia"/>
          <w:color w:val="000000"/>
          <w:sz w:val="28"/>
          <w:szCs w:val="28"/>
        </w:rPr>
      </w:pPr>
      <w:r>
        <w:rPr>
          <w:rFonts w:hint="eastAsia" w:ascii="宋体" w:hAnsi="宋体" w:eastAsia="宋体" w:cs="宋体"/>
          <w:color w:val="000000"/>
          <w:kern w:val="2"/>
          <w:sz w:val="28"/>
          <w:szCs w:val="28"/>
          <w:lang w:val="zh-CN" w:eastAsia="zh-CN" w:bidi="zh-CN"/>
        </w:rPr>
        <w:t>我单位2020度收入总计</w:t>
      </w:r>
      <w:r>
        <w:rPr>
          <w:rFonts w:hint="eastAsia" w:ascii="宋体" w:hAnsi="宋体" w:eastAsia="宋体" w:cs="宋体"/>
          <w:color w:val="000000"/>
          <w:sz w:val="32"/>
          <w:szCs w:val="32"/>
        </w:rPr>
        <w:t>446.12</w:t>
      </w:r>
      <w:r>
        <w:rPr>
          <w:rFonts w:hint="eastAsia" w:ascii="宋体" w:hAnsi="宋体" w:eastAsia="宋体" w:cs="宋体"/>
          <w:color w:val="000000"/>
          <w:kern w:val="2"/>
          <w:sz w:val="28"/>
          <w:szCs w:val="28"/>
          <w:lang w:val="zh-CN" w:eastAsia="zh-CN" w:bidi="zh-CN"/>
        </w:rPr>
        <w:t>万元，其中财政拨款收入</w:t>
      </w:r>
      <w:r>
        <w:rPr>
          <w:rFonts w:hint="eastAsia" w:ascii="宋体" w:hAnsi="宋体" w:eastAsia="宋体" w:cs="宋体"/>
          <w:color w:val="000000"/>
          <w:sz w:val="32"/>
          <w:szCs w:val="32"/>
        </w:rPr>
        <w:t>446.12</w:t>
      </w:r>
      <w:r>
        <w:rPr>
          <w:rFonts w:hint="eastAsia" w:ascii="宋体" w:hAnsi="宋体" w:eastAsia="宋体" w:cs="宋体"/>
          <w:color w:val="000000"/>
          <w:kern w:val="2"/>
          <w:sz w:val="28"/>
          <w:szCs w:val="28"/>
          <w:lang w:val="zh-CN" w:eastAsia="zh-CN" w:bidi="zh-CN"/>
        </w:rPr>
        <w:t>万元，占本年收入</w:t>
      </w:r>
      <w:r>
        <w:rPr>
          <w:rFonts w:hint="eastAsia" w:ascii="宋体" w:hAnsi="宋体" w:cs="宋体"/>
          <w:color w:val="000000"/>
          <w:kern w:val="2"/>
          <w:sz w:val="28"/>
          <w:szCs w:val="28"/>
          <w:lang w:val="en-US" w:eastAsia="zh-CN" w:bidi="zh-CN"/>
        </w:rPr>
        <w:t>100</w:t>
      </w:r>
      <w:r>
        <w:rPr>
          <w:rFonts w:hint="eastAsia" w:ascii="宋体" w:hAnsi="宋体" w:eastAsia="宋体" w:cs="宋体"/>
          <w:color w:val="000000"/>
          <w:kern w:val="2"/>
          <w:sz w:val="28"/>
          <w:szCs w:val="28"/>
          <w:lang w:val="zh-CN" w:eastAsia="zh-CN" w:bidi="zh-CN"/>
        </w:rPr>
        <w:t>%；其他收入</w:t>
      </w:r>
      <w:r>
        <w:rPr>
          <w:rFonts w:hint="eastAsia" w:ascii="宋体" w:hAnsi="宋体" w:cs="宋体"/>
          <w:color w:val="000000"/>
          <w:kern w:val="2"/>
          <w:sz w:val="28"/>
          <w:szCs w:val="28"/>
          <w:lang w:val="en-US" w:eastAsia="zh-CN" w:bidi="zh-CN"/>
        </w:rPr>
        <w:t>0</w:t>
      </w:r>
      <w:r>
        <w:rPr>
          <w:rFonts w:hint="eastAsia" w:ascii="宋体" w:hAnsi="宋体" w:eastAsia="宋体" w:cs="宋体"/>
          <w:color w:val="000000"/>
          <w:kern w:val="2"/>
          <w:sz w:val="28"/>
          <w:szCs w:val="28"/>
          <w:lang w:val="zh-CN" w:eastAsia="zh-CN" w:bidi="zh-CN"/>
        </w:rPr>
        <w:t>万元，占本年收入</w:t>
      </w:r>
      <w:r>
        <w:rPr>
          <w:rFonts w:hint="eastAsia" w:ascii="宋体" w:hAnsi="宋体" w:cs="宋体"/>
          <w:color w:val="000000"/>
          <w:kern w:val="2"/>
          <w:sz w:val="28"/>
          <w:szCs w:val="28"/>
          <w:lang w:val="en-US" w:eastAsia="zh-CN" w:bidi="zh-CN"/>
        </w:rPr>
        <w:t>0</w:t>
      </w:r>
      <w:r>
        <w:rPr>
          <w:rFonts w:hint="eastAsia" w:ascii="宋体" w:hAnsi="宋体" w:eastAsia="宋体" w:cs="宋体"/>
          <w:color w:val="000000"/>
          <w:kern w:val="2"/>
          <w:sz w:val="28"/>
          <w:szCs w:val="28"/>
          <w:lang w:val="zh-CN" w:eastAsia="zh-CN" w:bidi="zh-CN"/>
        </w:rPr>
        <w:t>%。本年支出总</w:t>
      </w:r>
      <w:r>
        <w:rPr>
          <w:rFonts w:hint="eastAsia" w:ascii="宋体" w:hAnsi="宋体" w:eastAsia="宋体" w:cs="宋体"/>
          <w:color w:val="000000"/>
          <w:sz w:val="32"/>
          <w:szCs w:val="32"/>
        </w:rPr>
        <w:t>446.12</w:t>
      </w:r>
      <w:r>
        <w:rPr>
          <w:rFonts w:hint="eastAsia" w:ascii="宋体" w:hAnsi="宋体" w:eastAsia="宋体" w:cs="宋体"/>
          <w:color w:val="000000"/>
          <w:kern w:val="2"/>
          <w:sz w:val="28"/>
          <w:szCs w:val="28"/>
          <w:lang w:val="zh-CN" w:eastAsia="zh-CN" w:bidi="zh-CN"/>
        </w:rPr>
        <w:t>万元，其中：财政拨款支出</w:t>
      </w:r>
      <w:r>
        <w:rPr>
          <w:rFonts w:hint="eastAsia" w:ascii="宋体" w:hAnsi="宋体" w:eastAsia="宋体" w:cs="宋体"/>
          <w:color w:val="000000"/>
          <w:sz w:val="32"/>
          <w:szCs w:val="32"/>
        </w:rPr>
        <w:t>446.12</w:t>
      </w:r>
      <w:r>
        <w:rPr>
          <w:rFonts w:hint="eastAsia" w:ascii="宋体" w:hAnsi="宋体" w:eastAsia="宋体" w:cs="宋体"/>
          <w:color w:val="000000"/>
          <w:kern w:val="2"/>
          <w:sz w:val="28"/>
          <w:szCs w:val="28"/>
          <w:lang w:val="zh-CN" w:eastAsia="zh-CN" w:bidi="zh-CN"/>
        </w:rPr>
        <w:t>万元，占本年支出的</w:t>
      </w:r>
      <w:r>
        <w:rPr>
          <w:rFonts w:hint="eastAsia" w:ascii="宋体" w:hAnsi="宋体" w:cs="宋体"/>
          <w:color w:val="000000"/>
          <w:kern w:val="2"/>
          <w:sz w:val="28"/>
          <w:szCs w:val="28"/>
          <w:lang w:val="en-US" w:eastAsia="zh-CN" w:bidi="zh-CN"/>
        </w:rPr>
        <w:t>100</w:t>
      </w:r>
      <w:r>
        <w:rPr>
          <w:rFonts w:hint="eastAsia" w:ascii="宋体" w:hAnsi="宋体" w:eastAsia="宋体" w:cs="宋体"/>
          <w:color w:val="000000"/>
          <w:kern w:val="2"/>
          <w:sz w:val="28"/>
          <w:szCs w:val="28"/>
          <w:lang w:val="zh-CN" w:eastAsia="zh-CN" w:bidi="zh-CN"/>
        </w:rPr>
        <w:t>%；其他资金支出</w:t>
      </w:r>
      <w:r>
        <w:rPr>
          <w:rFonts w:hint="eastAsia" w:ascii="宋体" w:hAnsi="宋体" w:cs="宋体"/>
          <w:color w:val="000000"/>
          <w:kern w:val="2"/>
          <w:sz w:val="28"/>
          <w:szCs w:val="28"/>
          <w:lang w:val="en-US" w:eastAsia="zh-CN" w:bidi="zh-CN"/>
        </w:rPr>
        <w:t>0</w:t>
      </w:r>
      <w:r>
        <w:rPr>
          <w:rFonts w:hint="eastAsia" w:ascii="宋体" w:hAnsi="宋体" w:eastAsia="宋体" w:cs="宋体"/>
          <w:color w:val="000000"/>
          <w:kern w:val="2"/>
          <w:sz w:val="28"/>
          <w:szCs w:val="28"/>
          <w:lang w:val="zh-CN" w:eastAsia="zh-CN" w:bidi="zh-CN"/>
        </w:rPr>
        <w:t>万元，占本年支出的</w:t>
      </w:r>
      <w:r>
        <w:rPr>
          <w:rFonts w:hint="eastAsia" w:ascii="宋体" w:hAnsi="宋体" w:cs="宋体"/>
          <w:color w:val="000000"/>
          <w:kern w:val="2"/>
          <w:sz w:val="28"/>
          <w:szCs w:val="28"/>
          <w:lang w:val="en-US" w:eastAsia="zh-CN" w:bidi="zh-CN"/>
        </w:rPr>
        <w:t>0</w:t>
      </w:r>
      <w:r>
        <w:rPr>
          <w:rFonts w:hint="eastAsia" w:ascii="宋体" w:hAnsi="宋体" w:eastAsia="宋体" w:cs="宋体"/>
          <w:color w:val="000000"/>
          <w:kern w:val="2"/>
          <w:sz w:val="28"/>
          <w:szCs w:val="28"/>
          <w:lang w:val="zh-CN" w:eastAsia="zh-CN" w:bidi="zh-CN"/>
        </w:rPr>
        <w:t>%。</w:t>
      </w:r>
    </w:p>
    <w:p>
      <w:pPr>
        <w:pStyle w:val="19"/>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pPr>
        <w:spacing w:line="560" w:lineRule="exact"/>
        <w:ind w:firstLine="645"/>
        <w:rPr>
          <w:rFonts w:ascii="宋体" w:hAnsi="宋体" w:cs="宋体"/>
          <w:color w:val="000000"/>
          <w:sz w:val="28"/>
          <w:szCs w:val="28"/>
          <w:lang w:bidi="zh-CN"/>
        </w:rPr>
      </w:pPr>
      <w:r>
        <w:rPr>
          <w:rFonts w:ascii="宋体" w:hAnsi="宋体" w:cs="宋体"/>
          <w:color w:val="000000"/>
          <w:sz w:val="28"/>
          <w:szCs w:val="28"/>
          <w:lang w:bidi="zh-CN"/>
        </w:rPr>
        <w:t>2020年度基本支出</w:t>
      </w:r>
      <w:r>
        <w:rPr>
          <w:rFonts w:hint="eastAsia" w:ascii="宋体" w:hAnsi="宋体" w:eastAsia="宋体" w:cs="宋体"/>
          <w:color w:val="000000"/>
          <w:sz w:val="32"/>
          <w:szCs w:val="32"/>
        </w:rPr>
        <w:t>387.12</w:t>
      </w:r>
      <w:r>
        <w:rPr>
          <w:rFonts w:ascii="宋体" w:hAnsi="宋体" w:cs="宋体"/>
          <w:color w:val="000000"/>
          <w:sz w:val="28"/>
          <w:szCs w:val="28"/>
          <w:lang w:bidi="zh-CN"/>
        </w:rPr>
        <w:t>万元，</w:t>
      </w:r>
      <w:r>
        <w:rPr>
          <w:rFonts w:hint="eastAsia" w:ascii="宋体" w:hAnsi="宋体" w:cs="宋体"/>
          <w:color w:val="000000"/>
          <w:sz w:val="28"/>
          <w:szCs w:val="28"/>
          <w:lang w:bidi="zh-CN"/>
        </w:rPr>
        <w:t>主要是工资福利支出、对个人家庭的补助、商品和服务支出中公用经费支出。</w:t>
      </w:r>
    </w:p>
    <w:p>
      <w:pPr>
        <w:spacing w:line="590" w:lineRule="exact"/>
        <w:ind w:firstLine="660"/>
        <w:rPr>
          <w:rFonts w:ascii="宋体" w:hAnsi="宋体" w:cs="宋体"/>
          <w:color w:val="000000"/>
          <w:sz w:val="28"/>
          <w:szCs w:val="28"/>
        </w:rPr>
      </w:pPr>
      <w:r>
        <w:rPr>
          <w:rFonts w:hint="eastAsia" w:ascii="宋体" w:hAnsi="宋体" w:cs="宋体"/>
          <w:color w:val="000000"/>
          <w:sz w:val="28"/>
          <w:szCs w:val="28"/>
          <w:lang w:bidi="zh-CN"/>
        </w:rPr>
        <w:t>20</w:t>
      </w:r>
      <w:r>
        <w:rPr>
          <w:rFonts w:ascii="宋体" w:hAnsi="宋体" w:cs="宋体"/>
          <w:color w:val="000000"/>
          <w:sz w:val="28"/>
          <w:szCs w:val="28"/>
          <w:lang w:bidi="zh-CN"/>
        </w:rPr>
        <w:t>20</w:t>
      </w:r>
      <w:r>
        <w:rPr>
          <w:rFonts w:hint="eastAsia" w:ascii="宋体" w:hAnsi="宋体" w:cs="宋体"/>
          <w:color w:val="000000"/>
          <w:sz w:val="28"/>
          <w:szCs w:val="28"/>
          <w:lang w:bidi="zh-CN"/>
        </w:rPr>
        <w:t>年“三公”经费支出为</w:t>
      </w:r>
      <w:r>
        <w:rPr>
          <w:rFonts w:hint="eastAsia" w:ascii="宋体" w:hAnsi="宋体" w:cs="宋体"/>
          <w:color w:val="000000"/>
          <w:sz w:val="28"/>
          <w:szCs w:val="28"/>
          <w:lang w:val="en-US" w:bidi="zh-CN"/>
        </w:rPr>
        <w:t>0</w:t>
      </w:r>
      <w:r>
        <w:rPr>
          <w:rFonts w:hint="eastAsia" w:ascii="宋体" w:hAnsi="宋体" w:cs="宋体"/>
          <w:color w:val="000000"/>
          <w:sz w:val="28"/>
          <w:szCs w:val="28"/>
          <w:lang w:bidi="zh-CN"/>
        </w:rPr>
        <w:t>万元，为认真贯彻落实中央“八项规定”精神和厉行节约、反对铺张浪费要求，严格控制“三公”经费开支。</w:t>
      </w:r>
    </w:p>
    <w:p>
      <w:pPr>
        <w:pStyle w:val="19"/>
        <w:tabs>
          <w:tab w:val="left" w:pos="1111"/>
        </w:tabs>
        <w:spacing w:line="360" w:lineRule="auto"/>
        <w:ind w:firstLine="500"/>
        <w:jc w:val="left"/>
        <w:rPr>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pPr>
        <w:pStyle w:val="19"/>
        <w:tabs>
          <w:tab w:val="left" w:pos="765"/>
        </w:tabs>
        <w:spacing w:line="360" w:lineRule="auto"/>
        <w:rPr>
          <w:sz w:val="28"/>
          <w:szCs w:val="28"/>
          <w:lang w:val="en-US" w:bidi="ar-SA"/>
        </w:rPr>
      </w:pPr>
      <w:r>
        <w:rPr>
          <w:color w:val="000000"/>
          <w:sz w:val="28"/>
          <w:szCs w:val="28"/>
          <w:lang w:val="en-US"/>
        </w:rPr>
        <w:t>2020年度</w:t>
      </w:r>
      <w:r>
        <w:rPr>
          <w:rFonts w:hint="eastAsia"/>
          <w:color w:val="000000"/>
          <w:sz w:val="28"/>
          <w:szCs w:val="28"/>
          <w:lang w:val="en-US"/>
        </w:rPr>
        <w:t>项目</w:t>
      </w:r>
      <w:r>
        <w:rPr>
          <w:color w:val="000000"/>
          <w:sz w:val="28"/>
          <w:szCs w:val="28"/>
          <w:lang w:val="en-US"/>
        </w:rPr>
        <w:t>支出</w:t>
      </w:r>
      <w:r>
        <w:rPr>
          <w:rFonts w:hint="eastAsia" w:ascii="宋体" w:hAnsi="宋体" w:eastAsia="宋体" w:cs="宋体"/>
          <w:color w:val="000000"/>
          <w:sz w:val="32"/>
          <w:szCs w:val="32"/>
        </w:rPr>
        <w:t>59</w:t>
      </w:r>
      <w:bookmarkStart w:id="9" w:name="_GoBack"/>
      <w:bookmarkEnd w:id="9"/>
      <w:r>
        <w:rPr>
          <w:color w:val="000000"/>
          <w:sz w:val="28"/>
          <w:szCs w:val="28"/>
          <w:lang w:val="en-US"/>
        </w:rPr>
        <w:t>万元</w:t>
      </w:r>
      <w:r>
        <w:rPr>
          <w:rFonts w:hint="eastAsia"/>
          <w:color w:val="000000"/>
          <w:sz w:val="28"/>
          <w:szCs w:val="28"/>
          <w:lang w:val="en-US"/>
        </w:rPr>
        <w:t>，主要是指单位为完成特定行政工作任务或事业发展目标而发生的支出</w:t>
      </w:r>
      <w:bookmarkStart w:id="7" w:name="bookmark98"/>
      <w:r>
        <w:rPr>
          <w:rFonts w:hint="eastAsia"/>
          <w:color w:val="000000"/>
          <w:sz w:val="28"/>
          <w:szCs w:val="28"/>
          <w:lang w:val="en-US"/>
        </w:rPr>
        <w:t>。</w:t>
      </w:r>
    </w:p>
    <w:bookmarkEnd w:id="7"/>
    <w:p>
      <w:pPr>
        <w:pStyle w:val="19"/>
        <w:tabs>
          <w:tab w:val="left" w:pos="876"/>
        </w:tabs>
        <w:spacing w:line="360" w:lineRule="auto"/>
        <w:ind w:firstLine="420"/>
        <w:rPr>
          <w:sz w:val="28"/>
          <w:szCs w:val="28"/>
        </w:rPr>
      </w:pPr>
      <w:r>
        <w:rPr>
          <w:rFonts w:hint="eastAsia"/>
          <w:color w:val="000000"/>
          <w:sz w:val="28"/>
          <w:szCs w:val="28"/>
        </w:rPr>
        <w:t>三、资产管理情况</w:t>
      </w:r>
    </w:p>
    <w:p>
      <w:pPr>
        <w:pStyle w:val="19"/>
        <w:tabs>
          <w:tab w:val="left" w:pos="886"/>
        </w:tabs>
        <w:spacing w:line="360" w:lineRule="auto"/>
        <w:ind w:firstLine="420"/>
        <w:rPr>
          <w:color w:val="000000"/>
          <w:sz w:val="28"/>
          <w:szCs w:val="28"/>
          <w:lang w:val="en-US"/>
        </w:rPr>
      </w:pPr>
      <w:bookmarkStart w:id="8" w:name="bookmark102"/>
      <w:r>
        <w:rPr>
          <w:rFonts w:hint="eastAsia"/>
          <w:color w:val="000000"/>
          <w:sz w:val="28"/>
          <w:szCs w:val="28"/>
          <w:lang w:val="en-US"/>
        </w:rPr>
        <w:t>截至2020年12月31日，衡阳市珠晖区商务局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pStyle w:val="19"/>
        <w:tabs>
          <w:tab w:val="left" w:pos="886"/>
        </w:tabs>
        <w:spacing w:line="360" w:lineRule="auto"/>
        <w:ind w:firstLine="420"/>
        <w:rPr>
          <w:sz w:val="28"/>
          <w:szCs w:val="28"/>
        </w:rPr>
      </w:pPr>
      <w:r>
        <w:rPr>
          <w:rFonts w:hint="eastAsia"/>
          <w:color w:val="000000"/>
          <w:sz w:val="28"/>
          <w:szCs w:val="28"/>
        </w:rPr>
        <w:t>五</w:t>
      </w:r>
      <w:bookmarkEnd w:id="8"/>
      <w:r>
        <w:rPr>
          <w:rFonts w:hint="eastAsia"/>
          <w:color w:val="000000"/>
          <w:sz w:val="28"/>
          <w:szCs w:val="28"/>
        </w:rPr>
        <w:t>、部门整体支出绩效情况</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部门整体支出的经济性，本年预算支出总额控制在预算总额内。</w:t>
      </w:r>
    </w:p>
    <w:p>
      <w:p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部门整体支出的效率性，本年度各项工作、专项完成进度正常，完成质量高。</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部门整体支出的有效性，贯彻执行国家、省、市商务工作的方针、政策和法律法规；完成上级安排的商务各项工作目标，推动全区商务事业快速发展。</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部门整体支出的可持续性，基本满足工作要求，逐步提高服务水平，增加人民的满意度。</w:t>
      </w:r>
    </w:p>
    <w:p>
      <w:pPr>
        <w:numPr>
          <w:ilvl w:val="0"/>
          <w:numId w:val="1"/>
        </w:num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改进措施和有关建议</w:t>
      </w:r>
    </w:p>
    <w:p>
      <w:pPr>
        <w:spacing w:line="590" w:lineRule="exact"/>
        <w:ind w:firstLine="660"/>
        <w:rPr>
          <w:rFonts w:ascii="宋体" w:hAnsi="宋体" w:cs="宋体"/>
          <w:sz w:val="28"/>
          <w:szCs w:val="28"/>
        </w:rPr>
      </w:pPr>
      <w:r>
        <w:rPr>
          <w:rFonts w:hint="eastAsia" w:ascii="宋体" w:hAnsi="宋体" w:cs="宋体"/>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4098"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v:path/>
          <v:fill on="f" focussize="0,0"/>
          <v:stroke on="f" joinstyle="miter"/>
          <v:imagedata o:title=""/>
          <o:lock v:ext="edit"/>
          <v:textbox inset="0mm,0mm,0mm,0mm" style="mso-fit-shape-to-text:t;">
            <w:txbxContent>
              <w:p>
                <w:pPr>
                  <w:pStyle w:val="2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D7AA4"/>
    <w:rsid w:val="00160BD0"/>
    <w:rsid w:val="00225E73"/>
    <w:rsid w:val="00230F1B"/>
    <w:rsid w:val="00251D0B"/>
    <w:rsid w:val="002D14A8"/>
    <w:rsid w:val="0034356B"/>
    <w:rsid w:val="003C46AF"/>
    <w:rsid w:val="003F77EF"/>
    <w:rsid w:val="00455E1B"/>
    <w:rsid w:val="004D64CA"/>
    <w:rsid w:val="0053729E"/>
    <w:rsid w:val="005547EF"/>
    <w:rsid w:val="00693623"/>
    <w:rsid w:val="007419C3"/>
    <w:rsid w:val="007B0252"/>
    <w:rsid w:val="00851F67"/>
    <w:rsid w:val="00874DB9"/>
    <w:rsid w:val="00877331"/>
    <w:rsid w:val="008B28E0"/>
    <w:rsid w:val="009072EF"/>
    <w:rsid w:val="00914AB3"/>
    <w:rsid w:val="00924FC0"/>
    <w:rsid w:val="00A20BC7"/>
    <w:rsid w:val="00C339A6"/>
    <w:rsid w:val="00C50694"/>
    <w:rsid w:val="00C63A40"/>
    <w:rsid w:val="00D9723F"/>
    <w:rsid w:val="00DC0E0B"/>
    <w:rsid w:val="00E15FCC"/>
    <w:rsid w:val="00E6776C"/>
    <w:rsid w:val="00E72009"/>
    <w:rsid w:val="00ED51D3"/>
    <w:rsid w:val="00EF5A9E"/>
    <w:rsid w:val="00F321FC"/>
    <w:rsid w:val="00F36F04"/>
    <w:rsid w:val="01CF307A"/>
    <w:rsid w:val="02312FDE"/>
    <w:rsid w:val="030A3C3B"/>
    <w:rsid w:val="03737E75"/>
    <w:rsid w:val="04953461"/>
    <w:rsid w:val="05D961AC"/>
    <w:rsid w:val="071F2805"/>
    <w:rsid w:val="07853A0B"/>
    <w:rsid w:val="0BB81BC8"/>
    <w:rsid w:val="0C505A2A"/>
    <w:rsid w:val="0D4E4030"/>
    <w:rsid w:val="0F3C6536"/>
    <w:rsid w:val="1085426C"/>
    <w:rsid w:val="111D7620"/>
    <w:rsid w:val="142B3C43"/>
    <w:rsid w:val="14A65964"/>
    <w:rsid w:val="15224E9F"/>
    <w:rsid w:val="18041186"/>
    <w:rsid w:val="1810076A"/>
    <w:rsid w:val="1AFF4480"/>
    <w:rsid w:val="1B9762D5"/>
    <w:rsid w:val="1C290127"/>
    <w:rsid w:val="1CB55F50"/>
    <w:rsid w:val="1D277482"/>
    <w:rsid w:val="1E2E2E1E"/>
    <w:rsid w:val="1F6E185C"/>
    <w:rsid w:val="1F7E147F"/>
    <w:rsid w:val="205265F0"/>
    <w:rsid w:val="205438DB"/>
    <w:rsid w:val="236639AE"/>
    <w:rsid w:val="279B23C3"/>
    <w:rsid w:val="281A0EAC"/>
    <w:rsid w:val="28E26A4A"/>
    <w:rsid w:val="290A0FAD"/>
    <w:rsid w:val="2B7C32F1"/>
    <w:rsid w:val="2C8F18D7"/>
    <w:rsid w:val="31692A6E"/>
    <w:rsid w:val="31EC420F"/>
    <w:rsid w:val="32151E1A"/>
    <w:rsid w:val="33341AE4"/>
    <w:rsid w:val="33A969D6"/>
    <w:rsid w:val="33B015AE"/>
    <w:rsid w:val="3BDB363C"/>
    <w:rsid w:val="3BE645DA"/>
    <w:rsid w:val="3F577654"/>
    <w:rsid w:val="3F6B28A6"/>
    <w:rsid w:val="40B95CD0"/>
    <w:rsid w:val="423B1DB6"/>
    <w:rsid w:val="48370BF5"/>
    <w:rsid w:val="48B10ADA"/>
    <w:rsid w:val="4999703E"/>
    <w:rsid w:val="49AB294A"/>
    <w:rsid w:val="49E8163E"/>
    <w:rsid w:val="4D301426"/>
    <w:rsid w:val="4D625F91"/>
    <w:rsid w:val="506D5864"/>
    <w:rsid w:val="527541A2"/>
    <w:rsid w:val="52E51199"/>
    <w:rsid w:val="534E6B21"/>
    <w:rsid w:val="54365D91"/>
    <w:rsid w:val="54A2746E"/>
    <w:rsid w:val="56C81120"/>
    <w:rsid w:val="56F073BC"/>
    <w:rsid w:val="59547CDB"/>
    <w:rsid w:val="596706EB"/>
    <w:rsid w:val="59703C09"/>
    <w:rsid w:val="5A387BCA"/>
    <w:rsid w:val="5B7C6D33"/>
    <w:rsid w:val="5B8E7E9F"/>
    <w:rsid w:val="5BDD662D"/>
    <w:rsid w:val="5C780BCD"/>
    <w:rsid w:val="5F9423E7"/>
    <w:rsid w:val="62513BD9"/>
    <w:rsid w:val="627B59FE"/>
    <w:rsid w:val="63F654F1"/>
    <w:rsid w:val="66E27882"/>
    <w:rsid w:val="688268EC"/>
    <w:rsid w:val="697A74DC"/>
    <w:rsid w:val="6C364DFB"/>
    <w:rsid w:val="6D064785"/>
    <w:rsid w:val="6D094C10"/>
    <w:rsid w:val="70A215E7"/>
    <w:rsid w:val="71282C3F"/>
    <w:rsid w:val="75C57ABA"/>
    <w:rsid w:val="767F4FDB"/>
    <w:rsid w:val="791D36A6"/>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微软雅黑" w:hAnsi="微软雅黑" w:eastAsia="微软雅黑" w:cs="微软雅黑"/>
      <w:sz w:val="14"/>
      <w:szCs w:val="14"/>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408" w:lineRule="auto"/>
      <w:ind w:firstLine="400"/>
    </w:pPr>
    <w:rPr>
      <w:rFonts w:ascii="宋体" w:hAnsi="宋体" w:cs="宋体"/>
      <w:sz w:val="19"/>
      <w:szCs w:val="19"/>
      <w:lang w:val="zh-CN" w:bidi="zh-CN"/>
    </w:rPr>
  </w:style>
  <w:style w:type="paragraph" w:customStyle="1" w:styleId="20">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1">
    <w:name w:val="Body text|3"/>
    <w:basedOn w:val="1"/>
    <w:qFormat/>
    <w:uiPriority w:val="0"/>
    <w:pPr>
      <w:spacing w:before="220" w:after="720"/>
      <w:ind w:firstLine="520"/>
    </w:pPr>
    <w:rPr>
      <w:sz w:val="32"/>
      <w:szCs w:val="32"/>
    </w:rPr>
  </w:style>
  <w:style w:type="paragraph" w:customStyle="1" w:styleId="22">
    <w:name w:val="Other|1"/>
    <w:basedOn w:val="1"/>
    <w:qFormat/>
    <w:uiPriority w:val="0"/>
    <w:pPr>
      <w:spacing w:line="302" w:lineRule="exact"/>
    </w:pPr>
    <w:rPr>
      <w:rFonts w:ascii="宋体" w:hAnsi="宋体" w:cs="宋体"/>
      <w:sz w:val="19"/>
      <w:szCs w:val="19"/>
      <w:lang w:val="zh-CN" w:bidi="zh-CN"/>
    </w:rPr>
  </w:style>
  <w:style w:type="paragraph" w:customStyle="1" w:styleId="23">
    <w:name w:val="Body text|4"/>
    <w:basedOn w:val="1"/>
    <w:qFormat/>
    <w:uiPriority w:val="0"/>
    <w:pPr>
      <w:spacing w:after="60"/>
      <w:ind w:firstLine="320"/>
    </w:pPr>
    <w:rPr>
      <w:rFonts w:ascii="宋体" w:hAnsi="宋体" w:cs="宋体"/>
      <w:lang w:val="zh-CN" w:bidi="zh-CN"/>
    </w:rPr>
  </w:style>
  <w:style w:type="paragraph" w:customStyle="1" w:styleId="24">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5">
    <w:name w:val="Header or footer|2"/>
    <w:basedOn w:val="1"/>
    <w:qFormat/>
    <w:uiPriority w:val="0"/>
    <w:rPr>
      <w:sz w:val="20"/>
      <w:szCs w:val="20"/>
      <w:lang w:val="zh-CN" w:bidi="zh-CN"/>
    </w:rPr>
  </w:style>
  <w:style w:type="paragraph" w:customStyle="1" w:styleId="26">
    <w:name w:val="Body text|2"/>
    <w:basedOn w:val="1"/>
    <w:qFormat/>
    <w:uiPriority w:val="0"/>
    <w:pPr>
      <w:spacing w:after="470"/>
    </w:pPr>
    <w:rPr>
      <w:b/>
      <w:bCs/>
      <w:sz w:val="19"/>
      <w:szCs w:val="19"/>
      <w:lang w:val="zh-CN" w:bidi="zh-CN"/>
    </w:rPr>
  </w:style>
  <w:style w:type="character" w:customStyle="1" w:styleId="27">
    <w:name w:val="bsharetext"/>
    <w:basedOn w:val="6"/>
    <w:qFormat/>
    <w:uiPriority w:val="0"/>
  </w:style>
  <w:style w:type="character" w:customStyle="1" w:styleId="28">
    <w:name w:val="页眉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1596</Characters>
  <Lines>13</Lines>
  <Paragraphs>3</Paragraphs>
  <TotalTime>0</TotalTime>
  <ScaleCrop>false</ScaleCrop>
  <LinksUpToDate>false</LinksUpToDate>
  <CharactersWithSpaces>1873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2020-05-18T02:11:00Z</cp:lastPrinted>
  <dcterms:modified xsi:type="dcterms:W3CDTF">2021-11-18T04:44:26Z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0F84CF71A9764749A6E442D6E14FD379</vt:lpwstr>
  </property>
</Properties>
</file>