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EF" w:rsidRPr="00C63A40" w:rsidRDefault="00F36F04">
      <w:pPr>
        <w:pStyle w:val="Bodytext3"/>
        <w:spacing w:after="420"/>
        <w:ind w:firstLine="0"/>
        <w:jc w:val="center"/>
        <w:rPr>
          <w:rFonts w:ascii="宋体" w:hAnsi="宋体" w:cs="宋体"/>
          <w:color w:val="000000"/>
          <w:sz w:val="28"/>
          <w:szCs w:val="28"/>
          <w:lang w:val="zh-CN" w:bidi="zh-CN"/>
        </w:rPr>
      </w:pPr>
      <w:bookmarkStart w:id="0" w:name="bookmark85"/>
      <w:bookmarkStart w:id="1" w:name="bookmark86"/>
      <w:bookmarkStart w:id="2" w:name="bookmark87"/>
      <w:r w:rsidRPr="00C63A40">
        <w:rPr>
          <w:rFonts w:ascii="宋体" w:hAnsi="宋体" w:cs="宋体" w:hint="eastAsia"/>
          <w:color w:val="000000"/>
          <w:sz w:val="28"/>
          <w:szCs w:val="28"/>
          <w:lang w:val="zh-CN" w:bidi="zh-CN"/>
        </w:rPr>
        <w:t>区商务局</w:t>
      </w:r>
      <w:r w:rsidR="00851F67" w:rsidRPr="00C63A40">
        <w:rPr>
          <w:rFonts w:ascii="宋体" w:hAnsi="宋体" w:cs="宋体"/>
          <w:color w:val="000000"/>
          <w:sz w:val="28"/>
          <w:szCs w:val="28"/>
          <w:lang w:val="zh-CN" w:bidi="zh-CN"/>
        </w:rPr>
        <w:t>部门整体支出绩效评价基础数据表</w:t>
      </w:r>
      <w:bookmarkEnd w:id="0"/>
      <w:bookmarkEnd w:id="1"/>
      <w:bookmarkEnd w:id="2"/>
    </w:p>
    <w:p w:rsidR="005547EF" w:rsidRDefault="00851F67">
      <w:pPr>
        <w:pStyle w:val="Bodytext1"/>
        <w:tabs>
          <w:tab w:val="left" w:pos="867"/>
        </w:tabs>
        <w:spacing w:line="360" w:lineRule="auto"/>
        <w:rPr>
          <w:sz w:val="28"/>
          <w:szCs w:val="28"/>
        </w:rPr>
      </w:pPr>
      <w:r>
        <w:rPr>
          <w:rFonts w:hint="eastAsia"/>
          <w:color w:val="000000"/>
          <w:sz w:val="28"/>
          <w:szCs w:val="28"/>
        </w:rPr>
        <w:t>一、部门概况</w:t>
      </w:r>
    </w:p>
    <w:p w:rsidR="005547EF" w:rsidRDefault="00851F67">
      <w:pPr>
        <w:pStyle w:val="Bodytext1"/>
        <w:tabs>
          <w:tab w:val="left" w:pos="1113"/>
        </w:tabs>
        <w:spacing w:line="360" w:lineRule="auto"/>
        <w:ind w:firstLine="500"/>
        <w:rPr>
          <w:color w:val="000000"/>
          <w:sz w:val="28"/>
          <w:szCs w:val="28"/>
        </w:rPr>
      </w:pPr>
      <w:bookmarkStart w:id="3" w:name="bookmark92"/>
      <w:r>
        <w:rPr>
          <w:rFonts w:hint="eastAsia"/>
          <w:color w:val="000000"/>
          <w:sz w:val="28"/>
          <w:szCs w:val="28"/>
        </w:rPr>
        <w:t>（</w:t>
      </w:r>
      <w:bookmarkEnd w:id="3"/>
      <w:r>
        <w:rPr>
          <w:rFonts w:hint="eastAsia"/>
          <w:color w:val="000000"/>
          <w:sz w:val="28"/>
          <w:szCs w:val="28"/>
        </w:rPr>
        <w:t>一）部门基本情况</w:t>
      </w:r>
    </w:p>
    <w:p w:rsidR="007419C3" w:rsidRPr="00F321FC" w:rsidRDefault="007419C3">
      <w:pPr>
        <w:spacing w:line="590" w:lineRule="exact"/>
        <w:ind w:firstLine="660"/>
        <w:rPr>
          <w:rFonts w:ascii="宋体" w:hAnsi="宋体" w:cs="宋体"/>
          <w:color w:val="000000"/>
          <w:sz w:val="28"/>
          <w:szCs w:val="28"/>
          <w:lang w:val="zh-CN" w:bidi="zh-CN"/>
        </w:rPr>
      </w:pPr>
      <w:r w:rsidRPr="00F321FC">
        <w:rPr>
          <w:rFonts w:ascii="宋体" w:hAnsi="宋体" w:cs="宋体" w:hint="eastAsia"/>
          <w:color w:val="000000"/>
          <w:sz w:val="28"/>
          <w:szCs w:val="28"/>
          <w:lang w:val="zh-CN" w:bidi="zh-CN"/>
        </w:rPr>
        <w:t>1.机构设置</w:t>
      </w:r>
    </w:p>
    <w:p w:rsidR="0034356B" w:rsidRDefault="00C63A40" w:rsidP="00F321FC">
      <w:pPr>
        <w:spacing w:line="590" w:lineRule="exact"/>
        <w:ind w:firstLine="660"/>
        <w:rPr>
          <w:color w:val="000000"/>
          <w:sz w:val="32"/>
          <w:szCs w:val="32"/>
        </w:rPr>
      </w:pPr>
      <w:r>
        <w:rPr>
          <w:rFonts w:ascii="宋体" w:hAnsi="宋体" w:cs="宋体" w:hint="eastAsia"/>
          <w:color w:val="000000"/>
          <w:sz w:val="28"/>
          <w:szCs w:val="28"/>
          <w:lang w:val="zh-CN" w:bidi="zh-CN"/>
        </w:rPr>
        <w:t>区商务</w:t>
      </w:r>
      <w:r w:rsidR="0034356B">
        <w:rPr>
          <w:rFonts w:hint="eastAsia"/>
          <w:color w:val="000000"/>
          <w:sz w:val="32"/>
          <w:szCs w:val="32"/>
        </w:rPr>
        <w:t>办公室、综合法规与行政审批服务股、商贸流通股、投资管理股。</w:t>
      </w:r>
    </w:p>
    <w:p w:rsidR="007419C3" w:rsidRPr="00F321FC" w:rsidRDefault="007419C3" w:rsidP="00F321FC">
      <w:pPr>
        <w:spacing w:line="590" w:lineRule="exact"/>
        <w:ind w:firstLine="660"/>
        <w:rPr>
          <w:rFonts w:ascii="宋体" w:hAnsi="宋体" w:cs="宋体"/>
          <w:color w:val="000000"/>
          <w:sz w:val="28"/>
          <w:szCs w:val="28"/>
          <w:lang w:val="zh-CN" w:bidi="zh-CN"/>
        </w:rPr>
      </w:pPr>
      <w:r w:rsidRPr="00F321FC">
        <w:rPr>
          <w:rFonts w:ascii="宋体" w:hAnsi="宋体" w:cs="宋体" w:hint="eastAsia"/>
          <w:color w:val="000000"/>
          <w:sz w:val="28"/>
          <w:szCs w:val="28"/>
          <w:lang w:val="zh-CN" w:bidi="zh-CN"/>
        </w:rPr>
        <w:t>2.职能职责。</w:t>
      </w:r>
    </w:p>
    <w:p w:rsidR="005547EF" w:rsidRDefault="00851F67" w:rsidP="007419C3">
      <w:pPr>
        <w:spacing w:line="580" w:lineRule="exact"/>
        <w:ind w:firstLineChars="200" w:firstLine="560"/>
        <w:rPr>
          <w:rFonts w:ascii="宋体" w:hAnsi="宋体" w:cs="宋体"/>
          <w:color w:val="000000"/>
          <w:sz w:val="28"/>
          <w:szCs w:val="28"/>
          <w:lang w:val="zh-CN" w:bidi="zh-CN"/>
        </w:rPr>
      </w:pPr>
      <w:r>
        <w:rPr>
          <w:rFonts w:ascii="宋体" w:hAnsi="宋体" w:cs="宋体" w:hint="eastAsia"/>
          <w:color w:val="000000"/>
          <w:sz w:val="28"/>
          <w:szCs w:val="28"/>
          <w:lang w:val="zh-CN" w:bidi="zh-CN"/>
        </w:rPr>
        <w:t xml:space="preserve">（一）贯彻执行有关国内外贸易、国际经济合作、区域经济合作的发展战略、政策，拟订全区国内外贸易、招商引资、承接产业转移、对外援助、对外投资和对外经济合作的中长期规划、政策措施和实施办法。 </w:t>
      </w:r>
    </w:p>
    <w:p w:rsidR="005547EF" w:rsidRDefault="00851F67">
      <w:pPr>
        <w:spacing w:line="580" w:lineRule="exact"/>
        <w:ind w:firstLineChars="200" w:firstLine="560"/>
        <w:rPr>
          <w:rFonts w:ascii="宋体" w:hAnsi="宋体" w:cs="宋体"/>
          <w:color w:val="000000"/>
          <w:sz w:val="28"/>
          <w:szCs w:val="28"/>
          <w:lang w:val="zh-CN" w:bidi="zh-CN"/>
        </w:rPr>
      </w:pPr>
      <w:r>
        <w:rPr>
          <w:rFonts w:ascii="宋体" w:hAnsi="宋体" w:cs="宋体" w:hint="eastAsia"/>
          <w:color w:val="000000"/>
          <w:sz w:val="28"/>
          <w:szCs w:val="28"/>
          <w:lang w:val="zh-CN" w:bidi="zh-CN"/>
        </w:rPr>
        <w:t>（二）推进流通产业结构调整，促进商贸服务业、社区商业发展，研究提出促进商贸中小企业发展的政策建议，推动流通标准化和连锁经营、商业特许经营、物流配送、电子商务等现代流通方式的发展。</w:t>
      </w:r>
    </w:p>
    <w:p w:rsidR="005547EF" w:rsidRDefault="00851F67">
      <w:pPr>
        <w:spacing w:line="580" w:lineRule="exact"/>
        <w:ind w:firstLineChars="200" w:firstLine="560"/>
        <w:rPr>
          <w:rFonts w:ascii="宋体" w:hAnsi="宋体" w:cs="宋体"/>
          <w:color w:val="000000"/>
          <w:sz w:val="28"/>
          <w:szCs w:val="28"/>
          <w:lang w:val="zh-CN" w:bidi="zh-CN"/>
        </w:rPr>
      </w:pPr>
      <w:r>
        <w:rPr>
          <w:rFonts w:ascii="宋体" w:hAnsi="宋体" w:cs="宋体" w:hint="eastAsia"/>
          <w:color w:val="000000"/>
          <w:sz w:val="28"/>
          <w:szCs w:val="28"/>
          <w:lang w:val="zh-CN" w:bidi="zh-CN"/>
        </w:rPr>
        <w:t>（三）负责指导全区重要消费品储备管理和市场调控工作,承担重要生产资料流通管理的责任，负责建立健全生活必需品市场运行监测和供应应急管理机制。</w:t>
      </w:r>
    </w:p>
    <w:p w:rsidR="005547EF" w:rsidRDefault="00851F67">
      <w:pPr>
        <w:spacing w:line="580" w:lineRule="exact"/>
        <w:ind w:firstLineChars="200" w:firstLine="560"/>
        <w:rPr>
          <w:rFonts w:ascii="宋体" w:hAnsi="宋体" w:cs="宋体"/>
          <w:color w:val="000000"/>
          <w:sz w:val="28"/>
          <w:szCs w:val="28"/>
          <w:lang w:val="zh-CN" w:bidi="zh-CN"/>
        </w:rPr>
      </w:pPr>
      <w:r>
        <w:rPr>
          <w:rFonts w:ascii="宋体" w:hAnsi="宋体" w:cs="宋体" w:hint="eastAsia"/>
          <w:color w:val="000000"/>
          <w:sz w:val="28"/>
          <w:szCs w:val="28"/>
          <w:lang w:val="zh-CN" w:bidi="zh-CN"/>
        </w:rPr>
        <w:t>（四）贯彻执行国家进出口贸易相关政策。拟订促进全区出口的规划、政策并组织实施；拟订促进全区外贸增长方式转变的政策措施；指导协调全区对外贸易促进活动和对外贸易促进体系建设；协调反倾销、反补贴等进出口公平贸易相关的工作；指导全区各类进出口企业的贸易业务。</w:t>
      </w:r>
    </w:p>
    <w:p w:rsidR="005547EF" w:rsidRDefault="00851F67">
      <w:pPr>
        <w:spacing w:line="580" w:lineRule="exact"/>
        <w:ind w:firstLineChars="200" w:firstLine="560"/>
        <w:rPr>
          <w:rFonts w:ascii="宋体" w:hAnsi="宋体" w:cs="宋体"/>
          <w:color w:val="000000"/>
          <w:sz w:val="28"/>
          <w:szCs w:val="28"/>
          <w:lang w:val="zh-CN" w:bidi="zh-CN"/>
        </w:rPr>
      </w:pPr>
      <w:r>
        <w:rPr>
          <w:rFonts w:ascii="宋体" w:hAnsi="宋体" w:cs="宋体" w:hint="eastAsia"/>
          <w:color w:val="000000"/>
          <w:sz w:val="28"/>
          <w:szCs w:val="28"/>
          <w:lang w:val="zh-CN" w:bidi="zh-CN"/>
        </w:rPr>
        <w:t>（五）承担全区招商引资和承接产业转移工作，拟订并组织实施</w:t>
      </w:r>
      <w:r>
        <w:rPr>
          <w:rFonts w:ascii="宋体" w:hAnsi="宋体" w:cs="宋体" w:hint="eastAsia"/>
          <w:color w:val="000000"/>
          <w:sz w:val="28"/>
          <w:szCs w:val="28"/>
          <w:lang w:val="zh-CN" w:bidi="zh-CN"/>
        </w:rPr>
        <w:lastRenderedPageBreak/>
        <w:t>招商引资和承接产业转移政策。</w:t>
      </w:r>
    </w:p>
    <w:p w:rsidR="005547EF" w:rsidRDefault="00851F67">
      <w:pPr>
        <w:spacing w:line="580" w:lineRule="exact"/>
        <w:ind w:firstLineChars="200" w:firstLine="560"/>
        <w:rPr>
          <w:rFonts w:ascii="宋体" w:hAnsi="宋体" w:cs="宋体"/>
          <w:color w:val="000000"/>
          <w:sz w:val="28"/>
          <w:szCs w:val="28"/>
          <w:lang w:val="zh-CN" w:bidi="zh-CN"/>
        </w:rPr>
      </w:pPr>
      <w:r>
        <w:rPr>
          <w:rFonts w:ascii="宋体" w:hAnsi="宋体" w:cs="宋体" w:hint="eastAsia"/>
          <w:color w:val="000000"/>
          <w:sz w:val="28"/>
          <w:szCs w:val="28"/>
          <w:lang w:val="zh-CN" w:bidi="zh-CN"/>
        </w:rPr>
        <w:t xml:space="preserve">（六）负责组织参与商务部、省政府、市政府、区政府举办的内外贸易促销活动和招商引资、对外经济技术合作活动；负责组织、指导、协调以珠晖区名义在境内外举办的各种内外贸易交易会、展览会、展销会和招商引资等商务活动。 </w:t>
      </w:r>
    </w:p>
    <w:p w:rsidR="005547EF" w:rsidRDefault="00851F67">
      <w:pPr>
        <w:spacing w:line="580" w:lineRule="exact"/>
        <w:ind w:firstLineChars="200" w:firstLine="560"/>
        <w:rPr>
          <w:rFonts w:ascii="宋体" w:hAnsi="宋体" w:cs="宋体"/>
          <w:color w:val="000000"/>
          <w:sz w:val="28"/>
          <w:szCs w:val="28"/>
          <w:lang w:val="zh-CN" w:bidi="zh-CN"/>
        </w:rPr>
      </w:pPr>
      <w:r>
        <w:rPr>
          <w:rFonts w:ascii="宋体" w:hAnsi="宋体" w:cs="宋体" w:hint="eastAsia"/>
          <w:color w:val="000000"/>
          <w:sz w:val="28"/>
          <w:szCs w:val="28"/>
          <w:lang w:val="zh-CN" w:bidi="zh-CN"/>
        </w:rPr>
        <w:t>（七）负责全区对外经济合作工作，拟订并组织实施全区外经济合作的政策措施和管理办法；指导对外承包工程、对外劳务合作等对外经济合作业务；负责牵头外派劳务和境外就业人员的权益保护工作。</w:t>
      </w:r>
    </w:p>
    <w:p w:rsidR="005547EF" w:rsidRDefault="00851F67">
      <w:pPr>
        <w:spacing w:line="600" w:lineRule="exact"/>
        <w:ind w:firstLineChars="200" w:firstLine="560"/>
        <w:rPr>
          <w:rFonts w:ascii="宋体" w:hAnsi="宋体" w:cs="宋体"/>
          <w:color w:val="000000"/>
          <w:sz w:val="28"/>
          <w:szCs w:val="28"/>
          <w:lang w:val="zh-CN" w:bidi="zh-CN"/>
        </w:rPr>
      </w:pPr>
      <w:r>
        <w:rPr>
          <w:rFonts w:ascii="宋体" w:hAnsi="宋体" w:cs="宋体" w:hint="eastAsia"/>
          <w:color w:val="000000"/>
          <w:sz w:val="28"/>
          <w:szCs w:val="28"/>
          <w:lang w:val="zh-CN" w:bidi="zh-CN"/>
        </w:rPr>
        <w:t>（八）承担全区商务系统统计及其信息发布工作，提供信息咨询服务，指导全区流通领域（商场、超市、专业市场、批发市场、农贸市场除外）信息网络和电子商务建设。</w:t>
      </w:r>
    </w:p>
    <w:p w:rsidR="005547EF" w:rsidRDefault="00851F67">
      <w:pPr>
        <w:spacing w:line="580" w:lineRule="exact"/>
        <w:ind w:firstLineChars="200" w:firstLine="560"/>
        <w:rPr>
          <w:rFonts w:ascii="宋体" w:hAnsi="宋体" w:cs="宋体"/>
          <w:color w:val="000000"/>
          <w:sz w:val="28"/>
          <w:szCs w:val="28"/>
          <w:lang w:val="zh-CN" w:bidi="zh-CN"/>
        </w:rPr>
      </w:pPr>
      <w:r>
        <w:rPr>
          <w:rFonts w:ascii="宋体" w:hAnsi="宋体" w:cs="宋体" w:hint="eastAsia"/>
          <w:color w:val="000000"/>
          <w:sz w:val="28"/>
          <w:szCs w:val="28"/>
          <w:lang w:val="zh-CN" w:bidi="zh-CN"/>
        </w:rPr>
        <w:t>（九）负责对区内成品油系统的安全生产工作实施监督管理。</w:t>
      </w:r>
    </w:p>
    <w:p w:rsidR="005547EF" w:rsidRDefault="00851F67">
      <w:pPr>
        <w:spacing w:line="580" w:lineRule="exact"/>
        <w:ind w:firstLineChars="200" w:firstLine="560"/>
        <w:rPr>
          <w:rFonts w:ascii="宋体" w:hAnsi="宋体" w:cs="宋体"/>
          <w:color w:val="000000"/>
          <w:sz w:val="28"/>
          <w:szCs w:val="28"/>
          <w:lang w:val="zh-CN" w:bidi="zh-CN"/>
        </w:rPr>
      </w:pPr>
      <w:r>
        <w:rPr>
          <w:rFonts w:ascii="宋体" w:hAnsi="宋体" w:cs="宋体" w:hint="eastAsia"/>
          <w:color w:val="000000"/>
          <w:sz w:val="28"/>
          <w:szCs w:val="28"/>
          <w:lang w:val="zh-CN" w:bidi="zh-CN"/>
        </w:rPr>
        <w:t>（十）指导区投资事务促进服务中心和区江东综合批发市场服务中心开展相关工作。</w:t>
      </w:r>
    </w:p>
    <w:p w:rsidR="005547EF" w:rsidRDefault="00851F67">
      <w:pPr>
        <w:pStyle w:val="Bodytext1"/>
        <w:tabs>
          <w:tab w:val="left" w:pos="1101"/>
        </w:tabs>
        <w:spacing w:line="360" w:lineRule="auto"/>
        <w:ind w:firstLineChars="200" w:firstLine="560"/>
        <w:rPr>
          <w:color w:val="000000"/>
          <w:sz w:val="28"/>
          <w:szCs w:val="28"/>
        </w:rPr>
      </w:pPr>
      <w:r>
        <w:rPr>
          <w:rFonts w:hint="eastAsia"/>
          <w:color w:val="000000"/>
          <w:sz w:val="28"/>
          <w:szCs w:val="28"/>
        </w:rPr>
        <w:t>（十一）承办区人民政府交办的其他事项。</w:t>
      </w:r>
    </w:p>
    <w:p w:rsidR="00DC0E0B" w:rsidRPr="00874DB9" w:rsidRDefault="00DC0E0B" w:rsidP="00874DB9">
      <w:pPr>
        <w:spacing w:line="590" w:lineRule="exact"/>
        <w:ind w:firstLine="660"/>
        <w:rPr>
          <w:rFonts w:ascii="宋体" w:hAnsi="宋体" w:cs="宋体"/>
          <w:color w:val="000000"/>
          <w:sz w:val="28"/>
          <w:szCs w:val="28"/>
          <w:lang w:val="zh-CN" w:bidi="zh-CN"/>
        </w:rPr>
      </w:pPr>
      <w:r w:rsidRPr="00874DB9">
        <w:rPr>
          <w:rFonts w:ascii="宋体" w:hAnsi="宋体" w:cs="宋体" w:hint="eastAsia"/>
          <w:color w:val="000000"/>
          <w:sz w:val="28"/>
          <w:szCs w:val="28"/>
          <w:lang w:val="zh-CN" w:bidi="zh-CN"/>
        </w:rPr>
        <w:t>3.重点工作计划。</w:t>
      </w:r>
    </w:p>
    <w:p w:rsidR="004D64CA" w:rsidRDefault="004D64CA" w:rsidP="00E72009">
      <w:pPr>
        <w:spacing w:line="580" w:lineRule="exact"/>
        <w:ind w:firstLineChars="200" w:firstLine="560"/>
        <w:rPr>
          <w:rFonts w:cs="宋体"/>
          <w:color w:val="000000"/>
          <w:sz w:val="28"/>
          <w:szCs w:val="28"/>
        </w:rPr>
      </w:pPr>
      <w:r>
        <w:rPr>
          <w:rFonts w:ascii="宋体" w:hAnsi="宋体" w:cs="宋体" w:hint="eastAsia"/>
          <w:color w:val="000000"/>
          <w:sz w:val="28"/>
          <w:szCs w:val="28"/>
          <w:lang w:val="zh-CN" w:bidi="zh-CN"/>
        </w:rPr>
        <w:t>（一）</w:t>
      </w:r>
      <w:r w:rsidR="00E72009">
        <w:rPr>
          <w:rFonts w:ascii="宋体" w:hAnsi="宋体" w:cs="宋体" w:hint="eastAsia"/>
          <w:color w:val="000000"/>
          <w:sz w:val="28"/>
          <w:szCs w:val="28"/>
          <w:lang w:val="zh-CN" w:bidi="zh-CN"/>
        </w:rPr>
        <w:t>贯彻执行有关国内外贸易、国际经济合作、区域经济合作的发展战略、政策，拟订全区国内外贸易、招商引资、承接产业转移、对外援助、对外投资和对外经济合作的中长期规划、政策措施和实施办法</w:t>
      </w:r>
      <w:r w:rsidR="00E72009">
        <w:rPr>
          <w:rFonts w:ascii="宋体" w:hAnsi="宋体" w:cs="宋体" w:hint="eastAsia"/>
          <w:color w:val="000000"/>
          <w:sz w:val="28"/>
          <w:szCs w:val="28"/>
        </w:rPr>
        <w:t>；</w:t>
      </w:r>
      <w:r w:rsidR="00E72009">
        <w:rPr>
          <w:rFonts w:cs="宋体" w:hint="eastAsia"/>
          <w:color w:val="000000"/>
          <w:sz w:val="28"/>
          <w:szCs w:val="28"/>
        </w:rPr>
        <w:t>承担全区招商引资和承接产业转移工作</w:t>
      </w:r>
      <w:r w:rsidR="00C63A40">
        <w:rPr>
          <w:rFonts w:cs="宋体" w:hint="eastAsia"/>
          <w:color w:val="000000"/>
          <w:sz w:val="28"/>
          <w:szCs w:val="28"/>
        </w:rPr>
        <w:t>。</w:t>
      </w:r>
    </w:p>
    <w:p w:rsidR="004D64CA" w:rsidRDefault="004D64CA" w:rsidP="00E72009">
      <w:pPr>
        <w:spacing w:line="580" w:lineRule="exact"/>
        <w:ind w:firstLineChars="200" w:firstLine="560"/>
        <w:rPr>
          <w:rFonts w:cs="宋体"/>
          <w:color w:val="000000"/>
          <w:sz w:val="28"/>
          <w:szCs w:val="28"/>
        </w:rPr>
      </w:pPr>
      <w:r>
        <w:rPr>
          <w:rFonts w:cs="宋体" w:hint="eastAsia"/>
          <w:color w:val="000000"/>
          <w:sz w:val="28"/>
          <w:szCs w:val="28"/>
        </w:rPr>
        <w:t>（二）</w:t>
      </w:r>
      <w:r w:rsidR="00E72009">
        <w:rPr>
          <w:rFonts w:cs="宋体" w:hint="eastAsia"/>
          <w:color w:val="000000"/>
          <w:sz w:val="28"/>
          <w:szCs w:val="28"/>
        </w:rPr>
        <w:t>拟订并组织实施招商引资和承接产业转移政策；承担全区商务系统统计及其信息发布工作，提供信息咨询服务，指导全区流通领域（商场、</w:t>
      </w:r>
      <w:r>
        <w:rPr>
          <w:rFonts w:cs="宋体" w:hint="eastAsia"/>
          <w:color w:val="000000"/>
          <w:sz w:val="28"/>
          <w:szCs w:val="28"/>
        </w:rPr>
        <w:t>超市、专业市场、批发市场、农贸市场除外）信息网络和电子商务建设</w:t>
      </w:r>
      <w:r w:rsidR="00C63A40">
        <w:rPr>
          <w:rFonts w:cs="宋体" w:hint="eastAsia"/>
          <w:color w:val="000000"/>
          <w:sz w:val="28"/>
          <w:szCs w:val="28"/>
        </w:rPr>
        <w:t>。</w:t>
      </w:r>
    </w:p>
    <w:p w:rsidR="00E72009" w:rsidRDefault="004D64CA" w:rsidP="00E72009">
      <w:pPr>
        <w:spacing w:line="580" w:lineRule="exact"/>
        <w:ind w:firstLineChars="200" w:firstLine="560"/>
        <w:rPr>
          <w:rFonts w:ascii="宋体" w:hAnsi="宋体" w:cs="宋体"/>
          <w:color w:val="000000"/>
          <w:sz w:val="28"/>
          <w:szCs w:val="28"/>
        </w:rPr>
      </w:pPr>
      <w:r>
        <w:rPr>
          <w:rFonts w:cs="宋体" w:hint="eastAsia"/>
          <w:color w:val="000000"/>
          <w:sz w:val="28"/>
          <w:szCs w:val="28"/>
        </w:rPr>
        <w:lastRenderedPageBreak/>
        <w:t>（三）</w:t>
      </w:r>
      <w:r w:rsidR="00E72009">
        <w:rPr>
          <w:rFonts w:cs="宋体" w:hint="eastAsia"/>
          <w:color w:val="000000"/>
          <w:sz w:val="28"/>
          <w:szCs w:val="28"/>
        </w:rPr>
        <w:t>负责对区内成品油系统的安全生产工作实施监督管理；指导区投资事务促进服务中心和区江东综合批发市场服务中心开展相关工作。</w:t>
      </w:r>
    </w:p>
    <w:p w:rsidR="005547EF" w:rsidRDefault="00851F67">
      <w:pPr>
        <w:pStyle w:val="Bodytext1"/>
        <w:tabs>
          <w:tab w:val="left" w:pos="867"/>
        </w:tabs>
        <w:spacing w:line="360" w:lineRule="auto"/>
        <w:rPr>
          <w:sz w:val="28"/>
          <w:szCs w:val="28"/>
        </w:rPr>
      </w:pPr>
      <w:bookmarkStart w:id="4" w:name="bookmark94"/>
      <w:r>
        <w:rPr>
          <w:rFonts w:hint="eastAsia"/>
          <w:color w:val="000000"/>
          <w:sz w:val="28"/>
          <w:szCs w:val="28"/>
        </w:rPr>
        <w:t>二</w:t>
      </w:r>
      <w:bookmarkEnd w:id="4"/>
      <w:r>
        <w:rPr>
          <w:rFonts w:hint="eastAsia"/>
          <w:color w:val="000000"/>
          <w:sz w:val="28"/>
          <w:szCs w:val="28"/>
        </w:rPr>
        <w:t>、部门整体支出管理及使用情况</w:t>
      </w:r>
    </w:p>
    <w:p w:rsidR="005547EF" w:rsidRDefault="00851F67">
      <w:pPr>
        <w:pStyle w:val="Bodytext1"/>
        <w:tabs>
          <w:tab w:val="left" w:pos="1111"/>
        </w:tabs>
        <w:spacing w:line="360" w:lineRule="auto"/>
        <w:ind w:firstLine="500"/>
        <w:jc w:val="left"/>
        <w:rPr>
          <w:sz w:val="28"/>
          <w:szCs w:val="28"/>
        </w:rPr>
      </w:pPr>
      <w:bookmarkStart w:id="5" w:name="bookmark95"/>
      <w:r>
        <w:rPr>
          <w:rFonts w:hint="eastAsia"/>
          <w:color w:val="000000"/>
          <w:sz w:val="28"/>
          <w:szCs w:val="28"/>
        </w:rPr>
        <w:t>（</w:t>
      </w:r>
      <w:bookmarkEnd w:id="5"/>
      <w:r>
        <w:rPr>
          <w:rFonts w:hint="eastAsia"/>
          <w:color w:val="000000"/>
          <w:sz w:val="28"/>
          <w:szCs w:val="28"/>
        </w:rPr>
        <w:t>一）基本支出</w:t>
      </w:r>
    </w:p>
    <w:p w:rsidR="00914AB3" w:rsidRPr="00914AB3" w:rsidRDefault="00C63A40" w:rsidP="00914AB3">
      <w:pPr>
        <w:spacing w:line="560" w:lineRule="exact"/>
        <w:ind w:firstLine="645"/>
        <w:rPr>
          <w:rFonts w:ascii="宋体" w:hAnsi="宋体" w:cs="宋体"/>
          <w:color w:val="000000"/>
          <w:sz w:val="28"/>
          <w:szCs w:val="28"/>
          <w:lang w:bidi="zh-CN"/>
        </w:rPr>
      </w:pPr>
      <w:r>
        <w:rPr>
          <w:rFonts w:ascii="宋体" w:hAnsi="宋体" w:cs="宋体"/>
          <w:color w:val="000000"/>
          <w:sz w:val="28"/>
          <w:szCs w:val="28"/>
          <w:lang w:bidi="zh-CN"/>
        </w:rPr>
        <w:t>2020</w:t>
      </w:r>
      <w:r w:rsidRPr="00914AB3">
        <w:rPr>
          <w:rFonts w:ascii="宋体" w:hAnsi="宋体" w:cs="宋体"/>
          <w:color w:val="000000"/>
          <w:sz w:val="28"/>
          <w:szCs w:val="28"/>
          <w:lang w:bidi="zh-CN"/>
        </w:rPr>
        <w:t>年度基本支出</w:t>
      </w:r>
      <w:r>
        <w:rPr>
          <w:rFonts w:ascii="宋体" w:hAnsi="宋体" w:cs="宋体"/>
          <w:color w:val="000000"/>
          <w:sz w:val="28"/>
          <w:szCs w:val="28"/>
          <w:lang w:bidi="zh-CN"/>
        </w:rPr>
        <w:t>197.77</w:t>
      </w:r>
      <w:r w:rsidRPr="00914AB3">
        <w:rPr>
          <w:rFonts w:ascii="宋体" w:hAnsi="宋体" w:cs="宋体"/>
          <w:color w:val="000000"/>
          <w:sz w:val="28"/>
          <w:szCs w:val="28"/>
          <w:lang w:bidi="zh-CN"/>
        </w:rPr>
        <w:t>万元，</w:t>
      </w:r>
      <w:r w:rsidR="00914AB3" w:rsidRPr="00914AB3">
        <w:rPr>
          <w:rFonts w:ascii="宋体" w:hAnsi="宋体" w:cs="宋体" w:hint="eastAsia"/>
          <w:color w:val="000000"/>
          <w:sz w:val="28"/>
          <w:szCs w:val="28"/>
          <w:lang w:bidi="zh-CN"/>
        </w:rPr>
        <w:t>主要是工资福利支出、对个人家庭的补助、商品和服务支出中公用经费支出。</w:t>
      </w:r>
    </w:p>
    <w:p w:rsidR="005547EF" w:rsidRDefault="00851F67">
      <w:pPr>
        <w:spacing w:line="590" w:lineRule="exact"/>
        <w:ind w:firstLine="660"/>
        <w:rPr>
          <w:rFonts w:ascii="宋体" w:hAnsi="宋体" w:cs="宋体"/>
          <w:color w:val="000000"/>
          <w:sz w:val="28"/>
          <w:szCs w:val="28"/>
        </w:rPr>
      </w:pPr>
      <w:r>
        <w:rPr>
          <w:rFonts w:ascii="宋体" w:hAnsi="宋体" w:cs="宋体" w:hint="eastAsia"/>
          <w:color w:val="000000"/>
          <w:sz w:val="28"/>
          <w:szCs w:val="28"/>
          <w:lang w:bidi="zh-CN"/>
        </w:rPr>
        <w:t>20</w:t>
      </w:r>
      <w:r w:rsidR="00C63A40">
        <w:rPr>
          <w:rFonts w:ascii="宋体" w:hAnsi="宋体" w:cs="宋体"/>
          <w:color w:val="000000"/>
          <w:sz w:val="28"/>
          <w:szCs w:val="28"/>
          <w:lang w:bidi="zh-CN"/>
        </w:rPr>
        <w:t>20</w:t>
      </w:r>
      <w:r>
        <w:rPr>
          <w:rFonts w:ascii="宋体" w:hAnsi="宋体" w:cs="宋体" w:hint="eastAsia"/>
          <w:color w:val="000000"/>
          <w:sz w:val="28"/>
          <w:szCs w:val="28"/>
          <w:lang w:bidi="zh-CN"/>
        </w:rPr>
        <w:t>年“三公”经费支出为</w:t>
      </w:r>
      <w:r w:rsidR="00E6776C" w:rsidRPr="00E6776C">
        <w:rPr>
          <w:rFonts w:ascii="宋体" w:hAnsi="宋体" w:cs="宋体"/>
          <w:color w:val="000000"/>
          <w:sz w:val="28"/>
          <w:szCs w:val="28"/>
          <w:lang w:bidi="zh-CN"/>
        </w:rPr>
        <w:t>2</w:t>
      </w:r>
      <w:r w:rsidR="00C63A40">
        <w:rPr>
          <w:rFonts w:ascii="宋体" w:hAnsi="宋体" w:cs="宋体"/>
          <w:color w:val="000000"/>
          <w:sz w:val="28"/>
          <w:szCs w:val="28"/>
          <w:lang w:bidi="zh-CN"/>
        </w:rPr>
        <w:t>1</w:t>
      </w:r>
      <w:r w:rsidR="00E6776C" w:rsidRPr="00E6776C">
        <w:rPr>
          <w:rFonts w:ascii="宋体" w:hAnsi="宋体" w:cs="宋体"/>
          <w:color w:val="000000"/>
          <w:sz w:val="28"/>
          <w:szCs w:val="28"/>
          <w:lang w:bidi="zh-CN"/>
        </w:rPr>
        <w:t>.38</w:t>
      </w:r>
      <w:r>
        <w:rPr>
          <w:rFonts w:ascii="宋体" w:hAnsi="宋体" w:cs="宋体" w:hint="eastAsia"/>
          <w:color w:val="000000"/>
          <w:sz w:val="28"/>
          <w:szCs w:val="28"/>
          <w:lang w:bidi="zh-CN"/>
        </w:rPr>
        <w:t>万元，为认真贯彻落实中央“八项规定”精神和厉行节约、反对铺张浪费要求，严格控制“三公”经费开支。</w:t>
      </w:r>
    </w:p>
    <w:p w:rsidR="005547EF" w:rsidRDefault="00851F67">
      <w:pPr>
        <w:pStyle w:val="Bodytext1"/>
        <w:tabs>
          <w:tab w:val="left" w:pos="1111"/>
        </w:tabs>
        <w:spacing w:line="360" w:lineRule="auto"/>
        <w:ind w:firstLine="500"/>
        <w:jc w:val="left"/>
        <w:rPr>
          <w:sz w:val="28"/>
          <w:szCs w:val="28"/>
        </w:rPr>
      </w:pPr>
      <w:bookmarkStart w:id="6" w:name="bookmark96"/>
      <w:r>
        <w:rPr>
          <w:rFonts w:hint="eastAsia"/>
          <w:color w:val="000000"/>
          <w:sz w:val="28"/>
          <w:szCs w:val="28"/>
        </w:rPr>
        <w:t>（</w:t>
      </w:r>
      <w:bookmarkEnd w:id="6"/>
      <w:r>
        <w:rPr>
          <w:rFonts w:hint="eastAsia"/>
          <w:color w:val="000000"/>
          <w:sz w:val="28"/>
          <w:szCs w:val="28"/>
        </w:rPr>
        <w:t>二）项目支出</w:t>
      </w:r>
    </w:p>
    <w:p w:rsidR="005547EF" w:rsidRDefault="00C63A40">
      <w:pPr>
        <w:pStyle w:val="Bodytext1"/>
        <w:tabs>
          <w:tab w:val="left" w:pos="765"/>
        </w:tabs>
        <w:spacing w:line="360" w:lineRule="auto"/>
        <w:rPr>
          <w:sz w:val="28"/>
          <w:szCs w:val="28"/>
          <w:lang w:val="en-US" w:bidi="ar-SA"/>
        </w:rPr>
      </w:pPr>
      <w:r w:rsidRPr="00230F1B">
        <w:rPr>
          <w:color w:val="000000"/>
          <w:sz w:val="28"/>
          <w:szCs w:val="28"/>
          <w:lang w:val="en-US"/>
        </w:rPr>
        <w:t>20</w:t>
      </w:r>
      <w:r>
        <w:rPr>
          <w:color w:val="000000"/>
          <w:sz w:val="28"/>
          <w:szCs w:val="28"/>
          <w:lang w:val="en-US"/>
        </w:rPr>
        <w:t>20</w:t>
      </w:r>
      <w:r w:rsidRPr="00230F1B">
        <w:rPr>
          <w:color w:val="000000"/>
          <w:sz w:val="28"/>
          <w:szCs w:val="28"/>
          <w:lang w:val="en-US"/>
        </w:rPr>
        <w:t>年度</w:t>
      </w:r>
      <w:r w:rsidRPr="00230F1B">
        <w:rPr>
          <w:rFonts w:hint="eastAsia"/>
          <w:color w:val="000000"/>
          <w:sz w:val="28"/>
          <w:szCs w:val="28"/>
          <w:lang w:val="en-US"/>
        </w:rPr>
        <w:t>项目</w:t>
      </w:r>
      <w:r w:rsidRPr="00230F1B">
        <w:rPr>
          <w:color w:val="000000"/>
          <w:sz w:val="28"/>
          <w:szCs w:val="28"/>
          <w:lang w:val="en-US"/>
        </w:rPr>
        <w:t>支出</w:t>
      </w:r>
      <w:r>
        <w:rPr>
          <w:color w:val="000000"/>
          <w:sz w:val="28"/>
          <w:szCs w:val="28"/>
          <w:lang w:val="en-US"/>
        </w:rPr>
        <w:t>61.67</w:t>
      </w:r>
      <w:r w:rsidRPr="00230F1B">
        <w:rPr>
          <w:color w:val="000000"/>
          <w:sz w:val="28"/>
          <w:szCs w:val="28"/>
          <w:lang w:val="en-US"/>
        </w:rPr>
        <w:t>万元</w:t>
      </w:r>
      <w:r w:rsidRPr="00230F1B">
        <w:rPr>
          <w:rFonts w:hint="eastAsia"/>
          <w:color w:val="000000"/>
          <w:sz w:val="28"/>
          <w:szCs w:val="28"/>
          <w:lang w:val="en-US"/>
        </w:rPr>
        <w:t>，</w:t>
      </w:r>
      <w:r w:rsidR="00230F1B" w:rsidRPr="00230F1B">
        <w:rPr>
          <w:rFonts w:hint="eastAsia"/>
          <w:color w:val="000000"/>
          <w:sz w:val="28"/>
          <w:szCs w:val="28"/>
          <w:lang w:val="en-US"/>
        </w:rPr>
        <w:t>主要是指单位为完成特定行政工作任务或事业发展目标而发生的支出</w:t>
      </w:r>
      <w:bookmarkStart w:id="7" w:name="bookmark98"/>
      <w:r>
        <w:rPr>
          <w:rFonts w:hint="eastAsia"/>
          <w:color w:val="000000"/>
          <w:sz w:val="28"/>
          <w:szCs w:val="28"/>
          <w:lang w:val="en-US"/>
        </w:rPr>
        <w:t>。</w:t>
      </w:r>
    </w:p>
    <w:bookmarkEnd w:id="7"/>
    <w:p w:rsidR="005547EF" w:rsidRDefault="00851F67">
      <w:pPr>
        <w:pStyle w:val="Bodytext1"/>
        <w:tabs>
          <w:tab w:val="left" w:pos="876"/>
        </w:tabs>
        <w:spacing w:line="360" w:lineRule="auto"/>
        <w:ind w:firstLine="420"/>
        <w:rPr>
          <w:sz w:val="28"/>
          <w:szCs w:val="28"/>
        </w:rPr>
      </w:pPr>
      <w:r>
        <w:rPr>
          <w:rFonts w:hint="eastAsia"/>
          <w:color w:val="000000"/>
          <w:sz w:val="28"/>
          <w:szCs w:val="28"/>
        </w:rPr>
        <w:t>三、资产管理情况</w:t>
      </w:r>
    </w:p>
    <w:p w:rsidR="007B0252" w:rsidRPr="007B0252" w:rsidRDefault="007B0252">
      <w:pPr>
        <w:pStyle w:val="Bodytext1"/>
        <w:tabs>
          <w:tab w:val="left" w:pos="886"/>
        </w:tabs>
        <w:spacing w:line="360" w:lineRule="auto"/>
        <w:ind w:firstLine="420"/>
        <w:rPr>
          <w:color w:val="000000"/>
          <w:sz w:val="28"/>
          <w:szCs w:val="28"/>
          <w:lang w:val="en-US"/>
        </w:rPr>
      </w:pPr>
      <w:bookmarkStart w:id="8" w:name="bookmark102"/>
      <w:bookmarkStart w:id="9" w:name="_GoBack"/>
      <w:r w:rsidRPr="007B0252">
        <w:rPr>
          <w:rFonts w:hint="eastAsia"/>
          <w:color w:val="000000"/>
          <w:sz w:val="28"/>
          <w:szCs w:val="28"/>
          <w:lang w:val="en-US"/>
        </w:rPr>
        <w:t>截至2020年12月31日，衡阳市珠晖区商务局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p>
    <w:bookmarkEnd w:id="9"/>
    <w:p w:rsidR="005547EF" w:rsidRDefault="00851F67">
      <w:pPr>
        <w:pStyle w:val="Bodytext1"/>
        <w:tabs>
          <w:tab w:val="left" w:pos="886"/>
        </w:tabs>
        <w:spacing w:line="360" w:lineRule="auto"/>
        <w:ind w:firstLine="420"/>
        <w:rPr>
          <w:sz w:val="28"/>
          <w:szCs w:val="28"/>
        </w:rPr>
      </w:pPr>
      <w:r>
        <w:rPr>
          <w:rFonts w:hint="eastAsia"/>
          <w:color w:val="000000"/>
          <w:sz w:val="28"/>
          <w:szCs w:val="28"/>
        </w:rPr>
        <w:t>五</w:t>
      </w:r>
      <w:bookmarkEnd w:id="8"/>
      <w:r>
        <w:rPr>
          <w:rFonts w:hint="eastAsia"/>
          <w:color w:val="000000"/>
          <w:sz w:val="28"/>
          <w:szCs w:val="28"/>
        </w:rPr>
        <w:t>、部门整体支出绩效情况</w:t>
      </w:r>
    </w:p>
    <w:p w:rsidR="005547EF" w:rsidRDefault="00851F67">
      <w:pPr>
        <w:spacing w:line="590" w:lineRule="exact"/>
        <w:ind w:firstLine="660"/>
        <w:rPr>
          <w:rFonts w:ascii="宋体" w:hAnsi="宋体" w:cs="宋体"/>
          <w:color w:val="000000"/>
          <w:sz w:val="28"/>
          <w:szCs w:val="28"/>
          <w:lang w:bidi="zh-CN"/>
        </w:rPr>
      </w:pPr>
      <w:r>
        <w:rPr>
          <w:rFonts w:ascii="宋体" w:hAnsi="宋体" w:cs="宋体" w:hint="eastAsia"/>
          <w:color w:val="000000"/>
          <w:sz w:val="28"/>
          <w:szCs w:val="28"/>
          <w:lang w:bidi="zh-CN"/>
        </w:rPr>
        <w:t>部门整体支出的经济性，本年预算支出总额控制在预算总额内。</w:t>
      </w:r>
    </w:p>
    <w:p w:rsidR="005547EF" w:rsidRDefault="00851F67" w:rsidP="0053729E">
      <w:pPr>
        <w:spacing w:line="590" w:lineRule="exact"/>
        <w:ind w:firstLineChars="200" w:firstLine="560"/>
        <w:rPr>
          <w:rFonts w:ascii="宋体" w:hAnsi="宋体" w:cs="宋体"/>
          <w:color w:val="000000"/>
          <w:sz w:val="28"/>
          <w:szCs w:val="28"/>
          <w:lang w:bidi="zh-CN"/>
        </w:rPr>
      </w:pPr>
      <w:r>
        <w:rPr>
          <w:rFonts w:ascii="宋体" w:hAnsi="宋体" w:cs="宋体" w:hint="eastAsia"/>
          <w:color w:val="000000"/>
          <w:sz w:val="28"/>
          <w:szCs w:val="28"/>
          <w:lang w:bidi="zh-CN"/>
        </w:rPr>
        <w:t>部门整体支出的效率性，本年度各项工作、专项完成进度正常，完成质量高。</w:t>
      </w:r>
    </w:p>
    <w:p w:rsidR="005547EF" w:rsidRDefault="00851F67">
      <w:pPr>
        <w:spacing w:line="590" w:lineRule="exact"/>
        <w:ind w:firstLine="660"/>
        <w:rPr>
          <w:rFonts w:ascii="宋体" w:hAnsi="宋体" w:cs="宋体"/>
          <w:color w:val="000000"/>
          <w:sz w:val="28"/>
          <w:szCs w:val="28"/>
          <w:lang w:bidi="zh-CN"/>
        </w:rPr>
      </w:pPr>
      <w:r>
        <w:rPr>
          <w:rFonts w:ascii="宋体" w:hAnsi="宋体" w:cs="宋体" w:hint="eastAsia"/>
          <w:color w:val="000000"/>
          <w:sz w:val="28"/>
          <w:szCs w:val="28"/>
          <w:lang w:bidi="zh-CN"/>
        </w:rPr>
        <w:lastRenderedPageBreak/>
        <w:t>部门整体支出的有效性，贯彻执行国家、省、市商务工作的方针、政策和法律法规；完成上级安排的商务各项工作目标，推动全区商务事业快速发展。</w:t>
      </w:r>
    </w:p>
    <w:p w:rsidR="005547EF" w:rsidRDefault="00851F67">
      <w:pPr>
        <w:spacing w:line="590" w:lineRule="exact"/>
        <w:ind w:firstLine="660"/>
        <w:rPr>
          <w:rFonts w:ascii="宋体" w:hAnsi="宋体" w:cs="宋体"/>
          <w:color w:val="000000"/>
          <w:sz w:val="28"/>
          <w:szCs w:val="28"/>
          <w:lang w:bidi="zh-CN"/>
        </w:rPr>
      </w:pPr>
      <w:r>
        <w:rPr>
          <w:rFonts w:ascii="宋体" w:hAnsi="宋体" w:cs="宋体" w:hint="eastAsia"/>
          <w:color w:val="000000"/>
          <w:sz w:val="28"/>
          <w:szCs w:val="28"/>
          <w:lang w:bidi="zh-CN"/>
        </w:rPr>
        <w:t>部门整体支出的可持续性，基本满足工作要求，逐步提高服务水平，增加人民的满意度。</w:t>
      </w:r>
    </w:p>
    <w:p w:rsidR="005547EF" w:rsidRDefault="00851F67">
      <w:pPr>
        <w:numPr>
          <w:ilvl w:val="0"/>
          <w:numId w:val="2"/>
        </w:numPr>
        <w:spacing w:line="590" w:lineRule="exact"/>
        <w:ind w:firstLineChars="200" w:firstLine="560"/>
        <w:rPr>
          <w:rFonts w:ascii="宋体" w:hAnsi="宋体" w:cs="宋体"/>
          <w:color w:val="000000"/>
          <w:sz w:val="28"/>
          <w:szCs w:val="28"/>
          <w:lang w:bidi="zh-CN"/>
        </w:rPr>
      </w:pPr>
      <w:r>
        <w:rPr>
          <w:rFonts w:ascii="宋体" w:hAnsi="宋体" w:cs="宋体" w:hint="eastAsia"/>
          <w:color w:val="000000"/>
          <w:sz w:val="28"/>
          <w:szCs w:val="28"/>
          <w:lang w:bidi="zh-CN"/>
        </w:rPr>
        <w:t>改进措施和有关建议</w:t>
      </w:r>
    </w:p>
    <w:p w:rsidR="005547EF" w:rsidRDefault="00851F67">
      <w:pPr>
        <w:spacing w:line="590" w:lineRule="exact"/>
        <w:ind w:firstLine="660"/>
        <w:rPr>
          <w:rFonts w:ascii="宋体" w:hAnsi="宋体" w:cs="宋体"/>
          <w:sz w:val="28"/>
          <w:szCs w:val="28"/>
        </w:rPr>
      </w:pPr>
      <w:r>
        <w:rPr>
          <w:rFonts w:ascii="宋体" w:hAnsi="宋体" w:cs="宋体" w:hint="eastAsia"/>
          <w:color w:val="000000"/>
          <w:sz w:val="28"/>
          <w:szCs w:val="28"/>
          <w:lang w:val="zh-CN" w:bidi="zh-CN"/>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p w:rsidR="005547EF" w:rsidRDefault="005547EF">
      <w:pPr>
        <w:spacing w:line="1" w:lineRule="exact"/>
        <w:jc w:val="center"/>
        <w:rPr>
          <w:rFonts w:ascii="宋体" w:hAnsi="宋体" w:cs="宋体"/>
          <w:sz w:val="18"/>
          <w:szCs w:val="18"/>
        </w:rPr>
      </w:pPr>
    </w:p>
    <w:sectPr w:rsidR="005547EF" w:rsidSect="005547EF">
      <w:footerReference w:type="even" r:id="rId8"/>
      <w:footerReference w:type="default" r:id="rId9"/>
      <w:pgSz w:w="11906" w:h="16838"/>
      <w:pgMar w:top="1383" w:right="1701" w:bottom="127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AA4" w:rsidRDefault="000D7AA4" w:rsidP="005547EF">
      <w:r>
        <w:separator/>
      </w:r>
    </w:p>
  </w:endnote>
  <w:endnote w:type="continuationSeparator" w:id="0">
    <w:p w:rsidR="000D7AA4" w:rsidRDefault="000D7AA4" w:rsidP="0055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Times New Roman"/>
    <w:charset w:val="00"/>
    <w:family w:val="auto"/>
    <w:pitch w:val="default"/>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EF" w:rsidRDefault="000D7AA4">
    <w:pPr>
      <w:spacing w:line="1" w:lineRule="exact"/>
    </w:pPr>
    <w:r>
      <w:pict>
        <v:shapetype id="_x0000_t202" coordsize="21600,21600" o:spt="202" path="m,l,21600r21600,l21600,xe">
          <v:stroke joinstyle="miter"/>
          <v:path gradientshapeok="t" o:connecttype="rect"/>
        </v:shapetype>
        <v:shape id="Shape 30" o:spid="_x0000_s2051" type="#_x0000_t202" style="position:absolute;left:0;text-align:left;margin-left:79.6pt;margin-top:766.25pt;width:47.5pt;height:8.4pt;z-index:-440400896;mso-wrap-style:none;mso-position-horizontal-relative:page;mso-position-vertical-relative:page"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4wtzDYAAAADQEAAA8AAAAAAAAAAQAgAAAAIgAAAGRycy9kb3du&#10;cmV2LnhtbFBLAQIUABQAAAAIAIdO4kBhv3MujQEAACMDAAAOAAAAAAAAAAEAIAAAACcBAABkcnMv&#10;ZTJvRG9jLnhtbFBLBQYAAAAABgAGAFkBAAAmBQAAAAA=&#10;" filled="f" stroked="f">
          <v:textbox style="mso-fit-shape-to-text:t" inset="0,0,0,0">
            <w:txbxContent>
              <w:p w:rsidR="005547EF" w:rsidRDefault="00851F67">
                <w:pPr>
                  <w:pStyle w:val="Headerorfooter2"/>
                  <w:jc w:val="left"/>
                  <w:rPr>
                    <w:sz w:val="24"/>
                    <w:szCs w:val="24"/>
                  </w:rPr>
                </w:pPr>
                <w:r>
                  <w:rPr>
                    <w:rFonts w:ascii="Courier New" w:eastAsia="Courier New" w:hAnsi="Courier New" w:cs="Courier New"/>
                    <w:color w:val="000000"/>
                    <w:sz w:val="24"/>
                    <w:szCs w:val="24"/>
                    <w:lang w:val="en-US" w:eastAsia="en-US" w:bidi="en-US"/>
                  </w:rPr>
                  <w:t>—</w:t>
                </w:r>
                <w:r w:rsidR="00C339A6">
                  <w:fldChar w:fldCharType="begin"/>
                </w:r>
                <w:r>
                  <w:instrText xml:space="preserve"> PAGE \* MERGEFORMAT </w:instrText>
                </w:r>
                <w:r w:rsidR="00C339A6">
                  <w:fldChar w:fldCharType="separate"/>
                </w:r>
                <w:r>
                  <w:rPr>
                    <w:rFonts w:ascii="Courier New" w:eastAsia="Courier New" w:hAnsi="Courier New" w:cs="Courier New"/>
                    <w:color w:val="000000"/>
                    <w:sz w:val="24"/>
                    <w:szCs w:val="24"/>
                  </w:rPr>
                  <w:t>#</w:t>
                </w:r>
                <w:r w:rsidR="00C339A6">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lang w:val="en-US" w:eastAsia="en-US" w:bidi="en-US"/>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EF" w:rsidRDefault="000D7AA4">
    <w:pPr>
      <w:spacing w:line="1" w:lineRule="exact"/>
    </w:pPr>
    <w:r>
      <w:rPr>
        <w:sz w:val="24"/>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629166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547EF" w:rsidRDefault="00C339A6">
                <w:pPr>
                  <w:pStyle w:val="a3"/>
                </w:pPr>
                <w:r>
                  <w:rPr>
                    <w:rFonts w:hint="eastAsia"/>
                  </w:rPr>
                  <w:fldChar w:fldCharType="begin"/>
                </w:r>
                <w:r w:rsidR="00851F67">
                  <w:rPr>
                    <w:rFonts w:hint="eastAsia"/>
                  </w:rPr>
                  <w:instrText xml:space="preserve"> PAGE  \* MERGEFORMAT </w:instrText>
                </w:r>
                <w:r>
                  <w:rPr>
                    <w:rFonts w:hint="eastAsia"/>
                  </w:rPr>
                  <w:fldChar w:fldCharType="separate"/>
                </w:r>
                <w:r w:rsidR="007B0252">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AA4" w:rsidRDefault="000D7AA4" w:rsidP="005547EF">
      <w:r>
        <w:separator/>
      </w:r>
    </w:p>
  </w:footnote>
  <w:footnote w:type="continuationSeparator" w:id="0">
    <w:p w:rsidR="000D7AA4" w:rsidRDefault="000D7AA4" w:rsidP="00554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CD18C5"/>
    <w:multiLevelType w:val="singleLevel"/>
    <w:tmpl w:val="A5CD18C5"/>
    <w:lvl w:ilvl="0">
      <w:start w:val="6"/>
      <w:numFmt w:val="chineseCounting"/>
      <w:suff w:val="nothing"/>
      <w:lvlText w:val="%1、"/>
      <w:lvlJc w:val="left"/>
      <w:rPr>
        <w:rFonts w:hint="eastAsia"/>
      </w:rPr>
    </w:lvl>
  </w:abstractNum>
  <w:abstractNum w:abstractNumId="1" w15:restartNumberingAfterBreak="0">
    <w:nsid w:val="F51E7F6B"/>
    <w:multiLevelType w:val="singleLevel"/>
    <w:tmpl w:val="F51E7F6B"/>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C81120"/>
    <w:rsid w:val="000D7AA4"/>
    <w:rsid w:val="00160BD0"/>
    <w:rsid w:val="00225E73"/>
    <w:rsid w:val="00230F1B"/>
    <w:rsid w:val="00251D0B"/>
    <w:rsid w:val="002D14A8"/>
    <w:rsid w:val="0034356B"/>
    <w:rsid w:val="003C46AF"/>
    <w:rsid w:val="003F77EF"/>
    <w:rsid w:val="00455E1B"/>
    <w:rsid w:val="004D64CA"/>
    <w:rsid w:val="0053729E"/>
    <w:rsid w:val="005547EF"/>
    <w:rsid w:val="00693623"/>
    <w:rsid w:val="007419C3"/>
    <w:rsid w:val="007B0252"/>
    <w:rsid w:val="00851F67"/>
    <w:rsid w:val="00874DB9"/>
    <w:rsid w:val="00877331"/>
    <w:rsid w:val="008B28E0"/>
    <w:rsid w:val="009072EF"/>
    <w:rsid w:val="00914AB3"/>
    <w:rsid w:val="00924FC0"/>
    <w:rsid w:val="00A20BC7"/>
    <w:rsid w:val="00C339A6"/>
    <w:rsid w:val="00C50694"/>
    <w:rsid w:val="00C63A40"/>
    <w:rsid w:val="00D9723F"/>
    <w:rsid w:val="00DC0E0B"/>
    <w:rsid w:val="00E15FCC"/>
    <w:rsid w:val="00E6776C"/>
    <w:rsid w:val="00E72009"/>
    <w:rsid w:val="00ED51D3"/>
    <w:rsid w:val="00EF5A9E"/>
    <w:rsid w:val="00F321FC"/>
    <w:rsid w:val="00F36F04"/>
    <w:rsid w:val="01CF307A"/>
    <w:rsid w:val="02312FDE"/>
    <w:rsid w:val="030A3C3B"/>
    <w:rsid w:val="03737E75"/>
    <w:rsid w:val="04953461"/>
    <w:rsid w:val="05D961AC"/>
    <w:rsid w:val="071F2805"/>
    <w:rsid w:val="07853A0B"/>
    <w:rsid w:val="0BB81BC8"/>
    <w:rsid w:val="0C505A2A"/>
    <w:rsid w:val="0D4E4030"/>
    <w:rsid w:val="0F3C6536"/>
    <w:rsid w:val="1085426C"/>
    <w:rsid w:val="111D7620"/>
    <w:rsid w:val="142B3C43"/>
    <w:rsid w:val="14A65964"/>
    <w:rsid w:val="15224E9F"/>
    <w:rsid w:val="18041186"/>
    <w:rsid w:val="1810076A"/>
    <w:rsid w:val="1AFF4480"/>
    <w:rsid w:val="1B9762D5"/>
    <w:rsid w:val="1C290127"/>
    <w:rsid w:val="1CB55F50"/>
    <w:rsid w:val="1D277482"/>
    <w:rsid w:val="1E2E2E1E"/>
    <w:rsid w:val="1F6E185C"/>
    <w:rsid w:val="1F7E147F"/>
    <w:rsid w:val="205265F0"/>
    <w:rsid w:val="205438DB"/>
    <w:rsid w:val="236639AE"/>
    <w:rsid w:val="279B23C3"/>
    <w:rsid w:val="281A0EAC"/>
    <w:rsid w:val="28E26A4A"/>
    <w:rsid w:val="290A0FAD"/>
    <w:rsid w:val="2C8F18D7"/>
    <w:rsid w:val="31692A6E"/>
    <w:rsid w:val="31EC420F"/>
    <w:rsid w:val="32151E1A"/>
    <w:rsid w:val="33341AE4"/>
    <w:rsid w:val="33A969D6"/>
    <w:rsid w:val="33B015AE"/>
    <w:rsid w:val="3BDB363C"/>
    <w:rsid w:val="3BE645DA"/>
    <w:rsid w:val="3F577654"/>
    <w:rsid w:val="3F6B28A6"/>
    <w:rsid w:val="40B95CD0"/>
    <w:rsid w:val="423B1DB6"/>
    <w:rsid w:val="48370BF5"/>
    <w:rsid w:val="48B10ADA"/>
    <w:rsid w:val="4999703E"/>
    <w:rsid w:val="49AB294A"/>
    <w:rsid w:val="49E8163E"/>
    <w:rsid w:val="4D301426"/>
    <w:rsid w:val="4D625F91"/>
    <w:rsid w:val="506D5864"/>
    <w:rsid w:val="527541A2"/>
    <w:rsid w:val="52E51199"/>
    <w:rsid w:val="534E6B21"/>
    <w:rsid w:val="54365D91"/>
    <w:rsid w:val="54A2746E"/>
    <w:rsid w:val="56C81120"/>
    <w:rsid w:val="56F073BC"/>
    <w:rsid w:val="59547CDB"/>
    <w:rsid w:val="596706EB"/>
    <w:rsid w:val="59703C09"/>
    <w:rsid w:val="5A387BCA"/>
    <w:rsid w:val="5B7C6D33"/>
    <w:rsid w:val="5B8E7E9F"/>
    <w:rsid w:val="5BDD662D"/>
    <w:rsid w:val="5F9423E7"/>
    <w:rsid w:val="62513BD9"/>
    <w:rsid w:val="627B59FE"/>
    <w:rsid w:val="63F654F1"/>
    <w:rsid w:val="66E27882"/>
    <w:rsid w:val="688268EC"/>
    <w:rsid w:val="6C364DFB"/>
    <w:rsid w:val="6D064785"/>
    <w:rsid w:val="6D094C10"/>
    <w:rsid w:val="70A215E7"/>
    <w:rsid w:val="71282C3F"/>
    <w:rsid w:val="75C57ABA"/>
    <w:rsid w:val="767F4FDB"/>
    <w:rsid w:val="791D36A6"/>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FFFB07"/>
  <w15:docId w15:val="{35EE617F-1ACF-400A-84C1-1B5AF93C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7E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547EF"/>
    <w:pPr>
      <w:tabs>
        <w:tab w:val="center" w:pos="4153"/>
        <w:tab w:val="right" w:pos="8306"/>
      </w:tabs>
      <w:snapToGrid w:val="0"/>
      <w:jc w:val="left"/>
    </w:pPr>
    <w:rPr>
      <w:sz w:val="18"/>
    </w:rPr>
  </w:style>
  <w:style w:type="paragraph" w:styleId="a4">
    <w:name w:val="Normal (Web)"/>
    <w:basedOn w:val="a"/>
    <w:qFormat/>
    <w:rsid w:val="005547EF"/>
    <w:pPr>
      <w:jc w:val="left"/>
    </w:pPr>
    <w:rPr>
      <w:kern w:val="0"/>
      <w:sz w:val="24"/>
    </w:rPr>
  </w:style>
  <w:style w:type="character" w:styleId="a5">
    <w:name w:val="FollowedHyperlink"/>
    <w:basedOn w:val="a0"/>
    <w:qFormat/>
    <w:rsid w:val="005547EF"/>
    <w:rPr>
      <w:color w:val="800080"/>
      <w:u w:val="none"/>
    </w:rPr>
  </w:style>
  <w:style w:type="character" w:styleId="a6">
    <w:name w:val="Emphasis"/>
    <w:basedOn w:val="a0"/>
    <w:qFormat/>
    <w:rsid w:val="005547EF"/>
  </w:style>
  <w:style w:type="character" w:styleId="HTML">
    <w:name w:val="HTML Definition"/>
    <w:basedOn w:val="a0"/>
    <w:qFormat/>
    <w:rsid w:val="005547EF"/>
  </w:style>
  <w:style w:type="character" w:styleId="HTML0">
    <w:name w:val="HTML Typewriter"/>
    <w:basedOn w:val="a0"/>
    <w:qFormat/>
    <w:rsid w:val="005547EF"/>
    <w:rPr>
      <w:rFonts w:ascii="monospace" w:eastAsia="monospace" w:hAnsi="monospace" w:cs="monospace"/>
      <w:sz w:val="20"/>
    </w:rPr>
  </w:style>
  <w:style w:type="character" w:styleId="HTML1">
    <w:name w:val="HTML Acronym"/>
    <w:basedOn w:val="a0"/>
    <w:qFormat/>
    <w:rsid w:val="005547EF"/>
  </w:style>
  <w:style w:type="character" w:styleId="HTML2">
    <w:name w:val="HTML Variable"/>
    <w:basedOn w:val="a0"/>
    <w:qFormat/>
    <w:rsid w:val="005547EF"/>
  </w:style>
  <w:style w:type="character" w:styleId="a7">
    <w:name w:val="Hyperlink"/>
    <w:basedOn w:val="a0"/>
    <w:qFormat/>
    <w:rsid w:val="005547EF"/>
    <w:rPr>
      <w:color w:val="0000FF"/>
      <w:u w:val="none"/>
    </w:rPr>
  </w:style>
  <w:style w:type="character" w:styleId="HTML3">
    <w:name w:val="HTML Code"/>
    <w:basedOn w:val="a0"/>
    <w:qFormat/>
    <w:rsid w:val="005547EF"/>
    <w:rPr>
      <w:rFonts w:ascii="微软雅黑" w:eastAsia="微软雅黑" w:hAnsi="微软雅黑" w:cs="微软雅黑"/>
      <w:sz w:val="14"/>
      <w:szCs w:val="14"/>
    </w:rPr>
  </w:style>
  <w:style w:type="character" w:styleId="HTML4">
    <w:name w:val="HTML Cite"/>
    <w:basedOn w:val="a0"/>
    <w:qFormat/>
    <w:rsid w:val="005547EF"/>
  </w:style>
  <w:style w:type="character" w:styleId="HTML5">
    <w:name w:val="HTML Keyboard"/>
    <w:basedOn w:val="a0"/>
    <w:qFormat/>
    <w:rsid w:val="005547EF"/>
    <w:rPr>
      <w:rFonts w:ascii="monospace" w:eastAsia="monospace" w:hAnsi="monospace" w:cs="monospace" w:hint="default"/>
      <w:sz w:val="20"/>
    </w:rPr>
  </w:style>
  <w:style w:type="character" w:styleId="HTML6">
    <w:name w:val="HTML Sample"/>
    <w:basedOn w:val="a0"/>
    <w:qFormat/>
    <w:rsid w:val="005547EF"/>
    <w:rPr>
      <w:rFonts w:ascii="monospace" w:eastAsia="monospace" w:hAnsi="monospace" w:cs="monospace" w:hint="default"/>
    </w:rPr>
  </w:style>
  <w:style w:type="paragraph" w:customStyle="1" w:styleId="Bodytext1">
    <w:name w:val="Body text|1"/>
    <w:basedOn w:val="a"/>
    <w:qFormat/>
    <w:rsid w:val="005547EF"/>
    <w:pPr>
      <w:spacing w:line="408" w:lineRule="auto"/>
      <w:ind w:firstLine="400"/>
    </w:pPr>
    <w:rPr>
      <w:rFonts w:ascii="宋体" w:hAnsi="宋体" w:cs="宋体"/>
      <w:sz w:val="19"/>
      <w:szCs w:val="19"/>
      <w:lang w:val="zh-CN" w:bidi="zh-CN"/>
    </w:rPr>
  </w:style>
  <w:style w:type="paragraph" w:customStyle="1" w:styleId="Heading21">
    <w:name w:val="Heading #2|1"/>
    <w:basedOn w:val="a"/>
    <w:qFormat/>
    <w:rsid w:val="005547EF"/>
    <w:pPr>
      <w:spacing w:after="300"/>
      <w:jc w:val="center"/>
      <w:outlineLvl w:val="1"/>
    </w:pPr>
    <w:rPr>
      <w:rFonts w:ascii="宋体" w:hAnsi="宋体" w:cs="宋体"/>
      <w:sz w:val="44"/>
      <w:szCs w:val="44"/>
      <w:lang w:val="zh-CN" w:bidi="zh-CN"/>
    </w:rPr>
  </w:style>
  <w:style w:type="paragraph" w:customStyle="1" w:styleId="Bodytext3">
    <w:name w:val="Body text|3"/>
    <w:basedOn w:val="a"/>
    <w:qFormat/>
    <w:rsid w:val="005547EF"/>
    <w:pPr>
      <w:spacing w:before="220" w:after="720"/>
      <w:ind w:firstLine="520"/>
    </w:pPr>
    <w:rPr>
      <w:sz w:val="32"/>
      <w:szCs w:val="32"/>
    </w:rPr>
  </w:style>
  <w:style w:type="paragraph" w:customStyle="1" w:styleId="Other1">
    <w:name w:val="Other|1"/>
    <w:basedOn w:val="a"/>
    <w:qFormat/>
    <w:rsid w:val="005547EF"/>
    <w:pPr>
      <w:spacing w:line="302" w:lineRule="exact"/>
    </w:pPr>
    <w:rPr>
      <w:rFonts w:ascii="宋体" w:hAnsi="宋体" w:cs="宋体"/>
      <w:sz w:val="19"/>
      <w:szCs w:val="19"/>
      <w:lang w:val="zh-CN" w:bidi="zh-CN"/>
    </w:rPr>
  </w:style>
  <w:style w:type="paragraph" w:customStyle="1" w:styleId="Bodytext4">
    <w:name w:val="Body text|4"/>
    <w:basedOn w:val="a"/>
    <w:qFormat/>
    <w:rsid w:val="005547EF"/>
    <w:pPr>
      <w:spacing w:after="60"/>
      <w:ind w:firstLine="320"/>
    </w:pPr>
    <w:rPr>
      <w:rFonts w:ascii="宋体" w:hAnsi="宋体" w:cs="宋体"/>
      <w:lang w:val="zh-CN" w:bidi="zh-CN"/>
    </w:rPr>
  </w:style>
  <w:style w:type="paragraph" w:customStyle="1" w:styleId="Tablecaption1">
    <w:name w:val="Table caption|1"/>
    <w:basedOn w:val="a"/>
    <w:qFormat/>
    <w:rsid w:val="005547EF"/>
    <w:pPr>
      <w:spacing w:line="302" w:lineRule="exact"/>
      <w:jc w:val="right"/>
    </w:pPr>
    <w:rPr>
      <w:rFonts w:ascii="宋体" w:hAnsi="宋体" w:cs="宋体"/>
      <w:sz w:val="19"/>
      <w:szCs w:val="19"/>
      <w:lang w:val="zh-CN" w:bidi="zh-CN"/>
    </w:rPr>
  </w:style>
  <w:style w:type="paragraph" w:customStyle="1" w:styleId="Headerorfooter2">
    <w:name w:val="Header or footer|2"/>
    <w:basedOn w:val="a"/>
    <w:qFormat/>
    <w:rsid w:val="005547EF"/>
    <w:rPr>
      <w:sz w:val="20"/>
      <w:szCs w:val="20"/>
      <w:lang w:val="zh-CN" w:bidi="zh-CN"/>
    </w:rPr>
  </w:style>
  <w:style w:type="paragraph" w:customStyle="1" w:styleId="Bodytext2">
    <w:name w:val="Body text|2"/>
    <w:basedOn w:val="a"/>
    <w:qFormat/>
    <w:rsid w:val="005547EF"/>
    <w:pPr>
      <w:spacing w:after="470"/>
    </w:pPr>
    <w:rPr>
      <w:b/>
      <w:bCs/>
      <w:sz w:val="19"/>
      <w:szCs w:val="19"/>
      <w:lang w:val="zh-CN" w:bidi="zh-CN"/>
    </w:rPr>
  </w:style>
  <w:style w:type="character" w:customStyle="1" w:styleId="bsharetext">
    <w:name w:val="bsharetext"/>
    <w:basedOn w:val="a0"/>
    <w:qFormat/>
    <w:rsid w:val="005547EF"/>
  </w:style>
  <w:style w:type="paragraph" w:styleId="a8">
    <w:name w:val="header"/>
    <w:basedOn w:val="a"/>
    <w:link w:val="a9"/>
    <w:rsid w:val="00251D0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251D0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32</cp:revision>
  <cp:lastPrinted>2020-05-18T02:11:00Z</cp:lastPrinted>
  <dcterms:created xsi:type="dcterms:W3CDTF">2020-05-15T02:55:00Z</dcterms:created>
  <dcterms:modified xsi:type="dcterms:W3CDTF">2021-11-16T11:48:00Z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