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2020年</w:t>
      </w:r>
      <w:r>
        <w:rPr>
          <w:rFonts w:eastAsia="方正小标宋_GBK"/>
          <w:sz w:val="44"/>
          <w:szCs w:val="44"/>
        </w:rPr>
        <w:t>预算重要事项说明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2020年</w:t>
      </w:r>
      <w:r>
        <w:rPr>
          <w:rFonts w:eastAsia="黑体"/>
          <w:color w:val="000000"/>
          <w:sz w:val="32"/>
          <w:szCs w:val="32"/>
        </w:rPr>
        <w:t>一般公共预算</w:t>
      </w:r>
      <w:r>
        <w:rPr>
          <w:rFonts w:hint="eastAsia" w:eastAsia="黑体"/>
          <w:color w:val="000000"/>
          <w:sz w:val="32"/>
          <w:szCs w:val="32"/>
          <w:lang w:eastAsia="zh-CN"/>
        </w:rPr>
        <w:t>收入</w:t>
      </w:r>
      <w:r>
        <w:rPr>
          <w:rFonts w:eastAsia="黑体"/>
          <w:color w:val="000000"/>
          <w:sz w:val="32"/>
          <w:szCs w:val="32"/>
        </w:rPr>
        <w:t>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全区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一般公共预算收入预期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128966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3.61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%。地方一般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公共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预算收入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预期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31935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5%，其中：税收收入预期23435万元，增长8.10%；非税收入预期8500万元，下降2.68%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二、2020年</w:t>
      </w:r>
      <w:r>
        <w:rPr>
          <w:rFonts w:eastAsia="黑体"/>
          <w:color w:val="000000"/>
          <w:sz w:val="32"/>
          <w:szCs w:val="32"/>
        </w:rPr>
        <w:t>一般公共预算支出预算说明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全区一般公共预算支出安排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88786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万元。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其中：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基本支出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47656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万元，较上年增加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5284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12.47%；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专项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支出41130万元，较上年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增加2815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增长7.35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，主要是新增安排防疫、老旧小区改造等专项经费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</w:t>
      </w:r>
      <w:r>
        <w:rPr>
          <w:rFonts w:hint="eastAsia" w:eastAsia="黑体"/>
          <w:color w:val="000000"/>
          <w:sz w:val="32"/>
          <w:szCs w:val="32"/>
          <w:lang w:eastAsia="zh-CN"/>
        </w:rPr>
        <w:t>2020年</w:t>
      </w:r>
      <w:r>
        <w:rPr>
          <w:rFonts w:eastAsia="黑体"/>
          <w:color w:val="000000"/>
          <w:sz w:val="32"/>
          <w:szCs w:val="32"/>
        </w:rPr>
        <w:t>税收返还和转移支付预算说明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、</w:t>
      </w:r>
      <w:r>
        <w:rPr>
          <w:rFonts w:hint="eastAsia" w:eastAsia="仿宋_GB2312"/>
          <w:color w:val="000000"/>
          <w:sz w:val="32"/>
          <w:szCs w:val="32"/>
        </w:rPr>
        <w:t>返还性支出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4397万</w:t>
      </w:r>
      <w:r>
        <w:rPr>
          <w:rFonts w:hint="eastAsia" w:eastAsia="仿宋_GB2312"/>
          <w:color w:val="000000"/>
          <w:sz w:val="32"/>
          <w:szCs w:val="32"/>
        </w:rPr>
        <w:t>元，与20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eastAsia="仿宋_GB2312"/>
          <w:color w:val="000000"/>
          <w:sz w:val="32"/>
          <w:szCs w:val="32"/>
        </w:rPr>
        <w:t>年执行数持平。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2、</w:t>
      </w:r>
      <w:r>
        <w:rPr>
          <w:rFonts w:hint="eastAsia" w:eastAsia="仿宋_GB2312"/>
          <w:color w:val="000000"/>
          <w:sz w:val="32"/>
          <w:szCs w:val="32"/>
        </w:rPr>
        <w:t>一般性转移支付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15946万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hint="eastAsia" w:eastAsia="仿宋_GB2312"/>
          <w:sz w:val="32"/>
          <w:szCs w:val="32"/>
        </w:rPr>
        <w:t>其中，均衡性转移支付</w:t>
      </w:r>
      <w:r>
        <w:rPr>
          <w:rFonts w:hint="eastAsia" w:eastAsia="仿宋_GB2312"/>
          <w:sz w:val="32"/>
          <w:szCs w:val="32"/>
          <w:lang w:val="en-US" w:eastAsia="zh-CN"/>
        </w:rPr>
        <w:t>8773万</w:t>
      </w:r>
      <w:r>
        <w:rPr>
          <w:rFonts w:hint="eastAsia" w:eastAsia="仿宋_GB2312"/>
          <w:sz w:val="32"/>
          <w:szCs w:val="32"/>
        </w:rPr>
        <w:t>元，县级基本财力保障机制奖补资金</w:t>
      </w:r>
      <w:r>
        <w:rPr>
          <w:rFonts w:hint="eastAsia" w:eastAsia="仿宋_GB2312"/>
          <w:sz w:val="32"/>
          <w:szCs w:val="32"/>
          <w:lang w:val="en-US" w:eastAsia="zh-CN"/>
        </w:rPr>
        <w:t>3319万</w:t>
      </w:r>
      <w:r>
        <w:rPr>
          <w:rFonts w:hint="eastAsia" w:eastAsia="仿宋_GB2312"/>
          <w:sz w:val="32"/>
          <w:szCs w:val="32"/>
        </w:rPr>
        <w:t>元，</w:t>
      </w:r>
      <w:r>
        <w:rPr>
          <w:rFonts w:hint="eastAsia" w:eastAsia="仿宋_GB2312"/>
          <w:color w:val="000000"/>
          <w:sz w:val="32"/>
          <w:szCs w:val="32"/>
        </w:rPr>
        <w:t>农村税费改革转移支付收入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730万元，调整工资转移支付收入2133万元，城区财政体制调整区对市递增上划收入-3963万元，资源枯竭型城市转移支付342万元，企业事业单位划转补助收入3108万元、固定数额补助收入49万元、教育共同财政事权转移支付收入677万元、卫生健康共同财政事权转移支付收入10万元、其他一般性转移支付收入786万元</w:t>
      </w:r>
      <w:r>
        <w:rPr>
          <w:rFonts w:hint="eastAsia" w:eastAsia="仿宋_GB2312"/>
          <w:color w:val="000000"/>
          <w:sz w:val="32"/>
          <w:szCs w:val="32"/>
        </w:rPr>
        <w:t xml:space="preserve">。 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3、专项转移支付收入13368万元，主要为社区运转资金900万元、环卫、园林、广场等专项经费1719万元、基础设施建设8400万元、市场监督管理局经费2349万元。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2020年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“三公”经费预算说明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衡阳市珠晖区本级部门，包括区级行政单位（含参照公务员法管理的事业单位）、事业单位和其他单位使用当年公共财政拨款（包括公共财政经费拨款和纳入预算管理的非税收入拨款）安排的2020年“三公”经费预算为486万元，其中：公务接待费90.9万元、因公出国（境）费0万元、公务用车购置费0万元、公务用车运行维护费395.1万元，比上年减少21.07万元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五、2020年财政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扶贫资金</w:t>
      </w:r>
      <w:r>
        <w:rPr>
          <w:rFonts w:hint="eastAsia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说明</w:t>
      </w: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2020年区本级预算按排扶贫资金1400万元，其中专项扶贫资金650万元，主要是用于产业扶贫及基础设施建设；精准扶贫经费750万元，主要用于扶贫特惠保新增保费、健康扶贫、精准扶贫对象参保、全区转移就业交通补助金、教育扶贫学生资助、农村危房改造等项目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六、珠晖区举借债务及偿还债务情况说明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right="0" w:firstLine="643" w:firstLineChars="200"/>
        <w:jc w:val="left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2019年底，全区全口径债务余额17.73亿元，其中：政府债务4.58亿元，隐性债务12.92亿元，其他需要关注类债务0.23亿元。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2020年，珠晖区将严格落实防范和化解政府性债务风险系列文件要求，完成2020年化债目标任务，做到总量不增加、存量逐年减、底线不突破，确保不发生政府性债务风险。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3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举借债务方面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2019年新增政府债务9100万元，为新增一般政府债券，主要用于安排以下几个方面：乡村振兴扶持引导资金2000万元，棚户区改造专项经费3285万元，扶贫基础设施建设资金202万元，雪亮工程资金366万元，民生工程资金340万元，农村道路维护费50万元，脱贫攻坚通自然村项目资金200万元，化解大班额及校舍维修改建资金2100万元，创卫工程资金417万元，铁路文化广场建设项目资金140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right="0"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按照预算法规定，市县确需举借政府债务的，由省级政府发行地方政府债券代为举借。20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20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年我区将在政府债务限额内，积极争取政府债券资金。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676"/>
        <w:jc w:val="left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偿还债务情况方面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：统筹安排偿债资金0.17亿元，用于地方政府一般债券付息。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七、预算绩效管理工作开展情况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right="0"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对编制2019年部门预算的63个一级预算单位资金实行了整体绩效目标申报和项目资金申报，</w:t>
      </w:r>
      <w:r>
        <w:rPr>
          <w:rFonts w:hint="eastAsia" w:ascii="仿宋_GB2312" w:hAnsi="宋体" w:eastAsia="仿宋_GB2312" w:cs="宋体"/>
          <w:color w:val="303030"/>
          <w:kern w:val="0"/>
          <w:sz w:val="32"/>
          <w:szCs w:val="32"/>
          <w:lang w:val="en-US" w:eastAsia="zh-CN" w:bidi="ar-SA"/>
        </w:rPr>
        <w:t>对于未按要求报送绩效目标及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审核未通过的，不得申请预算。二是扩大绩效评价覆盖面，引入第三方机构参与绩效评价工作，除扶贫、医疗卫生等重点支出外，今年还对2018年新增债券资金使用项目进行绩效评价，并首次开展部门预算整体绩效评价，评价工作涉及金额及部门较上年大幅增加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right="0"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42323"/>
    <w:rsid w:val="016639A9"/>
    <w:rsid w:val="01E301DC"/>
    <w:rsid w:val="08E153FF"/>
    <w:rsid w:val="0A4B6AB8"/>
    <w:rsid w:val="2E9E7866"/>
    <w:rsid w:val="390B64E7"/>
    <w:rsid w:val="3F6B4086"/>
    <w:rsid w:val="47C7575E"/>
    <w:rsid w:val="482B6066"/>
    <w:rsid w:val="4E2B4C9B"/>
    <w:rsid w:val="4E517E0A"/>
    <w:rsid w:val="51F93889"/>
    <w:rsid w:val="56D331D9"/>
    <w:rsid w:val="5CB034A5"/>
    <w:rsid w:val="5CB42323"/>
    <w:rsid w:val="6859169B"/>
    <w:rsid w:val="722A1533"/>
    <w:rsid w:val="7DA1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2021-05-30T09:13:00Z</dcterms:created>
  <dc:creator></dc:creator>
  <cp:lastModifiedBy>郑亚敏two</cp:lastModifiedBy>
  <dcterms:modified xsi:type="dcterms:W3CDTF">2021-06-07T03:51:04Z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3F77D5B1BEC64D38808284EBFE3B512F</vt:lpwstr>
  </property>
</Properties>
</file>