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505" w:rsidRDefault="000F4089">
      <w:pPr>
        <w:pStyle w:val="Heading21"/>
        <w:keepNext/>
        <w:keepLines/>
        <w:spacing w:after="260"/>
        <w:rPr>
          <w:rFonts w:ascii="仿宋_GB2312" w:eastAsia="仿宋_GB2312" w:hAnsi="仿宋_GB2312" w:cs="仿宋_GB2312"/>
          <w:color w:val="000000"/>
          <w:sz w:val="32"/>
          <w:szCs w:val="32"/>
          <w:lang w:val="en-US"/>
        </w:rPr>
      </w:pPr>
      <w:bookmarkStart w:id="0" w:name="bookmark90"/>
      <w:bookmarkStart w:id="1" w:name="bookmark89"/>
      <w:bookmarkStart w:id="2" w:name="bookmark88"/>
      <w:bookmarkStart w:id="3" w:name="bookmark91"/>
      <w:r>
        <w:rPr>
          <w:rFonts w:ascii="仿宋_GB2312" w:eastAsia="仿宋_GB2312" w:hAnsi="仿宋_GB2312" w:cs="仿宋_GB2312" w:hint="eastAsia"/>
          <w:color w:val="000000"/>
          <w:sz w:val="32"/>
          <w:szCs w:val="32"/>
          <w:lang w:val="en-US"/>
        </w:rPr>
        <w:t>共青团珠晖区委员会2019年部门整体支出绩效报告</w:t>
      </w:r>
      <w:bookmarkEnd w:id="0"/>
      <w:bookmarkEnd w:id="1"/>
      <w:bookmarkEnd w:id="2"/>
    </w:p>
    <w:p w:rsidR="008F1505" w:rsidRDefault="000F4089">
      <w:pPr>
        <w:pStyle w:val="Bodytext1"/>
        <w:tabs>
          <w:tab w:val="left" w:pos="867"/>
        </w:tabs>
        <w:spacing w:line="360" w:lineRule="auto"/>
        <w:rPr>
          <w:rFonts w:ascii="黑体" w:eastAsia="黑体" w:hAnsi="黑体" w:cs="黑体"/>
          <w:sz w:val="32"/>
          <w:szCs w:val="32"/>
        </w:rPr>
      </w:pPr>
      <w:r>
        <w:rPr>
          <w:rFonts w:ascii="黑体" w:eastAsia="黑体" w:hAnsi="黑体" w:cs="黑体" w:hint="eastAsia"/>
          <w:color w:val="000000"/>
          <w:sz w:val="32"/>
          <w:szCs w:val="32"/>
        </w:rPr>
        <w:t>一</w:t>
      </w:r>
      <w:bookmarkEnd w:id="3"/>
      <w:r>
        <w:rPr>
          <w:rFonts w:ascii="黑体" w:eastAsia="黑体" w:hAnsi="黑体" w:cs="黑体" w:hint="eastAsia"/>
          <w:color w:val="000000"/>
          <w:sz w:val="32"/>
          <w:szCs w:val="32"/>
        </w:rPr>
        <w:t>、部门概况</w:t>
      </w:r>
    </w:p>
    <w:p w:rsidR="008F1505" w:rsidRDefault="000F4089">
      <w:pPr>
        <w:pStyle w:val="Bodytext1"/>
        <w:tabs>
          <w:tab w:val="left" w:pos="1113"/>
        </w:tabs>
        <w:spacing w:line="360" w:lineRule="auto"/>
        <w:ind w:firstLine="500"/>
        <w:rPr>
          <w:rFonts w:ascii="楷体" w:eastAsia="楷体" w:hAnsi="楷体" w:cs="楷体"/>
          <w:b/>
          <w:bCs/>
          <w:color w:val="000000"/>
          <w:sz w:val="32"/>
          <w:szCs w:val="32"/>
        </w:rPr>
      </w:pPr>
      <w:bookmarkStart w:id="4" w:name="bookmark92"/>
      <w:r>
        <w:rPr>
          <w:rFonts w:ascii="楷体" w:eastAsia="楷体" w:hAnsi="楷体" w:cs="楷体" w:hint="eastAsia"/>
          <w:b/>
          <w:bCs/>
          <w:color w:val="000000"/>
          <w:sz w:val="32"/>
          <w:szCs w:val="32"/>
        </w:rPr>
        <w:t>（</w:t>
      </w:r>
      <w:bookmarkEnd w:id="4"/>
      <w:r>
        <w:rPr>
          <w:rFonts w:ascii="楷体" w:eastAsia="楷体" w:hAnsi="楷体" w:cs="楷体" w:hint="eastAsia"/>
          <w:b/>
          <w:bCs/>
          <w:color w:val="000000"/>
          <w:sz w:val="32"/>
          <w:szCs w:val="32"/>
        </w:rPr>
        <w:t>一）部门基本情况</w:t>
      </w:r>
    </w:p>
    <w:p w:rsidR="004931D1" w:rsidRDefault="000F4089" w:rsidP="000A7C24">
      <w:pPr>
        <w:widowControl/>
        <w:spacing w:line="600" w:lineRule="exact"/>
        <w:ind w:firstLineChars="200" w:firstLine="640"/>
        <w:jc w:val="left"/>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1.机构设置</w:t>
      </w:r>
    </w:p>
    <w:p w:rsidR="008F1505" w:rsidRDefault="005C3EA0" w:rsidP="000A7C24">
      <w:pPr>
        <w:widowControl/>
        <w:spacing w:line="600" w:lineRule="exact"/>
        <w:ind w:firstLineChars="200" w:firstLine="640"/>
        <w:jc w:val="left"/>
        <w:rPr>
          <w:rFonts w:ascii="宋体" w:hAnsi="宋体" w:cs="宋体"/>
          <w:color w:val="000000"/>
          <w:sz w:val="28"/>
          <w:szCs w:val="28"/>
        </w:rPr>
      </w:pPr>
      <w:r>
        <w:rPr>
          <w:rFonts w:ascii="仿宋" w:eastAsia="仿宋" w:hAnsi="仿宋" w:cs="仿宋_GB2312" w:hint="eastAsia"/>
          <w:color w:val="333333"/>
          <w:kern w:val="0"/>
          <w:sz w:val="32"/>
          <w:szCs w:val="32"/>
        </w:rPr>
        <w:t>根据区委区政府对团区委机构设置的规定，</w:t>
      </w:r>
      <w:r w:rsidR="000F4089">
        <w:rPr>
          <w:rFonts w:ascii="仿宋" w:eastAsia="仿宋" w:hAnsi="仿宋" w:cs="仿宋_GB2312" w:hint="eastAsia"/>
          <w:color w:val="333333"/>
          <w:kern w:val="0"/>
          <w:sz w:val="32"/>
          <w:szCs w:val="32"/>
        </w:rPr>
        <w:t>机关内设机构</w:t>
      </w:r>
      <w:r>
        <w:rPr>
          <w:rFonts w:ascii="仿宋" w:eastAsia="仿宋" w:hAnsi="仿宋" w:cs="仿宋_GB2312" w:hint="eastAsia"/>
          <w:color w:val="333333"/>
          <w:kern w:val="0"/>
          <w:sz w:val="32"/>
          <w:szCs w:val="32"/>
        </w:rPr>
        <w:t>为办公室、综合股</w:t>
      </w:r>
      <w:r w:rsidR="000F4089">
        <w:rPr>
          <w:rFonts w:ascii="仿宋" w:eastAsia="仿宋" w:hAnsi="仿宋" w:cs="仿宋_GB2312" w:hint="eastAsia"/>
          <w:color w:val="333333"/>
          <w:kern w:val="0"/>
          <w:sz w:val="32"/>
          <w:szCs w:val="32"/>
        </w:rPr>
        <w:t>。人员编制情况为行政编制为2人。实有人数：在职人员2人，在岗人员2人。</w:t>
      </w:r>
    </w:p>
    <w:p w:rsidR="004931D1" w:rsidRDefault="000F4089" w:rsidP="000A7C24">
      <w:pPr>
        <w:widowControl/>
        <w:spacing w:line="600" w:lineRule="exact"/>
        <w:ind w:firstLineChars="200" w:firstLine="640"/>
        <w:jc w:val="left"/>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2.职能职责</w:t>
      </w:r>
    </w:p>
    <w:p w:rsidR="008F1505" w:rsidRDefault="000F4089" w:rsidP="000A7C24">
      <w:pPr>
        <w:widowControl/>
        <w:spacing w:line="600" w:lineRule="exact"/>
        <w:ind w:firstLineChars="200" w:firstLine="640"/>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领导全区共青团工作，组织团组织围绕改革、发展、稳定的大局开展工作，发挥党的助手作用；围绕区委、区政府中心工作，推进全区青少年精神文明建设；负责全区共青团工作和青年工作的理论研究；负责研究指导全区团的组织建设和青少年利益相关的工作；指导和帮助区少先队工作委员会开展工作，加挂珠晖区少工委牌子。</w:t>
      </w:r>
    </w:p>
    <w:p w:rsidR="008F1505" w:rsidRDefault="000F4089">
      <w:pPr>
        <w:pStyle w:val="Bodytext1"/>
        <w:tabs>
          <w:tab w:val="left" w:pos="1113"/>
        </w:tabs>
        <w:spacing w:line="360" w:lineRule="auto"/>
        <w:ind w:firstLine="500"/>
        <w:rPr>
          <w:rFonts w:ascii="仿宋_GB2312" w:eastAsia="仿宋_GB2312" w:hAnsi="仿宋_GB2312" w:cs="仿宋_GB2312"/>
          <w:b/>
          <w:bCs/>
          <w:color w:val="333333"/>
          <w:kern w:val="0"/>
          <w:sz w:val="32"/>
          <w:szCs w:val="32"/>
          <w:lang w:val="en-US" w:bidi="ar-SA"/>
        </w:rPr>
      </w:pPr>
      <w:r>
        <w:rPr>
          <w:rFonts w:ascii="仿宋_GB2312" w:eastAsia="仿宋_GB2312" w:hAnsi="仿宋_GB2312" w:cs="仿宋_GB2312" w:hint="eastAsia"/>
          <w:b/>
          <w:bCs/>
          <w:color w:val="333333"/>
          <w:kern w:val="0"/>
          <w:sz w:val="32"/>
          <w:szCs w:val="32"/>
          <w:lang w:val="en-US" w:bidi="ar-SA"/>
        </w:rPr>
        <w:t>3.</w:t>
      </w:r>
      <w:r w:rsidR="004931D1">
        <w:rPr>
          <w:rFonts w:ascii="仿宋_GB2312" w:eastAsia="仿宋_GB2312" w:hAnsi="仿宋_GB2312" w:cs="仿宋_GB2312" w:hint="eastAsia"/>
          <w:b/>
          <w:bCs/>
          <w:color w:val="333333"/>
          <w:kern w:val="0"/>
          <w:sz w:val="32"/>
          <w:szCs w:val="32"/>
          <w:lang w:val="en-US" w:bidi="ar-SA"/>
        </w:rPr>
        <w:t>重点工作计划</w:t>
      </w:r>
    </w:p>
    <w:p w:rsidR="008F1505" w:rsidRDefault="000F4089">
      <w:pPr>
        <w:ind w:firstLine="645"/>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（1）行使区委赋予的领导全区共青团、青联、学联和少先队工作的职权，对全区性青少年社团组织进行指导和管理。</w:t>
      </w:r>
    </w:p>
    <w:p w:rsidR="008F1505" w:rsidRDefault="000F4089">
      <w:pPr>
        <w:ind w:firstLineChars="200" w:firstLine="640"/>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（2）参与制订青少年事业发展规划和青少年工作的方针、政策、法规，协助区委、区政府处理和协调与青少年利益相关的事务。</w:t>
      </w:r>
    </w:p>
    <w:p w:rsidR="008F1505" w:rsidRDefault="000F4089">
      <w:pPr>
        <w:ind w:firstLine="645"/>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（3）调查青少年思想动态和青年工作状况，研究青少年运动、工作理论和思想教育等问题，并提出相应对策；开展各</w:t>
      </w:r>
      <w:r>
        <w:rPr>
          <w:rFonts w:ascii="仿宋" w:eastAsia="仿宋" w:hAnsi="仿宋" w:cs="仿宋_GB2312" w:hint="eastAsia"/>
          <w:color w:val="333333"/>
          <w:kern w:val="0"/>
          <w:sz w:val="32"/>
          <w:szCs w:val="32"/>
        </w:rPr>
        <w:lastRenderedPageBreak/>
        <w:t>种有益的活动，提高青少年政治思想、科学文化素质；组织实施有关青少年事务的法律，参与监督青少年法规的执行，研究青少年违法犯罪问题，协同有关部门开展青少年法制教育和做好未成年人保护工作；为青少年健康成长提供服务，推动青少年社会服务体系的建立。</w:t>
      </w:r>
    </w:p>
    <w:p w:rsidR="008F1505" w:rsidRDefault="000F4089">
      <w:pPr>
        <w:ind w:firstLine="645"/>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（4）协助政府相关部门做好中小学生的教育管理工作，维护学校的稳定和社会的安定团结。</w:t>
      </w:r>
    </w:p>
    <w:p w:rsidR="008F1505" w:rsidRDefault="000F4089">
      <w:pPr>
        <w:ind w:firstLine="645"/>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（5）在全区经济建设中，组织和带领青年发挥主力军和突击队的作用。</w:t>
      </w:r>
    </w:p>
    <w:p w:rsidR="008F1505" w:rsidRDefault="000F4089">
      <w:pPr>
        <w:ind w:firstLine="645"/>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（6）会同有关部门做好青少年外事工作和区内外青少年组织、团体的交流工作；做好青年统战对象的团结教育工作。</w:t>
      </w:r>
    </w:p>
    <w:p w:rsidR="008F1505" w:rsidRDefault="000F4089">
      <w:pPr>
        <w:ind w:firstLine="645"/>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（7）承办区委、区政府交办的其他事项。</w:t>
      </w:r>
    </w:p>
    <w:p w:rsidR="008F1505" w:rsidRDefault="000F4089">
      <w:pPr>
        <w:pStyle w:val="Bodytext1"/>
        <w:tabs>
          <w:tab w:val="left" w:pos="1113"/>
        </w:tabs>
        <w:spacing w:line="360" w:lineRule="auto"/>
        <w:ind w:firstLine="500"/>
        <w:rPr>
          <w:rFonts w:ascii="楷体" w:eastAsia="楷体" w:hAnsi="楷体" w:cs="楷体"/>
          <w:b/>
          <w:bCs/>
          <w:color w:val="000000"/>
          <w:sz w:val="32"/>
          <w:szCs w:val="32"/>
        </w:rPr>
      </w:pPr>
      <w:r>
        <w:rPr>
          <w:rFonts w:ascii="楷体" w:eastAsia="楷体" w:hAnsi="楷体" w:cs="楷体" w:hint="eastAsia"/>
          <w:b/>
          <w:bCs/>
          <w:color w:val="000000"/>
          <w:sz w:val="32"/>
          <w:szCs w:val="32"/>
        </w:rPr>
        <w:t>（</w:t>
      </w:r>
      <w:r>
        <w:rPr>
          <w:rFonts w:ascii="楷体" w:eastAsia="楷体" w:hAnsi="楷体" w:cs="楷体" w:hint="eastAsia"/>
          <w:b/>
          <w:bCs/>
          <w:color w:val="000000"/>
          <w:sz w:val="32"/>
          <w:szCs w:val="32"/>
          <w:lang w:val="en-US"/>
        </w:rPr>
        <w:t>二）</w:t>
      </w:r>
      <w:r>
        <w:rPr>
          <w:rFonts w:ascii="楷体" w:eastAsia="楷体" w:hAnsi="楷体" w:cs="楷体" w:hint="eastAsia"/>
          <w:b/>
          <w:bCs/>
          <w:color w:val="000000"/>
          <w:sz w:val="32"/>
          <w:szCs w:val="32"/>
        </w:rPr>
        <w:t>部门整体支出规模、使用方向和主要内容、涉及范围等。</w:t>
      </w:r>
    </w:p>
    <w:p w:rsidR="008F1505" w:rsidRDefault="000F4089">
      <w:pPr>
        <w:ind w:firstLine="645"/>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我单位</w:t>
      </w:r>
      <w:r>
        <w:rPr>
          <w:rFonts w:ascii="仿宋" w:eastAsia="仿宋" w:hAnsi="仿宋" w:cs="仿宋_GB2312"/>
          <w:color w:val="333333"/>
          <w:kern w:val="0"/>
          <w:sz w:val="32"/>
          <w:szCs w:val="32"/>
        </w:rPr>
        <w:t>201</w:t>
      </w:r>
      <w:r>
        <w:rPr>
          <w:rFonts w:ascii="仿宋" w:eastAsia="仿宋" w:hAnsi="仿宋" w:cs="仿宋_GB2312" w:hint="eastAsia"/>
          <w:color w:val="333333"/>
          <w:kern w:val="0"/>
          <w:sz w:val="32"/>
          <w:szCs w:val="32"/>
        </w:rPr>
        <w:t>9</w:t>
      </w:r>
      <w:r>
        <w:rPr>
          <w:rFonts w:ascii="仿宋" w:eastAsia="仿宋" w:hAnsi="仿宋" w:cs="仿宋_GB2312"/>
          <w:color w:val="333333"/>
          <w:kern w:val="0"/>
          <w:sz w:val="32"/>
          <w:szCs w:val="32"/>
        </w:rPr>
        <w:t>度收入总计</w:t>
      </w:r>
      <w:r>
        <w:rPr>
          <w:rFonts w:ascii="仿宋" w:eastAsia="仿宋" w:hAnsi="仿宋" w:cs="仿宋_GB2312" w:hint="eastAsia"/>
          <w:color w:val="333333"/>
          <w:kern w:val="0"/>
          <w:sz w:val="32"/>
          <w:szCs w:val="32"/>
        </w:rPr>
        <w:t>47</w:t>
      </w:r>
      <w:r>
        <w:rPr>
          <w:rFonts w:ascii="仿宋" w:eastAsia="仿宋" w:hAnsi="仿宋" w:cs="仿宋_GB2312"/>
          <w:color w:val="333333"/>
          <w:kern w:val="0"/>
          <w:sz w:val="32"/>
          <w:szCs w:val="32"/>
        </w:rPr>
        <w:t>万元，其中财政拨款收入</w:t>
      </w:r>
      <w:r>
        <w:rPr>
          <w:rFonts w:ascii="仿宋" w:eastAsia="仿宋" w:hAnsi="仿宋" w:cs="仿宋_GB2312" w:hint="eastAsia"/>
          <w:color w:val="333333"/>
          <w:kern w:val="0"/>
          <w:sz w:val="32"/>
          <w:szCs w:val="32"/>
        </w:rPr>
        <w:t>39.8</w:t>
      </w:r>
      <w:r>
        <w:rPr>
          <w:rFonts w:ascii="仿宋" w:eastAsia="仿宋" w:hAnsi="仿宋" w:cs="仿宋_GB2312"/>
          <w:color w:val="333333"/>
          <w:kern w:val="0"/>
          <w:sz w:val="32"/>
          <w:szCs w:val="32"/>
        </w:rPr>
        <w:t>万元，占本年收入</w:t>
      </w:r>
      <w:r>
        <w:rPr>
          <w:rFonts w:ascii="仿宋" w:eastAsia="仿宋" w:hAnsi="仿宋" w:cs="仿宋_GB2312" w:hint="eastAsia"/>
          <w:color w:val="333333"/>
          <w:kern w:val="0"/>
          <w:sz w:val="32"/>
          <w:szCs w:val="32"/>
        </w:rPr>
        <w:t>85</w:t>
      </w:r>
      <w:r>
        <w:rPr>
          <w:rFonts w:ascii="仿宋" w:eastAsia="仿宋" w:hAnsi="仿宋" w:cs="仿宋_GB2312"/>
          <w:color w:val="333333"/>
          <w:kern w:val="0"/>
          <w:sz w:val="32"/>
          <w:szCs w:val="32"/>
        </w:rPr>
        <w:t>%；其他收入</w:t>
      </w:r>
      <w:r>
        <w:rPr>
          <w:rFonts w:ascii="仿宋" w:eastAsia="仿宋" w:hAnsi="仿宋" w:cs="仿宋_GB2312" w:hint="eastAsia"/>
          <w:color w:val="333333"/>
          <w:kern w:val="0"/>
          <w:sz w:val="32"/>
          <w:szCs w:val="32"/>
        </w:rPr>
        <w:t>7.2</w:t>
      </w:r>
      <w:r>
        <w:rPr>
          <w:rFonts w:ascii="仿宋" w:eastAsia="仿宋" w:hAnsi="仿宋" w:cs="仿宋_GB2312"/>
          <w:color w:val="333333"/>
          <w:kern w:val="0"/>
          <w:sz w:val="32"/>
          <w:szCs w:val="32"/>
        </w:rPr>
        <w:t>万元，占本年收入</w:t>
      </w:r>
      <w:r>
        <w:rPr>
          <w:rFonts w:ascii="仿宋" w:eastAsia="仿宋" w:hAnsi="仿宋" w:cs="仿宋_GB2312" w:hint="eastAsia"/>
          <w:color w:val="333333"/>
          <w:kern w:val="0"/>
          <w:sz w:val="32"/>
          <w:szCs w:val="32"/>
        </w:rPr>
        <w:t>15</w:t>
      </w:r>
      <w:r>
        <w:rPr>
          <w:rFonts w:ascii="仿宋" w:eastAsia="仿宋" w:hAnsi="仿宋" w:cs="仿宋_GB2312"/>
          <w:color w:val="333333"/>
          <w:kern w:val="0"/>
          <w:sz w:val="32"/>
          <w:szCs w:val="32"/>
        </w:rPr>
        <w:t>%。本年支出总计</w:t>
      </w:r>
      <w:r>
        <w:rPr>
          <w:rFonts w:ascii="仿宋" w:eastAsia="仿宋" w:hAnsi="仿宋" w:cs="仿宋_GB2312" w:hint="eastAsia"/>
          <w:color w:val="333333"/>
          <w:kern w:val="0"/>
          <w:sz w:val="32"/>
          <w:szCs w:val="32"/>
        </w:rPr>
        <w:t>48.5</w:t>
      </w:r>
      <w:r>
        <w:rPr>
          <w:rFonts w:ascii="仿宋" w:eastAsia="仿宋" w:hAnsi="仿宋" w:cs="仿宋_GB2312"/>
          <w:color w:val="333333"/>
          <w:kern w:val="0"/>
          <w:sz w:val="32"/>
          <w:szCs w:val="32"/>
        </w:rPr>
        <w:t>万元，其中：</w:t>
      </w:r>
      <w:r>
        <w:rPr>
          <w:rFonts w:ascii="仿宋" w:eastAsia="仿宋" w:hAnsi="仿宋" w:cs="仿宋_GB2312" w:hint="eastAsia"/>
          <w:color w:val="333333"/>
          <w:kern w:val="0"/>
          <w:sz w:val="32"/>
          <w:szCs w:val="32"/>
        </w:rPr>
        <w:t>财政拨款</w:t>
      </w:r>
      <w:r>
        <w:rPr>
          <w:rFonts w:ascii="仿宋" w:eastAsia="仿宋" w:hAnsi="仿宋" w:cs="仿宋_GB2312"/>
          <w:color w:val="333333"/>
          <w:kern w:val="0"/>
          <w:sz w:val="32"/>
          <w:szCs w:val="32"/>
        </w:rPr>
        <w:t>支出</w:t>
      </w:r>
      <w:r>
        <w:rPr>
          <w:rFonts w:ascii="仿宋" w:eastAsia="仿宋" w:hAnsi="仿宋" w:cs="仿宋_GB2312" w:hint="eastAsia"/>
          <w:color w:val="333333"/>
          <w:kern w:val="0"/>
          <w:sz w:val="32"/>
          <w:szCs w:val="32"/>
        </w:rPr>
        <w:t>43.5</w:t>
      </w:r>
      <w:r>
        <w:rPr>
          <w:rFonts w:ascii="仿宋" w:eastAsia="仿宋" w:hAnsi="仿宋" w:cs="仿宋_GB2312"/>
          <w:color w:val="333333"/>
          <w:kern w:val="0"/>
          <w:sz w:val="32"/>
          <w:szCs w:val="32"/>
        </w:rPr>
        <w:t>万元，占本年支出的</w:t>
      </w:r>
      <w:r>
        <w:rPr>
          <w:rFonts w:ascii="仿宋" w:eastAsia="仿宋" w:hAnsi="仿宋" w:cs="仿宋_GB2312" w:hint="eastAsia"/>
          <w:color w:val="333333"/>
          <w:kern w:val="0"/>
          <w:sz w:val="32"/>
          <w:szCs w:val="32"/>
        </w:rPr>
        <w:t>90</w:t>
      </w:r>
      <w:r>
        <w:rPr>
          <w:rFonts w:ascii="仿宋" w:eastAsia="仿宋" w:hAnsi="仿宋" w:cs="仿宋_GB2312"/>
          <w:color w:val="333333"/>
          <w:kern w:val="0"/>
          <w:sz w:val="32"/>
          <w:szCs w:val="32"/>
        </w:rPr>
        <w:t>%；</w:t>
      </w:r>
      <w:r>
        <w:rPr>
          <w:rFonts w:ascii="仿宋" w:eastAsia="仿宋" w:hAnsi="仿宋" w:cs="仿宋_GB2312" w:hint="eastAsia"/>
          <w:color w:val="333333"/>
          <w:kern w:val="0"/>
          <w:sz w:val="32"/>
          <w:szCs w:val="32"/>
        </w:rPr>
        <w:t>其他资金</w:t>
      </w:r>
      <w:r>
        <w:rPr>
          <w:rFonts w:ascii="仿宋" w:eastAsia="仿宋" w:hAnsi="仿宋" w:cs="仿宋_GB2312"/>
          <w:color w:val="333333"/>
          <w:kern w:val="0"/>
          <w:sz w:val="32"/>
          <w:szCs w:val="32"/>
        </w:rPr>
        <w:t>支出</w:t>
      </w:r>
      <w:r>
        <w:rPr>
          <w:rFonts w:ascii="仿宋" w:eastAsia="仿宋" w:hAnsi="仿宋" w:cs="仿宋_GB2312" w:hint="eastAsia"/>
          <w:color w:val="333333"/>
          <w:kern w:val="0"/>
          <w:sz w:val="32"/>
          <w:szCs w:val="32"/>
        </w:rPr>
        <w:t>5</w:t>
      </w:r>
      <w:r>
        <w:rPr>
          <w:rFonts w:ascii="仿宋" w:eastAsia="仿宋" w:hAnsi="仿宋" w:cs="仿宋_GB2312"/>
          <w:color w:val="333333"/>
          <w:kern w:val="0"/>
          <w:sz w:val="32"/>
          <w:szCs w:val="32"/>
        </w:rPr>
        <w:t>万元，占本年支出的</w:t>
      </w:r>
      <w:r>
        <w:rPr>
          <w:rFonts w:ascii="仿宋" w:eastAsia="仿宋" w:hAnsi="仿宋" w:cs="仿宋_GB2312" w:hint="eastAsia"/>
          <w:color w:val="333333"/>
          <w:kern w:val="0"/>
          <w:sz w:val="32"/>
          <w:szCs w:val="32"/>
        </w:rPr>
        <w:t>10</w:t>
      </w:r>
      <w:r>
        <w:rPr>
          <w:rFonts w:ascii="仿宋" w:eastAsia="仿宋" w:hAnsi="仿宋" w:cs="仿宋_GB2312"/>
          <w:color w:val="333333"/>
          <w:kern w:val="0"/>
          <w:sz w:val="32"/>
          <w:szCs w:val="32"/>
        </w:rPr>
        <w:t>%</w:t>
      </w:r>
      <w:r>
        <w:rPr>
          <w:rFonts w:ascii="仿宋" w:eastAsia="仿宋" w:hAnsi="仿宋" w:cs="仿宋_GB2312" w:hint="eastAsia"/>
          <w:color w:val="333333"/>
          <w:kern w:val="0"/>
          <w:sz w:val="32"/>
          <w:szCs w:val="32"/>
        </w:rPr>
        <w:t>。</w:t>
      </w:r>
    </w:p>
    <w:p w:rsidR="008F1505" w:rsidRDefault="000F4089">
      <w:pPr>
        <w:pStyle w:val="Bodytext1"/>
        <w:tabs>
          <w:tab w:val="left" w:pos="867"/>
        </w:tabs>
        <w:spacing w:line="360" w:lineRule="auto"/>
        <w:rPr>
          <w:rFonts w:ascii="Calibri" w:eastAsia="仿宋_GB2312" w:hAnsi="Calibri" w:cs="Times New Roman"/>
          <w:b/>
          <w:bCs/>
          <w:sz w:val="28"/>
          <w:szCs w:val="28"/>
          <w:lang w:val="en-US" w:bidi="ar-SA"/>
        </w:rPr>
      </w:pPr>
      <w:r>
        <w:rPr>
          <w:rFonts w:ascii="Calibri" w:eastAsia="仿宋_GB2312" w:hAnsi="Calibri" w:cs="Times New Roman" w:hint="eastAsia"/>
          <w:b/>
          <w:bCs/>
          <w:sz w:val="28"/>
          <w:szCs w:val="28"/>
          <w:lang w:val="en-US" w:bidi="ar-SA"/>
        </w:rPr>
        <w:t>二、部门整体支出管理及使用情况</w:t>
      </w:r>
    </w:p>
    <w:p w:rsidR="008F1505" w:rsidRDefault="000F4089">
      <w:pPr>
        <w:ind w:firstLine="645"/>
        <w:rPr>
          <w:rFonts w:ascii="仿宋" w:eastAsia="仿宋" w:hAnsi="仿宋" w:cs="仿宋_GB2312"/>
          <w:color w:val="333333"/>
          <w:kern w:val="0"/>
          <w:sz w:val="32"/>
          <w:szCs w:val="32"/>
        </w:rPr>
      </w:pPr>
      <w:r>
        <w:rPr>
          <w:rFonts w:eastAsia="仿宋_GB2312" w:hint="eastAsia"/>
          <w:b/>
          <w:bCs/>
          <w:sz w:val="28"/>
          <w:szCs w:val="28"/>
        </w:rPr>
        <w:t>（一）基本支出：</w:t>
      </w:r>
      <w:r>
        <w:rPr>
          <w:rFonts w:ascii="仿宋" w:eastAsia="仿宋" w:hAnsi="仿宋" w:cs="仿宋_GB2312" w:hint="eastAsia"/>
          <w:color w:val="333333"/>
          <w:kern w:val="0"/>
          <w:sz w:val="32"/>
          <w:szCs w:val="32"/>
        </w:rPr>
        <w:t>主要是工资福利支出、对个人家庭的补助、商品和服务支出中公用经费支出。</w:t>
      </w:r>
      <w:r>
        <w:rPr>
          <w:rFonts w:ascii="仿宋" w:eastAsia="仿宋" w:hAnsi="仿宋" w:cs="仿宋_GB2312"/>
          <w:color w:val="333333"/>
          <w:kern w:val="0"/>
          <w:sz w:val="32"/>
          <w:szCs w:val="32"/>
        </w:rPr>
        <w:t>201</w:t>
      </w:r>
      <w:r>
        <w:rPr>
          <w:rFonts w:ascii="仿宋" w:eastAsia="仿宋" w:hAnsi="仿宋" w:cs="仿宋_GB2312" w:hint="eastAsia"/>
          <w:color w:val="333333"/>
          <w:kern w:val="0"/>
          <w:sz w:val="32"/>
          <w:szCs w:val="32"/>
        </w:rPr>
        <w:t>9</w:t>
      </w:r>
      <w:r>
        <w:rPr>
          <w:rFonts w:ascii="仿宋" w:eastAsia="仿宋" w:hAnsi="仿宋" w:cs="仿宋_GB2312"/>
          <w:color w:val="333333"/>
          <w:kern w:val="0"/>
          <w:sz w:val="32"/>
          <w:szCs w:val="32"/>
        </w:rPr>
        <w:t>年度基本支出</w:t>
      </w:r>
      <w:r>
        <w:rPr>
          <w:rFonts w:ascii="仿宋" w:eastAsia="仿宋" w:hAnsi="仿宋" w:cs="仿宋_GB2312" w:hint="eastAsia"/>
          <w:color w:val="333333"/>
          <w:kern w:val="0"/>
          <w:sz w:val="32"/>
          <w:szCs w:val="32"/>
        </w:rPr>
        <w:t>33.9</w:t>
      </w:r>
      <w:r>
        <w:rPr>
          <w:rFonts w:ascii="仿宋" w:eastAsia="仿宋" w:hAnsi="仿宋" w:cs="仿宋_GB2312"/>
          <w:color w:val="333333"/>
          <w:kern w:val="0"/>
          <w:sz w:val="32"/>
          <w:szCs w:val="32"/>
        </w:rPr>
        <w:t>万元，其中人员经费支出</w:t>
      </w:r>
      <w:r>
        <w:rPr>
          <w:rFonts w:ascii="仿宋" w:eastAsia="仿宋" w:hAnsi="仿宋" w:cs="仿宋_GB2312" w:hint="eastAsia"/>
          <w:color w:val="333333"/>
          <w:kern w:val="0"/>
          <w:sz w:val="32"/>
          <w:szCs w:val="32"/>
        </w:rPr>
        <w:t>17</w:t>
      </w:r>
      <w:r>
        <w:rPr>
          <w:rFonts w:ascii="仿宋" w:eastAsia="仿宋" w:hAnsi="仿宋" w:cs="仿宋_GB2312"/>
          <w:color w:val="333333"/>
          <w:kern w:val="0"/>
          <w:sz w:val="32"/>
          <w:szCs w:val="32"/>
        </w:rPr>
        <w:t>万元，用于基本工资、津补贴、考</w:t>
      </w:r>
      <w:r>
        <w:rPr>
          <w:rFonts w:ascii="仿宋" w:eastAsia="仿宋" w:hAnsi="仿宋" w:cs="仿宋_GB2312"/>
          <w:color w:val="333333"/>
          <w:kern w:val="0"/>
          <w:sz w:val="32"/>
          <w:szCs w:val="32"/>
        </w:rPr>
        <w:lastRenderedPageBreak/>
        <w:t>核绩效工资、奖金发放、社会保障缴费、职业年金缴费等支出；公用支出</w:t>
      </w:r>
      <w:r>
        <w:rPr>
          <w:rFonts w:ascii="仿宋" w:eastAsia="仿宋" w:hAnsi="仿宋" w:cs="仿宋_GB2312" w:hint="eastAsia"/>
          <w:color w:val="333333"/>
          <w:kern w:val="0"/>
          <w:sz w:val="32"/>
          <w:szCs w:val="32"/>
        </w:rPr>
        <w:t>1.1</w:t>
      </w:r>
      <w:r>
        <w:rPr>
          <w:rFonts w:ascii="仿宋" w:eastAsia="仿宋" w:hAnsi="仿宋" w:cs="仿宋_GB2312"/>
          <w:color w:val="333333"/>
          <w:kern w:val="0"/>
          <w:sz w:val="32"/>
          <w:szCs w:val="32"/>
        </w:rPr>
        <w:t>万元，主要用于办公费、工会经费</w:t>
      </w:r>
      <w:r>
        <w:rPr>
          <w:rFonts w:ascii="仿宋" w:eastAsia="仿宋" w:hAnsi="仿宋" w:cs="仿宋_GB2312" w:hint="eastAsia"/>
          <w:color w:val="333333"/>
          <w:kern w:val="0"/>
          <w:sz w:val="32"/>
          <w:szCs w:val="32"/>
        </w:rPr>
        <w:t>、水、电费、维（护）费、办公设备购置</w:t>
      </w:r>
      <w:r>
        <w:rPr>
          <w:rFonts w:ascii="仿宋" w:eastAsia="仿宋" w:hAnsi="仿宋" w:cs="仿宋_GB2312"/>
          <w:color w:val="333333"/>
          <w:kern w:val="0"/>
          <w:sz w:val="32"/>
          <w:szCs w:val="32"/>
        </w:rPr>
        <w:t>等</w:t>
      </w:r>
      <w:r>
        <w:rPr>
          <w:rFonts w:ascii="仿宋" w:eastAsia="仿宋" w:hAnsi="仿宋" w:cs="仿宋_GB2312" w:hint="eastAsia"/>
          <w:color w:val="333333"/>
          <w:kern w:val="0"/>
          <w:sz w:val="32"/>
          <w:szCs w:val="32"/>
        </w:rPr>
        <w:t>日常</w:t>
      </w:r>
      <w:r>
        <w:rPr>
          <w:rFonts w:ascii="仿宋" w:eastAsia="仿宋" w:hAnsi="仿宋" w:cs="仿宋_GB2312"/>
          <w:color w:val="333333"/>
          <w:kern w:val="0"/>
          <w:sz w:val="32"/>
          <w:szCs w:val="32"/>
        </w:rPr>
        <w:t>方面支出；</w:t>
      </w:r>
      <w:r>
        <w:rPr>
          <w:rFonts w:ascii="仿宋" w:eastAsia="仿宋" w:hAnsi="仿宋" w:cs="仿宋_GB2312" w:hint="eastAsia"/>
          <w:color w:val="333333"/>
          <w:kern w:val="0"/>
          <w:sz w:val="32"/>
          <w:szCs w:val="32"/>
        </w:rPr>
        <w:t>。</w:t>
      </w:r>
    </w:p>
    <w:p w:rsidR="008F1505" w:rsidRDefault="000F4089">
      <w:pPr>
        <w:ind w:firstLine="645"/>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“三公”经费支出为零。</w:t>
      </w:r>
    </w:p>
    <w:p w:rsidR="0032638B" w:rsidRDefault="000F4089" w:rsidP="000A7C24">
      <w:pPr>
        <w:widowControl/>
        <w:spacing w:line="600" w:lineRule="exact"/>
        <w:ind w:firstLineChars="196" w:firstLine="549"/>
        <w:jc w:val="left"/>
        <w:rPr>
          <w:rFonts w:eastAsia="仿宋_GB2312" w:hint="eastAsia"/>
          <w:b/>
          <w:bCs/>
          <w:sz w:val="28"/>
          <w:szCs w:val="28"/>
        </w:rPr>
      </w:pPr>
      <w:r>
        <w:rPr>
          <w:rFonts w:eastAsia="仿宋_GB2312" w:hint="eastAsia"/>
          <w:b/>
          <w:bCs/>
          <w:sz w:val="28"/>
          <w:szCs w:val="28"/>
        </w:rPr>
        <w:t>（二）项目支出：</w:t>
      </w:r>
    </w:p>
    <w:p w:rsidR="008F1505" w:rsidRDefault="000F4089" w:rsidP="0032638B">
      <w:pPr>
        <w:widowControl/>
        <w:spacing w:line="600" w:lineRule="exact"/>
        <w:ind w:firstLineChars="196" w:firstLine="627"/>
        <w:jc w:val="left"/>
        <w:rPr>
          <w:rFonts w:eastAsia="仿宋_GB2312"/>
          <w:sz w:val="28"/>
          <w:szCs w:val="28"/>
        </w:rPr>
      </w:pPr>
      <w:r>
        <w:rPr>
          <w:rFonts w:ascii="仿宋" w:eastAsia="仿宋" w:hAnsi="仿宋" w:cs="仿宋_GB2312" w:hint="eastAsia"/>
          <w:color w:val="333333"/>
          <w:kern w:val="0"/>
          <w:sz w:val="32"/>
          <w:szCs w:val="32"/>
        </w:rPr>
        <w:t>主要是指单位为完成特定行政工作任务或事业发展目标而发生的支出，</w:t>
      </w:r>
      <w:r>
        <w:rPr>
          <w:rFonts w:ascii="仿宋" w:eastAsia="仿宋" w:hAnsi="仿宋" w:cs="仿宋_GB2312"/>
          <w:color w:val="333333"/>
          <w:kern w:val="0"/>
          <w:sz w:val="32"/>
          <w:szCs w:val="32"/>
        </w:rPr>
        <w:t>201</w:t>
      </w:r>
      <w:r>
        <w:rPr>
          <w:rFonts w:ascii="仿宋" w:eastAsia="仿宋" w:hAnsi="仿宋" w:cs="仿宋_GB2312" w:hint="eastAsia"/>
          <w:color w:val="333333"/>
          <w:kern w:val="0"/>
          <w:sz w:val="32"/>
          <w:szCs w:val="32"/>
        </w:rPr>
        <w:t>9</w:t>
      </w:r>
      <w:r>
        <w:rPr>
          <w:rFonts w:ascii="仿宋" w:eastAsia="仿宋" w:hAnsi="仿宋" w:cs="仿宋_GB2312"/>
          <w:color w:val="333333"/>
          <w:kern w:val="0"/>
          <w:sz w:val="32"/>
          <w:szCs w:val="32"/>
        </w:rPr>
        <w:t>年度</w:t>
      </w:r>
      <w:r>
        <w:rPr>
          <w:rFonts w:ascii="仿宋" w:eastAsia="仿宋" w:hAnsi="仿宋" w:cs="仿宋_GB2312" w:hint="eastAsia"/>
          <w:color w:val="333333"/>
          <w:kern w:val="0"/>
          <w:sz w:val="32"/>
          <w:szCs w:val="32"/>
        </w:rPr>
        <w:t>项目</w:t>
      </w:r>
      <w:r>
        <w:rPr>
          <w:rFonts w:ascii="仿宋" w:eastAsia="仿宋" w:hAnsi="仿宋" w:cs="仿宋_GB2312"/>
          <w:color w:val="333333"/>
          <w:kern w:val="0"/>
          <w:sz w:val="32"/>
          <w:szCs w:val="32"/>
        </w:rPr>
        <w:t>支出</w:t>
      </w:r>
      <w:r>
        <w:rPr>
          <w:rFonts w:ascii="仿宋" w:eastAsia="仿宋" w:hAnsi="仿宋" w:cs="仿宋_GB2312" w:hint="eastAsia"/>
          <w:color w:val="333333"/>
          <w:kern w:val="0"/>
          <w:sz w:val="32"/>
          <w:szCs w:val="32"/>
        </w:rPr>
        <w:t>14.6</w:t>
      </w:r>
      <w:r>
        <w:rPr>
          <w:rFonts w:ascii="仿宋" w:eastAsia="仿宋" w:hAnsi="仿宋" w:cs="仿宋_GB2312"/>
          <w:color w:val="333333"/>
          <w:kern w:val="0"/>
          <w:sz w:val="32"/>
          <w:szCs w:val="32"/>
        </w:rPr>
        <w:t>万元</w:t>
      </w:r>
      <w:r>
        <w:rPr>
          <w:rFonts w:ascii="仿宋" w:eastAsia="仿宋" w:hAnsi="仿宋" w:cs="仿宋_GB2312" w:hint="eastAsia"/>
          <w:color w:val="333333"/>
          <w:kern w:val="0"/>
          <w:sz w:val="32"/>
          <w:szCs w:val="32"/>
        </w:rPr>
        <w:t>，用于有关青少年事业发展专项、志愿服务专项等。</w:t>
      </w:r>
    </w:p>
    <w:p w:rsidR="008F1505" w:rsidRDefault="000F4089" w:rsidP="000A7C24">
      <w:pPr>
        <w:widowControl/>
        <w:spacing w:line="600" w:lineRule="exact"/>
        <w:ind w:firstLineChars="196" w:firstLine="549"/>
        <w:jc w:val="left"/>
        <w:rPr>
          <w:rFonts w:eastAsia="仿宋_GB2312"/>
          <w:b/>
          <w:bCs/>
          <w:sz w:val="28"/>
          <w:szCs w:val="28"/>
        </w:rPr>
      </w:pPr>
      <w:r>
        <w:rPr>
          <w:rFonts w:eastAsia="仿宋_GB2312" w:hint="eastAsia"/>
          <w:b/>
          <w:bCs/>
          <w:sz w:val="28"/>
          <w:szCs w:val="28"/>
        </w:rPr>
        <w:t>三、部门项目组织实施情况</w:t>
      </w:r>
    </w:p>
    <w:p w:rsidR="008F1505" w:rsidRDefault="000F4089">
      <w:pPr>
        <w:widowControl/>
        <w:spacing w:line="600" w:lineRule="exact"/>
        <w:ind w:firstLineChars="196" w:firstLine="627"/>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团区委无建设性项目支出</w:t>
      </w:r>
    </w:p>
    <w:p w:rsidR="008F1505" w:rsidRDefault="000F4089" w:rsidP="000A7C24">
      <w:pPr>
        <w:widowControl/>
        <w:spacing w:line="600" w:lineRule="exact"/>
        <w:ind w:firstLineChars="196" w:firstLine="549"/>
        <w:jc w:val="left"/>
        <w:rPr>
          <w:rFonts w:eastAsia="仿宋_GB2312"/>
          <w:b/>
          <w:bCs/>
          <w:sz w:val="28"/>
          <w:szCs w:val="28"/>
        </w:rPr>
      </w:pPr>
      <w:r>
        <w:rPr>
          <w:rFonts w:eastAsia="仿宋_GB2312" w:hint="eastAsia"/>
          <w:b/>
          <w:bCs/>
          <w:sz w:val="28"/>
          <w:szCs w:val="28"/>
        </w:rPr>
        <w:t>四、资产管理情况</w:t>
      </w:r>
    </w:p>
    <w:p w:rsidR="008F1505" w:rsidRDefault="000F4089">
      <w:pPr>
        <w:widowControl/>
        <w:spacing w:line="600" w:lineRule="exact"/>
        <w:ind w:firstLineChars="196" w:firstLine="627"/>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国有资产占用使用及新增资产配置情况：截至 2019年 12 月底，国有资产</w:t>
      </w:r>
      <w:r w:rsidR="0062588D">
        <w:rPr>
          <w:rFonts w:ascii="仿宋" w:eastAsia="仿宋" w:hAnsi="仿宋" w:cs="仿宋_GB2312" w:hint="eastAsia"/>
          <w:color w:val="333333"/>
          <w:kern w:val="0"/>
          <w:sz w:val="32"/>
          <w:szCs w:val="32"/>
        </w:rPr>
        <w:t>0</w:t>
      </w:r>
      <w:r>
        <w:rPr>
          <w:rFonts w:ascii="仿宋" w:eastAsia="仿宋" w:hAnsi="仿宋" w:cs="仿宋_GB2312" w:hint="eastAsia"/>
          <w:color w:val="333333"/>
          <w:kern w:val="0"/>
          <w:sz w:val="32"/>
          <w:szCs w:val="32"/>
        </w:rPr>
        <w:t>万。</w:t>
      </w:r>
    </w:p>
    <w:p w:rsidR="008F1505" w:rsidRDefault="000F4089" w:rsidP="000A7C24">
      <w:pPr>
        <w:widowControl/>
        <w:spacing w:line="600" w:lineRule="exact"/>
        <w:ind w:firstLineChars="196" w:firstLine="549"/>
        <w:jc w:val="left"/>
        <w:rPr>
          <w:rFonts w:eastAsia="仿宋_GB2312"/>
          <w:b/>
          <w:bCs/>
          <w:sz w:val="28"/>
          <w:szCs w:val="28"/>
        </w:rPr>
      </w:pPr>
      <w:r>
        <w:rPr>
          <w:rFonts w:eastAsia="仿宋_GB2312" w:hint="eastAsia"/>
          <w:b/>
          <w:bCs/>
          <w:sz w:val="28"/>
          <w:szCs w:val="28"/>
        </w:rPr>
        <w:t>五、部门整体支出绩效情况</w:t>
      </w:r>
    </w:p>
    <w:p w:rsidR="008F1505" w:rsidRDefault="000F4089">
      <w:pPr>
        <w:widowControl/>
        <w:spacing w:line="600" w:lineRule="exact"/>
        <w:ind w:firstLineChars="196" w:firstLine="627"/>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1.执行了预算政策要求。团区委工作经费安排严格按照年初预算来执行，有效防止了超预算；认真学习财经法规，严格执行财经纪律，防止了违法违纪行为的发生。2.</w:t>
      </w:r>
      <w:r>
        <w:rPr>
          <w:rFonts w:ascii="仿宋" w:eastAsia="仿宋" w:hAnsi="仿宋" w:cs="仿宋_GB2312"/>
          <w:color w:val="333333"/>
          <w:kern w:val="0"/>
          <w:sz w:val="32"/>
          <w:szCs w:val="32"/>
        </w:rPr>
        <w:t>保障了机关有效运转。严格按照厉行节约的要求，精打细算，规范机关事务管理工作，提高服务质量，降低运行成本，合理配置，提高保障能力。</w:t>
      </w:r>
    </w:p>
    <w:p w:rsidR="008F1505" w:rsidRDefault="000F4089" w:rsidP="000A7C24">
      <w:pPr>
        <w:widowControl/>
        <w:spacing w:line="600" w:lineRule="exact"/>
        <w:ind w:firstLineChars="196" w:firstLine="549"/>
        <w:jc w:val="left"/>
        <w:rPr>
          <w:rFonts w:eastAsia="仿宋_GB2312"/>
          <w:b/>
          <w:bCs/>
          <w:sz w:val="28"/>
          <w:szCs w:val="28"/>
        </w:rPr>
      </w:pPr>
      <w:r>
        <w:rPr>
          <w:rFonts w:eastAsia="仿宋_GB2312" w:hint="eastAsia"/>
          <w:b/>
          <w:bCs/>
          <w:sz w:val="28"/>
          <w:szCs w:val="28"/>
        </w:rPr>
        <w:t>六、存在的主要问题</w:t>
      </w:r>
    </w:p>
    <w:p w:rsidR="008F1505" w:rsidRDefault="000F4089">
      <w:pPr>
        <w:widowControl/>
        <w:spacing w:line="600" w:lineRule="exact"/>
        <w:ind w:firstLineChars="196" w:firstLine="627"/>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1</w:t>
      </w:r>
      <w:r>
        <w:rPr>
          <w:rFonts w:ascii="仿宋" w:eastAsia="仿宋" w:hAnsi="仿宋" w:cs="仿宋_GB2312"/>
          <w:color w:val="333333"/>
          <w:kern w:val="0"/>
          <w:sz w:val="32"/>
          <w:szCs w:val="32"/>
        </w:rPr>
        <w:t>、业务经费年初预算安排不足。由于预算安排不足，缺口资金只能调剂其他资金使用。</w:t>
      </w:r>
    </w:p>
    <w:p w:rsidR="008F1505" w:rsidRDefault="000F4089">
      <w:pPr>
        <w:widowControl/>
        <w:spacing w:line="600" w:lineRule="exact"/>
        <w:ind w:firstLineChars="196" w:firstLine="627"/>
        <w:jc w:val="left"/>
        <w:rPr>
          <w:rFonts w:ascii="仿宋" w:eastAsia="仿宋" w:hAnsi="仿宋" w:cs="仿宋_GB2312"/>
          <w:color w:val="333333"/>
          <w:kern w:val="0"/>
          <w:sz w:val="32"/>
          <w:szCs w:val="32"/>
        </w:rPr>
      </w:pPr>
      <w:r>
        <w:rPr>
          <w:rFonts w:ascii="仿宋" w:eastAsia="仿宋" w:hAnsi="仿宋" w:cs="仿宋_GB2312"/>
          <w:color w:val="333333"/>
          <w:kern w:val="0"/>
          <w:sz w:val="32"/>
          <w:szCs w:val="32"/>
        </w:rPr>
        <w:lastRenderedPageBreak/>
        <w:t>2、年初预算编制不够精细。预算编制不够明确和细化，预算编制的合理性需要提高。</w:t>
      </w:r>
    </w:p>
    <w:p w:rsidR="008F1505" w:rsidRDefault="000F4089" w:rsidP="000A7C24">
      <w:pPr>
        <w:widowControl/>
        <w:spacing w:line="600" w:lineRule="exact"/>
        <w:ind w:firstLineChars="196" w:firstLine="549"/>
        <w:jc w:val="left"/>
        <w:rPr>
          <w:rFonts w:eastAsia="仿宋_GB2312"/>
          <w:b/>
          <w:bCs/>
          <w:sz w:val="28"/>
          <w:szCs w:val="28"/>
        </w:rPr>
      </w:pPr>
      <w:r>
        <w:rPr>
          <w:rFonts w:eastAsia="仿宋_GB2312" w:hint="eastAsia"/>
          <w:b/>
          <w:bCs/>
          <w:sz w:val="28"/>
          <w:szCs w:val="28"/>
        </w:rPr>
        <w:t>七、改进措施和有关建议</w:t>
      </w:r>
    </w:p>
    <w:p w:rsidR="008F1505" w:rsidRDefault="000F4089">
      <w:pPr>
        <w:widowControl/>
        <w:spacing w:line="600" w:lineRule="exact"/>
        <w:ind w:firstLineChars="196" w:firstLine="627"/>
        <w:jc w:val="left"/>
        <w:rPr>
          <w:rFonts w:ascii="仿宋" w:eastAsia="仿宋" w:hAnsi="仿宋" w:cs="仿宋_GB2312"/>
          <w:color w:val="333333"/>
          <w:kern w:val="0"/>
          <w:sz w:val="32"/>
          <w:szCs w:val="32"/>
        </w:rPr>
      </w:pPr>
      <w:r>
        <w:rPr>
          <w:rFonts w:ascii="仿宋" w:eastAsia="仿宋" w:hAnsi="仿宋" w:cs="仿宋_GB2312" w:hint="eastAsia"/>
          <w:color w:val="333333"/>
          <w:kern w:val="0"/>
          <w:sz w:val="32"/>
          <w:szCs w:val="32"/>
        </w:rPr>
        <w:t>推行政府机关绩效管理制度是推进政府职能转变、提高政府执行力和公信力的重要举措，是转变机关作风、加强政府勤政廉政建设的重要抓手。近年来，团区委高度重视绩效评价工作，下一步，我们将继续加强绩效管理，争取产生更多的经济效益和更好的社会效益。</w:t>
      </w:r>
    </w:p>
    <w:p w:rsidR="008F1505" w:rsidRDefault="008F1505">
      <w:pPr>
        <w:widowControl/>
        <w:spacing w:line="600" w:lineRule="exact"/>
        <w:ind w:firstLineChars="196" w:firstLine="627"/>
        <w:jc w:val="left"/>
        <w:rPr>
          <w:rFonts w:ascii="仿宋" w:eastAsia="仿宋" w:hAnsi="仿宋" w:cs="仿宋_GB2312"/>
          <w:color w:val="333333"/>
          <w:kern w:val="0"/>
          <w:sz w:val="32"/>
          <w:szCs w:val="32"/>
        </w:rPr>
      </w:pPr>
    </w:p>
    <w:p w:rsidR="008F1505" w:rsidRDefault="008F1505">
      <w:pPr>
        <w:spacing w:line="1" w:lineRule="exact"/>
        <w:jc w:val="center"/>
        <w:rPr>
          <w:rFonts w:ascii="宋体" w:hAnsi="宋体" w:cs="宋体"/>
          <w:sz w:val="18"/>
          <w:szCs w:val="18"/>
        </w:rPr>
      </w:pPr>
    </w:p>
    <w:sectPr w:rsidR="008F1505" w:rsidSect="008F1505">
      <w:footerReference w:type="even" r:id="rId8"/>
      <w:footerReference w:type="default" r:id="rId9"/>
      <w:pgSz w:w="11906" w:h="16838"/>
      <w:pgMar w:top="1383" w:right="1701" w:bottom="127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9B" w:rsidRDefault="0092539B" w:rsidP="008F1505">
      <w:r>
        <w:separator/>
      </w:r>
    </w:p>
  </w:endnote>
  <w:endnote w:type="continuationSeparator" w:id="0">
    <w:p w:rsidR="0092539B" w:rsidRDefault="0092539B" w:rsidP="008F1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onospace">
    <w:altName w:val="Times New Roman"/>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505" w:rsidRDefault="009E3B0B">
    <w:pPr>
      <w:spacing w:line="1" w:lineRule="exact"/>
    </w:pPr>
    <w:r>
      <w:pict>
        <v:shapetype id="_x0000_t202" coordsize="21600,21600" o:spt="202" path="m,l,21600r21600,l21600,xe">
          <v:stroke joinstyle="miter"/>
          <v:path gradientshapeok="t" o:connecttype="rect"/>
        </v:shapetype>
        <v:shape id="Shape 30" o:spid="_x0000_s1027" type="#_x0000_t202" style="position:absolute;left:0;text-align:left;margin-left:79.6pt;margin-top:766.25pt;width:47.5pt;height:8.4pt;z-index:-440400896;mso-wrap-style:none;mso-position-horizontal-relative:page;mso-position-vertical-relative:page"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4wtzDYAAAADQEAAA8AAAAAAAAAAQAgAAAAIgAAAGRycy9kb3du&#10;cmV2LnhtbFBLAQIUABQAAAAIAIdO4kBhv3MujQEAACMDAAAOAAAAAAAAAAEAIAAAACcBAABkcnMv&#10;ZTJvRG9jLnhtbFBLBQYAAAAABgAGAFkBAAAmBQAAAAA=&#10;" filled="f" stroked="f">
          <v:textbox style="mso-fit-shape-to-text:t" inset="0,0,0,0">
            <w:txbxContent>
              <w:p w:rsidR="008F1505" w:rsidRDefault="000F4089">
                <w:pPr>
                  <w:pStyle w:val="Headerorfooter2"/>
                  <w:jc w:val="left"/>
                  <w:rPr>
                    <w:sz w:val="24"/>
                    <w:szCs w:val="24"/>
                  </w:rPr>
                </w:pPr>
                <w:r>
                  <w:rPr>
                    <w:rFonts w:ascii="Courier New" w:eastAsia="Courier New" w:hAnsi="Courier New" w:cs="Courier New"/>
                    <w:color w:val="000000"/>
                    <w:sz w:val="24"/>
                    <w:szCs w:val="24"/>
                    <w:lang w:val="en-US" w:eastAsia="en-US" w:bidi="en-US"/>
                  </w:rPr>
                  <w:t>—</w:t>
                </w:r>
                <w:r w:rsidR="009E3B0B" w:rsidRPr="009E3B0B">
                  <w:fldChar w:fldCharType="begin"/>
                </w:r>
                <w:r>
                  <w:instrText xml:space="preserve"> PAGE \* MERGEFORMAT </w:instrText>
                </w:r>
                <w:r w:rsidR="009E3B0B" w:rsidRPr="009E3B0B">
                  <w:fldChar w:fldCharType="separate"/>
                </w:r>
                <w:r>
                  <w:rPr>
                    <w:rFonts w:ascii="Courier New" w:eastAsia="Courier New" w:hAnsi="Courier New" w:cs="Courier New"/>
                    <w:color w:val="000000"/>
                    <w:sz w:val="24"/>
                    <w:szCs w:val="24"/>
                  </w:rPr>
                  <w:t>#</w:t>
                </w:r>
                <w:r w:rsidR="009E3B0B">
                  <w:rPr>
                    <w:rFonts w:ascii="Courier New" w:eastAsia="Courier New" w:hAnsi="Courier New" w:cs="Courier New"/>
                    <w:color w:val="000000"/>
                    <w:sz w:val="24"/>
                    <w:szCs w:val="24"/>
                  </w:rPr>
                  <w:fldChar w:fldCharType="end"/>
                </w:r>
                <w:r>
                  <w:rPr>
                    <w:rFonts w:ascii="Courier New" w:eastAsia="Courier New" w:hAnsi="Courier New" w:cs="Courier New"/>
                    <w:color w:val="000000"/>
                    <w:sz w:val="24"/>
                    <w:szCs w:val="24"/>
                    <w:lang w:val="en-US" w:eastAsia="en-US" w:bidi="en-US"/>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505" w:rsidRDefault="009E3B0B">
    <w:pPr>
      <w:spacing w:line="1" w:lineRule="exact"/>
    </w:pPr>
    <w:r w:rsidRPr="009E3B0B">
      <w:rPr>
        <w:sz w:val="24"/>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629166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F1505" w:rsidRDefault="009E3B0B">
                <w:pPr>
                  <w:pStyle w:val="a3"/>
                </w:pPr>
                <w:r>
                  <w:rPr>
                    <w:rFonts w:hint="eastAsia"/>
                  </w:rPr>
                  <w:fldChar w:fldCharType="begin"/>
                </w:r>
                <w:r w:rsidR="000F4089">
                  <w:rPr>
                    <w:rFonts w:hint="eastAsia"/>
                  </w:rPr>
                  <w:instrText xml:space="preserve"> PAGE  \* MERGEFORMAT </w:instrText>
                </w:r>
                <w:r>
                  <w:rPr>
                    <w:rFonts w:hint="eastAsia"/>
                  </w:rPr>
                  <w:fldChar w:fldCharType="separate"/>
                </w:r>
                <w:r w:rsidR="007812F6">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9B" w:rsidRDefault="0092539B" w:rsidP="008F1505">
      <w:r>
        <w:separator/>
      </w:r>
    </w:p>
  </w:footnote>
  <w:footnote w:type="continuationSeparator" w:id="0">
    <w:p w:rsidR="0092539B" w:rsidRDefault="0092539B" w:rsidP="008F1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1E7F6B"/>
    <w:multiLevelType w:val="singleLevel"/>
    <w:tmpl w:val="F51E7F6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6C81120"/>
    <w:rsid w:val="000A7C24"/>
    <w:rsid w:val="000E2572"/>
    <w:rsid w:val="000F4089"/>
    <w:rsid w:val="00175281"/>
    <w:rsid w:val="002F194E"/>
    <w:rsid w:val="0032638B"/>
    <w:rsid w:val="00394F14"/>
    <w:rsid w:val="003D14D9"/>
    <w:rsid w:val="00425D76"/>
    <w:rsid w:val="004931D1"/>
    <w:rsid w:val="004A6213"/>
    <w:rsid w:val="00520470"/>
    <w:rsid w:val="00571E6B"/>
    <w:rsid w:val="005B2E8E"/>
    <w:rsid w:val="005C3EA0"/>
    <w:rsid w:val="0062588D"/>
    <w:rsid w:val="0068178F"/>
    <w:rsid w:val="00684F93"/>
    <w:rsid w:val="006B2190"/>
    <w:rsid w:val="006E010B"/>
    <w:rsid w:val="0070013F"/>
    <w:rsid w:val="007812F6"/>
    <w:rsid w:val="00796827"/>
    <w:rsid w:val="0083523C"/>
    <w:rsid w:val="008F1505"/>
    <w:rsid w:val="0092539B"/>
    <w:rsid w:val="00976964"/>
    <w:rsid w:val="009B13AB"/>
    <w:rsid w:val="009E3B0B"/>
    <w:rsid w:val="009F58BA"/>
    <w:rsid w:val="00A750E9"/>
    <w:rsid w:val="00AE3025"/>
    <w:rsid w:val="00B05F15"/>
    <w:rsid w:val="00B97A81"/>
    <w:rsid w:val="00BB2492"/>
    <w:rsid w:val="00C9786B"/>
    <w:rsid w:val="00CA7551"/>
    <w:rsid w:val="00CC5E81"/>
    <w:rsid w:val="00CD022B"/>
    <w:rsid w:val="00CD71DD"/>
    <w:rsid w:val="00CF7D17"/>
    <w:rsid w:val="00E0404E"/>
    <w:rsid w:val="00E14384"/>
    <w:rsid w:val="00EC1026"/>
    <w:rsid w:val="00EF5AC8"/>
    <w:rsid w:val="00F36A18"/>
    <w:rsid w:val="02312FDE"/>
    <w:rsid w:val="030A3C3B"/>
    <w:rsid w:val="03737E75"/>
    <w:rsid w:val="07BF3E8E"/>
    <w:rsid w:val="0850536B"/>
    <w:rsid w:val="0C505A2A"/>
    <w:rsid w:val="0D0C314C"/>
    <w:rsid w:val="0D62788D"/>
    <w:rsid w:val="12190CA1"/>
    <w:rsid w:val="14544B19"/>
    <w:rsid w:val="15224E9F"/>
    <w:rsid w:val="1810076A"/>
    <w:rsid w:val="19FF692D"/>
    <w:rsid w:val="1CB55F50"/>
    <w:rsid w:val="1E425758"/>
    <w:rsid w:val="1F6E185C"/>
    <w:rsid w:val="1FFF65DD"/>
    <w:rsid w:val="205265F0"/>
    <w:rsid w:val="236639AE"/>
    <w:rsid w:val="23C93361"/>
    <w:rsid w:val="290A0FAD"/>
    <w:rsid w:val="2C8F18D7"/>
    <w:rsid w:val="33B015AE"/>
    <w:rsid w:val="3703625B"/>
    <w:rsid w:val="38EB31AB"/>
    <w:rsid w:val="38FD59EE"/>
    <w:rsid w:val="3BE645DA"/>
    <w:rsid w:val="3F577654"/>
    <w:rsid w:val="423B1DB6"/>
    <w:rsid w:val="4999703E"/>
    <w:rsid w:val="4D1B156D"/>
    <w:rsid w:val="4D301426"/>
    <w:rsid w:val="4D625F91"/>
    <w:rsid w:val="4D943B9D"/>
    <w:rsid w:val="51684CD7"/>
    <w:rsid w:val="527541A2"/>
    <w:rsid w:val="52E51199"/>
    <w:rsid w:val="53CE5D40"/>
    <w:rsid w:val="56C81120"/>
    <w:rsid w:val="56F073BC"/>
    <w:rsid w:val="571455BF"/>
    <w:rsid w:val="5B2D7820"/>
    <w:rsid w:val="5B8411EC"/>
    <w:rsid w:val="5B8E7E9F"/>
    <w:rsid w:val="621D04B1"/>
    <w:rsid w:val="622E7613"/>
    <w:rsid w:val="62513BD9"/>
    <w:rsid w:val="6325037A"/>
    <w:rsid w:val="688268EC"/>
    <w:rsid w:val="697C2CD5"/>
    <w:rsid w:val="6CB4144C"/>
    <w:rsid w:val="6D171BA3"/>
    <w:rsid w:val="6D851631"/>
    <w:rsid w:val="714B3830"/>
    <w:rsid w:val="753C7FA5"/>
    <w:rsid w:val="754C4B72"/>
    <w:rsid w:val="76DD63AE"/>
    <w:rsid w:val="770F50E9"/>
    <w:rsid w:val="7EAD4C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150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F1505"/>
    <w:pPr>
      <w:tabs>
        <w:tab w:val="center" w:pos="4153"/>
        <w:tab w:val="right" w:pos="8306"/>
      </w:tabs>
      <w:snapToGrid w:val="0"/>
      <w:jc w:val="left"/>
    </w:pPr>
    <w:rPr>
      <w:sz w:val="18"/>
    </w:rPr>
  </w:style>
  <w:style w:type="paragraph" w:styleId="a4">
    <w:name w:val="header"/>
    <w:basedOn w:val="a"/>
    <w:link w:val="Char"/>
    <w:qFormat/>
    <w:rsid w:val="008F1505"/>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F1505"/>
    <w:pPr>
      <w:jc w:val="left"/>
    </w:pPr>
    <w:rPr>
      <w:kern w:val="0"/>
      <w:sz w:val="24"/>
    </w:rPr>
  </w:style>
  <w:style w:type="character" w:styleId="a6">
    <w:name w:val="FollowedHyperlink"/>
    <w:basedOn w:val="a0"/>
    <w:qFormat/>
    <w:rsid w:val="008F1505"/>
    <w:rPr>
      <w:color w:val="800080"/>
      <w:u w:val="none"/>
    </w:rPr>
  </w:style>
  <w:style w:type="character" w:styleId="a7">
    <w:name w:val="Emphasis"/>
    <w:basedOn w:val="a0"/>
    <w:qFormat/>
    <w:rsid w:val="008F1505"/>
  </w:style>
  <w:style w:type="character" w:styleId="HTML">
    <w:name w:val="HTML Definition"/>
    <w:basedOn w:val="a0"/>
    <w:qFormat/>
    <w:rsid w:val="008F1505"/>
  </w:style>
  <w:style w:type="character" w:styleId="HTML0">
    <w:name w:val="HTML Typewriter"/>
    <w:basedOn w:val="a0"/>
    <w:qFormat/>
    <w:rsid w:val="008F1505"/>
    <w:rPr>
      <w:rFonts w:ascii="monospace" w:eastAsia="monospace" w:hAnsi="monospace" w:cs="monospace"/>
      <w:sz w:val="20"/>
    </w:rPr>
  </w:style>
  <w:style w:type="character" w:styleId="HTML1">
    <w:name w:val="HTML Acronym"/>
    <w:basedOn w:val="a0"/>
    <w:qFormat/>
    <w:rsid w:val="008F1505"/>
  </w:style>
  <w:style w:type="character" w:styleId="HTML2">
    <w:name w:val="HTML Variable"/>
    <w:basedOn w:val="a0"/>
    <w:qFormat/>
    <w:rsid w:val="008F1505"/>
  </w:style>
  <w:style w:type="character" w:styleId="a8">
    <w:name w:val="Hyperlink"/>
    <w:basedOn w:val="a0"/>
    <w:qFormat/>
    <w:rsid w:val="008F1505"/>
    <w:rPr>
      <w:color w:val="0000FF"/>
      <w:u w:val="none"/>
    </w:rPr>
  </w:style>
  <w:style w:type="character" w:styleId="HTML3">
    <w:name w:val="HTML Code"/>
    <w:basedOn w:val="a0"/>
    <w:qFormat/>
    <w:rsid w:val="008F1505"/>
    <w:rPr>
      <w:rFonts w:ascii="微软雅黑" w:eastAsia="微软雅黑" w:hAnsi="微软雅黑" w:cs="微软雅黑"/>
      <w:sz w:val="14"/>
      <w:szCs w:val="14"/>
    </w:rPr>
  </w:style>
  <w:style w:type="character" w:styleId="HTML4">
    <w:name w:val="HTML Cite"/>
    <w:basedOn w:val="a0"/>
    <w:qFormat/>
    <w:rsid w:val="008F1505"/>
  </w:style>
  <w:style w:type="character" w:styleId="HTML5">
    <w:name w:val="HTML Keyboard"/>
    <w:basedOn w:val="a0"/>
    <w:qFormat/>
    <w:rsid w:val="008F1505"/>
    <w:rPr>
      <w:rFonts w:ascii="monospace" w:eastAsia="monospace" w:hAnsi="monospace" w:cs="monospace" w:hint="default"/>
      <w:sz w:val="20"/>
    </w:rPr>
  </w:style>
  <w:style w:type="character" w:styleId="HTML6">
    <w:name w:val="HTML Sample"/>
    <w:basedOn w:val="a0"/>
    <w:qFormat/>
    <w:rsid w:val="008F1505"/>
    <w:rPr>
      <w:rFonts w:ascii="monospace" w:eastAsia="monospace" w:hAnsi="monospace" w:cs="monospace" w:hint="default"/>
    </w:rPr>
  </w:style>
  <w:style w:type="paragraph" w:customStyle="1" w:styleId="Bodytext1">
    <w:name w:val="Body text|1"/>
    <w:basedOn w:val="a"/>
    <w:qFormat/>
    <w:rsid w:val="008F1505"/>
    <w:pPr>
      <w:spacing w:line="408" w:lineRule="auto"/>
      <w:ind w:firstLine="400"/>
    </w:pPr>
    <w:rPr>
      <w:rFonts w:ascii="宋体" w:hAnsi="宋体" w:cs="宋体"/>
      <w:sz w:val="19"/>
      <w:szCs w:val="19"/>
      <w:lang w:val="zh-CN" w:bidi="zh-CN"/>
    </w:rPr>
  </w:style>
  <w:style w:type="paragraph" w:customStyle="1" w:styleId="Heading21">
    <w:name w:val="Heading #2|1"/>
    <w:basedOn w:val="a"/>
    <w:qFormat/>
    <w:rsid w:val="008F1505"/>
    <w:pPr>
      <w:spacing w:after="300"/>
      <w:jc w:val="center"/>
      <w:outlineLvl w:val="1"/>
    </w:pPr>
    <w:rPr>
      <w:rFonts w:ascii="宋体" w:hAnsi="宋体" w:cs="宋体"/>
      <w:sz w:val="44"/>
      <w:szCs w:val="44"/>
      <w:lang w:val="zh-CN" w:bidi="zh-CN"/>
    </w:rPr>
  </w:style>
  <w:style w:type="paragraph" w:customStyle="1" w:styleId="Bodytext3">
    <w:name w:val="Body text|3"/>
    <w:basedOn w:val="a"/>
    <w:qFormat/>
    <w:rsid w:val="008F1505"/>
    <w:pPr>
      <w:spacing w:before="220" w:after="720"/>
      <w:ind w:firstLine="520"/>
    </w:pPr>
    <w:rPr>
      <w:sz w:val="32"/>
      <w:szCs w:val="32"/>
    </w:rPr>
  </w:style>
  <w:style w:type="paragraph" w:customStyle="1" w:styleId="Other1">
    <w:name w:val="Other|1"/>
    <w:basedOn w:val="a"/>
    <w:qFormat/>
    <w:rsid w:val="008F1505"/>
    <w:pPr>
      <w:spacing w:line="302" w:lineRule="exact"/>
    </w:pPr>
    <w:rPr>
      <w:rFonts w:ascii="宋体" w:hAnsi="宋体" w:cs="宋体"/>
      <w:sz w:val="19"/>
      <w:szCs w:val="19"/>
      <w:lang w:val="zh-CN" w:bidi="zh-CN"/>
    </w:rPr>
  </w:style>
  <w:style w:type="paragraph" w:customStyle="1" w:styleId="Bodytext4">
    <w:name w:val="Body text|4"/>
    <w:basedOn w:val="a"/>
    <w:qFormat/>
    <w:rsid w:val="008F1505"/>
    <w:pPr>
      <w:spacing w:after="60"/>
      <w:ind w:firstLine="320"/>
    </w:pPr>
    <w:rPr>
      <w:rFonts w:ascii="宋体" w:hAnsi="宋体" w:cs="宋体"/>
      <w:lang w:val="zh-CN" w:bidi="zh-CN"/>
    </w:rPr>
  </w:style>
  <w:style w:type="paragraph" w:customStyle="1" w:styleId="Tablecaption1">
    <w:name w:val="Table caption|1"/>
    <w:basedOn w:val="a"/>
    <w:qFormat/>
    <w:rsid w:val="008F1505"/>
    <w:pPr>
      <w:spacing w:line="302" w:lineRule="exact"/>
      <w:jc w:val="right"/>
    </w:pPr>
    <w:rPr>
      <w:rFonts w:ascii="宋体" w:hAnsi="宋体" w:cs="宋体"/>
      <w:sz w:val="19"/>
      <w:szCs w:val="19"/>
      <w:lang w:val="zh-CN" w:bidi="zh-CN"/>
    </w:rPr>
  </w:style>
  <w:style w:type="paragraph" w:customStyle="1" w:styleId="Headerorfooter2">
    <w:name w:val="Header or footer|2"/>
    <w:basedOn w:val="a"/>
    <w:qFormat/>
    <w:rsid w:val="008F1505"/>
    <w:rPr>
      <w:sz w:val="20"/>
      <w:szCs w:val="20"/>
      <w:lang w:val="zh-CN" w:bidi="zh-CN"/>
    </w:rPr>
  </w:style>
  <w:style w:type="paragraph" w:customStyle="1" w:styleId="Bodytext2">
    <w:name w:val="Body text|2"/>
    <w:basedOn w:val="a"/>
    <w:qFormat/>
    <w:rsid w:val="008F1505"/>
    <w:pPr>
      <w:spacing w:after="470"/>
    </w:pPr>
    <w:rPr>
      <w:b/>
      <w:bCs/>
      <w:sz w:val="19"/>
      <w:szCs w:val="19"/>
      <w:lang w:val="zh-CN" w:bidi="zh-CN"/>
    </w:rPr>
  </w:style>
  <w:style w:type="character" w:customStyle="1" w:styleId="bsharetext">
    <w:name w:val="bsharetext"/>
    <w:basedOn w:val="a0"/>
    <w:qFormat/>
    <w:rsid w:val="008F1505"/>
  </w:style>
  <w:style w:type="character" w:customStyle="1" w:styleId="Char">
    <w:name w:val="页眉 Char"/>
    <w:basedOn w:val="a0"/>
    <w:link w:val="a4"/>
    <w:qFormat/>
    <w:rsid w:val="008F150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235</Words>
  <Characters>1344</Characters>
  <Application>Microsoft Office Word</Application>
  <DocSecurity>0</DocSecurity>
  <Lines>11</Lines>
  <Paragraphs>3</Paragraphs>
  <ScaleCrop>false</ScaleCrop>
  <Company>Microsoft</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30</cp:revision>
  <cp:lastPrinted>2020-05-18T02:11:00Z</cp:lastPrinted>
  <dcterms:created xsi:type="dcterms:W3CDTF">2020-05-15T02:55:00Z</dcterms:created>
  <dcterms:modified xsi:type="dcterms:W3CDTF">2021-06-04T07:51:00Z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