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spacing w:after="260"/>
        <w:rPr>
          <w:rFonts w:ascii="方正小标宋简体" w:hAnsi="方正小标宋简体" w:eastAsia="方正小标宋简体" w:cs="方正小标宋简体"/>
          <w:color w:val="000000" w:themeColor="text1"/>
          <w:lang w:val="en-US"/>
        </w:rPr>
      </w:pPr>
      <w:bookmarkStart w:id="0" w:name="bookmark88"/>
      <w:bookmarkStart w:id="1" w:name="bookmark89"/>
      <w:bookmarkStart w:id="2" w:name="bookmark90"/>
      <w:bookmarkStart w:id="3" w:name="bookmark91"/>
      <w:r>
        <w:rPr>
          <w:rFonts w:hint="eastAsia" w:ascii="方正小标宋简体" w:hAnsi="方正小标宋简体" w:eastAsia="方正小标宋简体" w:cs="方正小标宋简体"/>
          <w:color w:val="000000" w:themeColor="text1"/>
          <w:lang w:val="en-US"/>
        </w:rPr>
        <w:t>区委编办2019年部门整体支出绩效报告</w:t>
      </w:r>
      <w:bookmarkEnd w:id="0"/>
      <w:bookmarkEnd w:id="1"/>
      <w:bookmarkEnd w:id="2"/>
    </w:p>
    <w:p>
      <w:pPr>
        <w:pStyle w:val="19"/>
        <w:tabs>
          <w:tab w:val="left" w:pos="867"/>
        </w:tabs>
        <w:spacing w:line="56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w:t>
      </w:r>
      <w:bookmarkEnd w:id="3"/>
      <w:r>
        <w:rPr>
          <w:rFonts w:hint="eastAsia" w:ascii="黑体" w:hAnsi="黑体" w:eastAsia="黑体" w:cs="黑体"/>
          <w:color w:val="000000" w:themeColor="text1"/>
          <w:sz w:val="32"/>
          <w:szCs w:val="32"/>
        </w:rPr>
        <w:t>、部门概况</w:t>
      </w:r>
    </w:p>
    <w:p>
      <w:pPr>
        <w:pStyle w:val="19"/>
        <w:tabs>
          <w:tab w:val="left" w:pos="1113"/>
        </w:tabs>
        <w:spacing w:line="560" w:lineRule="exact"/>
        <w:ind w:firstLine="500"/>
        <w:rPr>
          <w:rFonts w:ascii="楷体" w:hAnsi="楷体" w:eastAsia="楷体" w:cs="楷体"/>
          <w:b/>
          <w:bCs/>
          <w:color w:val="000000" w:themeColor="text1"/>
          <w:sz w:val="32"/>
          <w:szCs w:val="32"/>
        </w:rPr>
      </w:pPr>
      <w:bookmarkStart w:id="4" w:name="bookmark92"/>
      <w:r>
        <w:rPr>
          <w:rFonts w:hint="eastAsia" w:ascii="楷体" w:hAnsi="楷体" w:eastAsia="楷体" w:cs="楷体"/>
          <w:b/>
          <w:bCs/>
          <w:color w:val="000000" w:themeColor="text1"/>
          <w:sz w:val="32"/>
          <w:szCs w:val="32"/>
        </w:rPr>
        <w:t>（</w:t>
      </w:r>
      <w:bookmarkEnd w:id="4"/>
      <w:r>
        <w:rPr>
          <w:rFonts w:hint="eastAsia" w:ascii="楷体" w:hAnsi="楷体" w:eastAsia="楷体" w:cs="楷体"/>
          <w:b/>
          <w:bCs/>
          <w:color w:val="000000" w:themeColor="text1"/>
          <w:sz w:val="32"/>
          <w:szCs w:val="32"/>
        </w:rPr>
        <w:t>一）部门基本情况</w:t>
      </w:r>
    </w:p>
    <w:p>
      <w:pPr>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1.机构设置。</w:t>
      </w:r>
      <w:r>
        <w:rPr>
          <w:rFonts w:hint="eastAsia" w:ascii="仿宋_GB2312" w:hAnsi="仿宋_GB2312" w:eastAsia="仿宋_GB2312" w:cs="仿宋_GB2312"/>
          <w:color w:val="000000" w:themeColor="text1"/>
          <w:kern w:val="0"/>
          <w:sz w:val="32"/>
          <w:szCs w:val="32"/>
        </w:rPr>
        <w:t>根据区委区政府对区委编办机构设置的规定，内设机构分别为办公室、综合业务股、事业单位登记管理股</w:t>
      </w:r>
      <w:r>
        <w:rPr>
          <w:rFonts w:hint="eastAsia" w:ascii="仿宋_GB2312" w:hAnsi="仿宋_GB2312" w:eastAsia="仿宋_GB2312" w:cs="仿宋_GB2312"/>
          <w:color w:val="000000" w:themeColor="text1"/>
          <w:sz w:val="32"/>
          <w:szCs w:val="32"/>
        </w:rPr>
        <w:t>（珠晖区事业单位登记管理局）</w:t>
      </w:r>
      <w:r>
        <w:rPr>
          <w:rFonts w:hint="eastAsia" w:ascii="仿宋_GB2312" w:hAnsi="仿宋_GB2312" w:eastAsia="仿宋_GB2312" w:cs="仿宋_GB2312"/>
          <w:color w:val="000000" w:themeColor="text1"/>
          <w:kern w:val="0"/>
          <w:sz w:val="32"/>
          <w:szCs w:val="32"/>
        </w:rPr>
        <w:t>、监督检查法规股。</w:t>
      </w:r>
      <w:r>
        <w:rPr>
          <w:rFonts w:hint="eastAsia" w:ascii="仿宋_GB2312" w:hAnsi="仿宋_GB2312" w:eastAsia="仿宋_GB2312" w:cs="仿宋_GB2312"/>
          <w:color w:val="000000" w:themeColor="text1"/>
          <w:sz w:val="32"/>
          <w:szCs w:val="32"/>
        </w:rPr>
        <w:t>共核定行政编制4名。设主任1名，副主任1名。实有3人。下设二级事业单位珠晖区机构编制事务中心，核定全额事业编制6名。设主任1名。实有4人。</w:t>
      </w:r>
    </w:p>
    <w:p>
      <w:pPr>
        <w:spacing w:line="560" w:lineRule="exact"/>
        <w:ind w:firstLine="643" w:firstLineChars="200"/>
        <w:rPr>
          <w:color w:val="000000" w:themeColor="text1"/>
        </w:rPr>
      </w:pPr>
      <w:r>
        <w:rPr>
          <w:rFonts w:hint="eastAsia" w:ascii="仿宋_GB2312" w:hAnsi="仿宋_GB2312" w:eastAsia="仿宋_GB2312" w:cs="仿宋_GB2312"/>
          <w:b/>
          <w:bCs/>
          <w:color w:val="000000" w:themeColor="text1"/>
          <w:kern w:val="0"/>
          <w:sz w:val="32"/>
          <w:szCs w:val="32"/>
        </w:rPr>
        <w:t>2.职能职责。</w:t>
      </w:r>
      <w:r>
        <w:rPr>
          <w:rFonts w:hint="eastAsia" w:ascii="仿宋_GB2312" w:hAnsi="仿宋_GB2312" w:eastAsia="仿宋_GB2312" w:cs="仿宋_GB2312"/>
          <w:color w:val="000000" w:themeColor="text1"/>
          <w:sz w:val="32"/>
          <w:szCs w:val="32"/>
        </w:rPr>
        <w:t>中共珠晖区委机构编制委员会办公室是区委的工作机关，正科级，为区委机构编制委员会的办事机构，加挂“珠晖区事业单位登记管理局”牌子，归口中共珠晖区委组织部管理。负责全区行政管理体制、机构改革和机构编制管理、事业单位登记管理、全区机关事业单位统一社会信用代码赋码工作等，发挥党的参谋助手作用。</w:t>
      </w:r>
    </w:p>
    <w:p>
      <w:pPr>
        <w:pStyle w:val="19"/>
        <w:tabs>
          <w:tab w:val="left" w:pos="1113"/>
        </w:tabs>
        <w:spacing w:line="560" w:lineRule="exact"/>
        <w:ind w:firstLine="643" w:firstLineChars="200"/>
        <w:rPr>
          <w:rFonts w:ascii="仿宋_GB2312" w:hAnsi="仿宋_GB2312" w:eastAsia="仿宋_GB2312" w:cs="仿宋_GB2312"/>
          <w:b/>
          <w:bCs/>
          <w:color w:val="000000" w:themeColor="text1"/>
          <w:kern w:val="0"/>
          <w:sz w:val="32"/>
          <w:szCs w:val="32"/>
          <w:lang w:val="en-US" w:bidi="ar-SA"/>
        </w:rPr>
      </w:pPr>
      <w:r>
        <w:rPr>
          <w:rFonts w:hint="eastAsia" w:ascii="仿宋_GB2312" w:hAnsi="仿宋_GB2312" w:eastAsia="仿宋_GB2312" w:cs="仿宋_GB2312"/>
          <w:b/>
          <w:bCs/>
          <w:color w:val="000000" w:themeColor="text1"/>
          <w:kern w:val="0"/>
          <w:sz w:val="32"/>
          <w:szCs w:val="32"/>
          <w:lang w:val="en-US" w:bidi="ar-SA"/>
        </w:rPr>
        <w:t>3.重点工作计划。</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_GB2312"/>
          <w:color w:val="000000" w:themeColor="text1"/>
          <w:kern w:val="0"/>
          <w:sz w:val="32"/>
          <w:szCs w:val="32"/>
        </w:rPr>
        <w:t>（1）</w:t>
      </w:r>
      <w:r>
        <w:rPr>
          <w:rFonts w:hint="eastAsia" w:ascii="仿宋_GB2312" w:hAnsi="仿宋_GB2312" w:eastAsia="仿宋_GB2312" w:cs="仿宋_GB2312"/>
          <w:sz w:val="32"/>
          <w:szCs w:val="32"/>
        </w:rPr>
        <w:t>调整优化了党政机构设置和职能配置，推进人大、政协机构改革和群团组织改革，深化事业单位、综合行政执法、乡镇（街道）机构改革，优化全区资源配置。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（2）已完成32家党政机构“三定规定”、人大政协“机构改革方案”、36家科级事业单位“机构编制方案”、10个乡镇街道“三定规定”。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（3）积极探索综合执法机构改革，将全区执法机构的编制和人员数锁定并上报市委编办。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（4）将296名机构改革涉改转隶人员编制全部异动到位。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（5）全年度完成控编减编工作，我区财政供养人员实有人数除市场监督管理局政策性下放116人外，其余原区属人员相对2018年底，行政编制实有人数减少39人，事业编制实有人数减少85人。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重新核定全区教职工事业编制全部核定至各个中小学，同时配合相关单位对区教育局所属事业单位进行岗位设置，妥善将局机关事业编制人员分流至事业单位。较2012年教育局机关事业编制人员净减少40名，消化了机关事业编，解决了“岗编不一致”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（7）通过干部调配、机构改革人员转隶及事业单位岗位设置等方式，我区机关事业编制人员已由2016年的183人减少至16人，减少人数达167名。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多次摸底，经提请区委常委会议、区委编委会议研究并出台解决方案，将全区部分全额事业单位中有差额和自收自支人员182人择优分批纳入全额拨款，解决了全区全额事业单位人员经费形式不一致的历史遗留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（9）在人员不突破2012年核定基数前提下，通过向市委编办努力争取，我区已获批中小学教师招聘计划60名，事业单位工作人员招聘（选调）计划70名，为全区招聘人才提供了用编保障。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将全区编制档案依据进行电子信息化收集整理归档，已完成1985年至2013年编制依据图片资料整理达9883卷；对湖南省机构编制综合管理平台的机构人员中十七项必填信息进行收录更新，完善全区在编人员统信息达2910名。</w:t>
      </w:r>
    </w:p>
    <w:p>
      <w:pPr>
        <w:spacing w:line="560" w:lineRule="exact"/>
        <w:ind w:firstLine="645"/>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（7）承办区委、区政府交办的其他事项。</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rPr>
        <w:t>二）</w:t>
      </w:r>
      <w:r>
        <w:rPr>
          <w:rFonts w:hint="eastAsia" w:ascii="楷体" w:hAnsi="楷体" w:eastAsia="楷体" w:cs="楷体"/>
          <w:b/>
          <w:bCs/>
          <w:color w:val="000000"/>
          <w:sz w:val="32"/>
          <w:szCs w:val="32"/>
        </w:rPr>
        <w:t>部门整体支出规模、使用方向和主要内容、涉及范围等。</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我单位</w:t>
      </w:r>
      <w:r>
        <w:rPr>
          <w:rFonts w:ascii="仿宋" w:hAnsi="仿宋" w:eastAsia="仿宋" w:cs="仿宋_GB2312"/>
          <w:kern w:val="0"/>
          <w:sz w:val="32"/>
          <w:szCs w:val="32"/>
        </w:rPr>
        <w:t>201</w:t>
      </w:r>
      <w:r>
        <w:rPr>
          <w:rFonts w:hint="eastAsia" w:ascii="仿宋" w:hAnsi="仿宋" w:eastAsia="仿宋" w:cs="仿宋_GB2312"/>
          <w:kern w:val="0"/>
          <w:sz w:val="32"/>
          <w:szCs w:val="32"/>
        </w:rPr>
        <w:t>9</w:t>
      </w:r>
      <w:r>
        <w:rPr>
          <w:rFonts w:ascii="仿宋" w:hAnsi="仿宋" w:eastAsia="仿宋" w:cs="仿宋_GB2312"/>
          <w:kern w:val="0"/>
          <w:sz w:val="32"/>
          <w:szCs w:val="32"/>
        </w:rPr>
        <w:t>度收入总计88.67万元，其中财政拨款收入88.67万元，占本年收入</w:t>
      </w:r>
      <w:r>
        <w:rPr>
          <w:rFonts w:hint="eastAsia" w:ascii="仿宋" w:hAnsi="仿宋" w:eastAsia="仿宋" w:cs="仿宋_GB2312"/>
          <w:kern w:val="0"/>
          <w:sz w:val="32"/>
          <w:szCs w:val="32"/>
        </w:rPr>
        <w:t>100</w:t>
      </w:r>
      <w:r>
        <w:rPr>
          <w:rFonts w:ascii="仿宋" w:hAnsi="仿宋" w:eastAsia="仿宋" w:cs="仿宋_GB2312"/>
          <w:kern w:val="0"/>
          <w:sz w:val="32"/>
          <w:szCs w:val="32"/>
        </w:rPr>
        <w:t>%；其他收入</w:t>
      </w:r>
      <w:r>
        <w:rPr>
          <w:rFonts w:hint="eastAsia" w:ascii="仿宋" w:hAnsi="仿宋" w:eastAsia="仿宋" w:cs="仿宋_GB2312"/>
          <w:kern w:val="0"/>
          <w:sz w:val="32"/>
          <w:szCs w:val="32"/>
        </w:rPr>
        <w:t>0</w:t>
      </w:r>
      <w:r>
        <w:rPr>
          <w:rFonts w:ascii="仿宋" w:hAnsi="仿宋" w:eastAsia="仿宋" w:cs="仿宋_GB2312"/>
          <w:kern w:val="0"/>
          <w:sz w:val="32"/>
          <w:szCs w:val="32"/>
        </w:rPr>
        <w:t>万元，占本年收入</w:t>
      </w:r>
      <w:r>
        <w:rPr>
          <w:rFonts w:hint="eastAsia" w:ascii="仿宋" w:hAnsi="仿宋" w:eastAsia="仿宋" w:cs="仿宋_GB2312"/>
          <w:kern w:val="0"/>
          <w:sz w:val="32"/>
          <w:szCs w:val="32"/>
        </w:rPr>
        <w:t>0</w:t>
      </w:r>
      <w:r>
        <w:rPr>
          <w:rFonts w:ascii="仿宋" w:hAnsi="仿宋" w:eastAsia="仿宋" w:cs="仿宋_GB2312"/>
          <w:kern w:val="0"/>
          <w:sz w:val="32"/>
          <w:szCs w:val="32"/>
        </w:rPr>
        <w:t>%。本年支出总计88.67万元，其中：</w:t>
      </w:r>
      <w:r>
        <w:rPr>
          <w:rFonts w:hint="eastAsia" w:ascii="仿宋" w:hAnsi="仿宋" w:eastAsia="仿宋" w:cs="仿宋_GB2312"/>
          <w:kern w:val="0"/>
          <w:sz w:val="32"/>
          <w:szCs w:val="32"/>
        </w:rPr>
        <w:t>财政拨款</w:t>
      </w:r>
      <w:r>
        <w:rPr>
          <w:rFonts w:ascii="仿宋" w:hAnsi="仿宋" w:eastAsia="仿宋" w:cs="仿宋_GB2312"/>
          <w:kern w:val="0"/>
          <w:sz w:val="32"/>
          <w:szCs w:val="32"/>
        </w:rPr>
        <w:t>支出88.67万元，占本年支出的</w:t>
      </w:r>
      <w:r>
        <w:rPr>
          <w:rFonts w:hint="eastAsia" w:ascii="仿宋" w:hAnsi="仿宋" w:eastAsia="仿宋" w:cs="仿宋_GB2312"/>
          <w:kern w:val="0"/>
          <w:sz w:val="32"/>
          <w:szCs w:val="32"/>
        </w:rPr>
        <w:t>100</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pStyle w:val="19"/>
        <w:tabs>
          <w:tab w:val="left" w:pos="867"/>
        </w:tabs>
        <w:spacing w:line="560" w:lineRule="exact"/>
        <w:rPr>
          <w:rFonts w:ascii="Calibri" w:hAnsi="Calibri" w:eastAsia="仿宋_GB2312" w:cs="Times New Roman"/>
          <w:b/>
          <w:bCs/>
          <w:sz w:val="28"/>
          <w:szCs w:val="28"/>
          <w:lang w:val="en-US" w:bidi="ar-SA"/>
        </w:rPr>
      </w:pPr>
      <w:r>
        <w:rPr>
          <w:rFonts w:hint="eastAsia" w:ascii="Calibri" w:hAnsi="Calibri" w:eastAsia="仿宋_GB2312" w:cs="Times New Roman"/>
          <w:b/>
          <w:bCs/>
          <w:sz w:val="28"/>
          <w:szCs w:val="28"/>
          <w:lang w:val="en-US" w:bidi="ar-SA"/>
        </w:rPr>
        <w:t>二、部门整体支出管理及使用情况</w:t>
      </w:r>
    </w:p>
    <w:p>
      <w:pPr>
        <w:spacing w:line="560" w:lineRule="exact"/>
        <w:ind w:firstLine="645"/>
        <w:rPr>
          <w:rFonts w:eastAsia="仿宋_GB2312"/>
          <w:b/>
          <w:bCs/>
          <w:sz w:val="28"/>
          <w:szCs w:val="28"/>
        </w:rPr>
      </w:pPr>
      <w:r>
        <w:rPr>
          <w:rFonts w:hint="eastAsia" w:eastAsia="仿宋_GB2312"/>
          <w:b/>
          <w:bCs/>
          <w:sz w:val="28"/>
          <w:szCs w:val="28"/>
        </w:rPr>
        <w:t>（一）基本支出</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主要是工资福利支出、对个人家庭的补助、商品和服务支出中公用经费支出。</w:t>
      </w:r>
      <w:r>
        <w:rPr>
          <w:rFonts w:ascii="仿宋" w:hAnsi="仿宋" w:eastAsia="仿宋" w:cs="仿宋_GB2312"/>
          <w:kern w:val="0"/>
          <w:sz w:val="32"/>
          <w:szCs w:val="32"/>
        </w:rPr>
        <w:t>201</w:t>
      </w:r>
      <w:r>
        <w:rPr>
          <w:rFonts w:hint="eastAsia" w:ascii="仿宋" w:hAnsi="仿宋" w:eastAsia="仿宋" w:cs="仿宋_GB2312"/>
          <w:kern w:val="0"/>
          <w:sz w:val="32"/>
          <w:szCs w:val="32"/>
        </w:rPr>
        <w:t>9</w:t>
      </w:r>
      <w:r>
        <w:rPr>
          <w:rFonts w:ascii="仿宋" w:hAnsi="仿宋" w:eastAsia="仿宋" w:cs="仿宋_GB2312"/>
          <w:kern w:val="0"/>
          <w:sz w:val="32"/>
          <w:szCs w:val="32"/>
        </w:rPr>
        <w:t>年度基本支出72.67万元，其中人员经费支出</w:t>
      </w:r>
      <w:r>
        <w:rPr>
          <w:rFonts w:hint="eastAsia" w:ascii="仿宋" w:hAnsi="仿宋" w:eastAsia="仿宋" w:cs="仿宋_GB2312"/>
          <w:kern w:val="0"/>
          <w:sz w:val="32"/>
          <w:szCs w:val="32"/>
        </w:rPr>
        <w:t>69.07</w:t>
      </w:r>
      <w:r>
        <w:rPr>
          <w:rFonts w:ascii="仿宋" w:hAnsi="仿宋" w:eastAsia="仿宋" w:cs="仿宋_GB2312"/>
          <w:kern w:val="0"/>
          <w:sz w:val="32"/>
          <w:szCs w:val="32"/>
        </w:rPr>
        <w:t>万元，用于基本工资、津补贴、考核绩效工资、奖金发放、社会保障缴费、职业年金缴费等支出；公用支出</w:t>
      </w:r>
      <w:r>
        <w:rPr>
          <w:rFonts w:hint="eastAsia" w:ascii="仿宋" w:hAnsi="仿宋" w:eastAsia="仿宋" w:cs="仿宋_GB2312"/>
          <w:kern w:val="0"/>
          <w:sz w:val="32"/>
          <w:szCs w:val="32"/>
        </w:rPr>
        <w:t>3.6</w:t>
      </w:r>
      <w:r>
        <w:rPr>
          <w:rFonts w:ascii="仿宋" w:hAnsi="仿宋" w:eastAsia="仿宋" w:cs="仿宋_GB2312"/>
          <w:kern w:val="0"/>
          <w:sz w:val="32"/>
          <w:szCs w:val="32"/>
        </w:rPr>
        <w:t>万元，主要用于办公费、工会经费</w:t>
      </w:r>
      <w:r>
        <w:rPr>
          <w:rFonts w:hint="eastAsia" w:ascii="仿宋" w:hAnsi="仿宋" w:eastAsia="仿宋" w:cs="仿宋_GB2312"/>
          <w:kern w:val="0"/>
          <w:sz w:val="32"/>
          <w:szCs w:val="32"/>
        </w:rPr>
        <w:t>、水、电费、维（护）费、办公设备购置</w:t>
      </w:r>
      <w:r>
        <w:rPr>
          <w:rFonts w:ascii="仿宋" w:hAnsi="仿宋" w:eastAsia="仿宋" w:cs="仿宋_GB2312"/>
          <w:kern w:val="0"/>
          <w:sz w:val="32"/>
          <w:szCs w:val="32"/>
        </w:rPr>
        <w:t>等</w:t>
      </w:r>
      <w:r>
        <w:rPr>
          <w:rFonts w:hint="eastAsia" w:ascii="仿宋" w:hAnsi="仿宋" w:eastAsia="仿宋" w:cs="仿宋_GB2312"/>
          <w:kern w:val="0"/>
          <w:sz w:val="32"/>
          <w:szCs w:val="32"/>
        </w:rPr>
        <w:t>日常</w:t>
      </w:r>
      <w:r>
        <w:rPr>
          <w:rFonts w:ascii="仿宋" w:hAnsi="仿宋" w:eastAsia="仿宋" w:cs="仿宋_GB2312"/>
          <w:kern w:val="0"/>
          <w:sz w:val="32"/>
          <w:szCs w:val="32"/>
        </w:rPr>
        <w:t>方面支出；</w:t>
      </w:r>
      <w:r>
        <w:rPr>
          <w:rFonts w:hint="eastAsia" w:ascii="仿宋" w:hAnsi="仿宋" w:eastAsia="仿宋" w:cs="仿宋_GB2312"/>
          <w:kern w:val="0"/>
          <w:sz w:val="32"/>
          <w:szCs w:val="32"/>
        </w:rPr>
        <w:t>。</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“三公”经费支出为公务接待费1.1万元</w:t>
      </w:r>
      <w:r>
        <w:rPr>
          <w:rFonts w:hint="eastAsia" w:ascii="仿宋" w:hAnsi="仿宋" w:eastAsia="仿宋" w:cs="仿宋_GB2312"/>
          <w:kern w:val="0"/>
          <w:sz w:val="32"/>
          <w:szCs w:val="32"/>
          <w:lang w:eastAsia="zh-CN"/>
        </w:rPr>
        <w:t>，实际支出为</w:t>
      </w:r>
      <w:r>
        <w:rPr>
          <w:rFonts w:hint="eastAsia" w:ascii="仿宋" w:hAnsi="仿宋" w:eastAsia="仿宋" w:cs="仿宋_GB2312"/>
          <w:kern w:val="0"/>
          <w:sz w:val="32"/>
          <w:szCs w:val="32"/>
          <w:lang w:val="en-US" w:eastAsia="zh-CN"/>
        </w:rPr>
        <w:t>0元</w:t>
      </w:r>
      <w:r>
        <w:rPr>
          <w:rFonts w:hint="eastAsia" w:ascii="仿宋" w:hAnsi="仿宋" w:eastAsia="仿宋" w:cs="仿宋_GB2312"/>
          <w:kern w:val="0"/>
          <w:sz w:val="32"/>
          <w:szCs w:val="32"/>
        </w:rPr>
        <w:t>。</w:t>
      </w:r>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（二）项目支出</w:t>
      </w:r>
    </w:p>
    <w:p>
      <w:pPr>
        <w:widowControl/>
        <w:spacing w:line="560" w:lineRule="exact"/>
        <w:ind w:firstLine="627" w:firstLineChars="196"/>
        <w:jc w:val="left"/>
        <w:rPr>
          <w:rFonts w:ascii="仿宋" w:hAnsi="仿宋" w:eastAsia="仿宋" w:cs="仿宋_GB2312"/>
          <w:kern w:val="0"/>
          <w:sz w:val="32"/>
          <w:szCs w:val="32"/>
        </w:rPr>
      </w:pPr>
      <w:r>
        <w:rPr>
          <w:rFonts w:ascii="仿宋" w:hAnsi="仿宋" w:eastAsia="仿宋" w:cs="仿宋_GB2312"/>
          <w:kern w:val="0"/>
          <w:sz w:val="32"/>
          <w:szCs w:val="32"/>
        </w:rPr>
        <w:t>201</w:t>
      </w:r>
      <w:r>
        <w:rPr>
          <w:rFonts w:hint="eastAsia" w:ascii="仿宋" w:hAnsi="仿宋" w:eastAsia="仿宋" w:cs="仿宋_GB2312"/>
          <w:kern w:val="0"/>
          <w:sz w:val="32"/>
          <w:szCs w:val="32"/>
        </w:rPr>
        <w:t>9</w:t>
      </w:r>
      <w:r>
        <w:rPr>
          <w:rFonts w:ascii="仿宋" w:hAnsi="仿宋" w:eastAsia="仿宋" w:cs="仿宋_GB2312"/>
          <w:kern w:val="0"/>
          <w:sz w:val="32"/>
          <w:szCs w:val="32"/>
        </w:rPr>
        <w:t>年度</w:t>
      </w:r>
      <w:r>
        <w:rPr>
          <w:rFonts w:hint="eastAsia" w:ascii="仿宋" w:hAnsi="仿宋" w:eastAsia="仿宋" w:cs="仿宋_GB2312"/>
          <w:kern w:val="0"/>
          <w:sz w:val="32"/>
          <w:szCs w:val="32"/>
        </w:rPr>
        <w:t>项目</w:t>
      </w:r>
      <w:r>
        <w:rPr>
          <w:rFonts w:ascii="仿宋" w:hAnsi="仿宋" w:eastAsia="仿宋" w:cs="仿宋_GB2312"/>
          <w:kern w:val="0"/>
          <w:sz w:val="32"/>
          <w:szCs w:val="32"/>
        </w:rPr>
        <w:t>支出</w:t>
      </w:r>
      <w:r>
        <w:rPr>
          <w:rFonts w:hint="eastAsia" w:ascii="仿宋" w:hAnsi="仿宋" w:eastAsia="仿宋" w:cs="仿宋_GB2312"/>
          <w:kern w:val="0"/>
          <w:sz w:val="32"/>
          <w:szCs w:val="32"/>
        </w:rPr>
        <w:t>16</w:t>
      </w:r>
      <w:r>
        <w:rPr>
          <w:rFonts w:ascii="仿宋" w:hAnsi="仿宋" w:eastAsia="仿宋" w:cs="仿宋_GB2312"/>
          <w:kern w:val="0"/>
          <w:sz w:val="32"/>
          <w:szCs w:val="32"/>
        </w:rPr>
        <w:t>万元</w:t>
      </w:r>
      <w:r>
        <w:rPr>
          <w:rFonts w:hint="eastAsia" w:ascii="仿宋" w:hAnsi="仿宋" w:eastAsia="仿宋" w:cs="仿宋_GB2312"/>
          <w:kern w:val="0"/>
          <w:sz w:val="32"/>
          <w:szCs w:val="32"/>
        </w:rPr>
        <w:t>，其中专项工作经费，资金总额3.5万元，全区行政事业单位中文域名网域维护和注册费，资金总额9.5万元；事业单位登记管理局业务费，资金总额2万元；</w:t>
      </w:r>
      <w:r>
        <w:rPr>
          <w:rFonts w:ascii="仿宋" w:hAnsi="仿宋" w:eastAsia="仿宋" w:cs="仿宋_GB2312"/>
          <w:kern w:val="0"/>
          <w:sz w:val="32"/>
          <w:szCs w:val="32"/>
        </w:rPr>
        <w:t>机构编制综合管理平台政务外网维护费1万元</w:t>
      </w:r>
      <w:r>
        <w:rPr>
          <w:rFonts w:hint="eastAsia" w:ascii="仿宋" w:hAnsi="仿宋" w:eastAsia="仿宋" w:cs="仿宋_GB2312"/>
          <w:kern w:val="0"/>
          <w:sz w:val="32"/>
          <w:szCs w:val="32"/>
        </w:rPr>
        <w:t>。</w:t>
      </w:r>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三、部门项目组织实施情况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区委</w:t>
      </w:r>
      <w:r>
        <w:rPr>
          <w:rFonts w:hint="eastAsia" w:ascii="仿宋" w:hAnsi="仿宋" w:eastAsia="仿宋" w:cs="仿宋_GB2312"/>
          <w:kern w:val="0"/>
          <w:sz w:val="32"/>
          <w:szCs w:val="32"/>
          <w:lang w:eastAsia="zh-CN"/>
        </w:rPr>
        <w:t>编办</w:t>
      </w:r>
      <w:r>
        <w:rPr>
          <w:rFonts w:hint="eastAsia" w:ascii="仿宋" w:hAnsi="仿宋" w:eastAsia="仿宋" w:cs="仿宋_GB2312"/>
          <w:kern w:val="0"/>
          <w:sz w:val="32"/>
          <w:szCs w:val="32"/>
        </w:rPr>
        <w:t>无建设性项目支出</w:t>
      </w:r>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四、资产管理情况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国有资产占用使用及新增资产配置情况：截至 2019年 12 月底，国有资产12.28万，为通用设备及办公桌椅等设施。</w:t>
      </w:r>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五、部门整体支出绩效情况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1.执行了预算政策要求。工作经费安排严格按照年初预算来执行，有效防止了超预算；认真学习财经法规，严格执行财经纪律，防止了违法违纪行为的发生。</w:t>
      </w:r>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六、存在的主要问题</w:t>
      </w:r>
    </w:p>
    <w:p>
      <w:pPr>
        <w:widowControl/>
        <w:spacing w:line="560" w:lineRule="exact"/>
        <w:ind w:firstLine="627" w:firstLineChars="196"/>
        <w:jc w:val="left"/>
        <w:rPr>
          <w:rFonts w:ascii="仿宋" w:hAnsi="仿宋" w:eastAsia="仿宋" w:cs="仿宋_GB2312"/>
          <w:kern w:val="0"/>
          <w:sz w:val="32"/>
          <w:szCs w:val="32"/>
        </w:rPr>
      </w:pPr>
      <w:r>
        <w:rPr>
          <w:rFonts w:ascii="仿宋" w:hAnsi="仿宋" w:eastAsia="仿宋" w:cs="仿宋_GB2312"/>
          <w:kern w:val="0"/>
          <w:sz w:val="32"/>
          <w:szCs w:val="32"/>
        </w:rPr>
        <w:t>年初预算编制不够精细。预算编制不够明确和细化，预算编制的合理性需要提高。</w:t>
      </w:r>
      <w:bookmarkStart w:id="5" w:name="_GoBack"/>
      <w:bookmarkEnd w:id="5"/>
    </w:p>
    <w:p>
      <w:pPr>
        <w:widowControl/>
        <w:spacing w:line="560" w:lineRule="exact"/>
        <w:ind w:firstLine="551" w:firstLineChars="196"/>
        <w:jc w:val="left"/>
        <w:rPr>
          <w:rFonts w:eastAsia="仿宋_GB2312"/>
          <w:b/>
          <w:bCs/>
          <w:sz w:val="28"/>
          <w:szCs w:val="28"/>
        </w:rPr>
      </w:pPr>
      <w:r>
        <w:rPr>
          <w:rFonts w:hint="eastAsia" w:eastAsia="仿宋_GB2312"/>
          <w:b/>
          <w:bCs/>
          <w:sz w:val="28"/>
          <w:szCs w:val="28"/>
        </w:rPr>
        <w:t>七、改进措施和有关建议</w:t>
      </w:r>
    </w:p>
    <w:p>
      <w:pPr>
        <w:widowControl/>
        <w:spacing w:line="560" w:lineRule="exact"/>
        <w:ind w:firstLine="627" w:firstLineChars="196"/>
        <w:jc w:val="left"/>
        <w:rPr>
          <w:rFonts w:ascii="仿宋" w:hAnsi="仿宋" w:eastAsia="仿宋" w:cs="仿宋_GB2312"/>
          <w:color w:val="333333"/>
          <w:kern w:val="0"/>
          <w:sz w:val="32"/>
          <w:szCs w:val="32"/>
        </w:rPr>
      </w:pPr>
      <w:r>
        <w:rPr>
          <w:rFonts w:hint="eastAsia" w:ascii="仿宋" w:hAnsi="仿宋" w:eastAsia="仿宋" w:cs="仿宋_GB2312"/>
          <w:kern w:val="0"/>
          <w:sz w:val="32"/>
          <w:szCs w:val="32"/>
        </w:rPr>
        <w:t>推行政府机关绩效管理制度是推进政府职能转变、提高政府执行力和公信力的重要举措，是转变机关作风、加强政府勤政廉政建设的重要抓手。</w:t>
      </w:r>
    </w:p>
    <w:p>
      <w:pPr>
        <w:spacing w:line="560"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path/>
          <v:fill on="f" focussize="0,0"/>
          <v:stroke on="f" joinstyle="miter"/>
          <v:imagedata o:title=""/>
          <o:lock v:ext="edit"/>
          <v:textbox inset="0mm,0mm,0mm,0mm" style="mso-fit-shape-to-text:t;">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22119"/>
    <w:rsid w:val="000E2572"/>
    <w:rsid w:val="001E6A76"/>
    <w:rsid w:val="00255182"/>
    <w:rsid w:val="00277548"/>
    <w:rsid w:val="0028176B"/>
    <w:rsid w:val="00353E5C"/>
    <w:rsid w:val="00364891"/>
    <w:rsid w:val="003825D1"/>
    <w:rsid w:val="00394F14"/>
    <w:rsid w:val="003D14D9"/>
    <w:rsid w:val="00425D76"/>
    <w:rsid w:val="0044465F"/>
    <w:rsid w:val="004A5F1B"/>
    <w:rsid w:val="004A6213"/>
    <w:rsid w:val="00520470"/>
    <w:rsid w:val="00533052"/>
    <w:rsid w:val="00571E6B"/>
    <w:rsid w:val="005B2E8E"/>
    <w:rsid w:val="005D6012"/>
    <w:rsid w:val="00675FD5"/>
    <w:rsid w:val="0068178F"/>
    <w:rsid w:val="00684F93"/>
    <w:rsid w:val="006B2190"/>
    <w:rsid w:val="006D204B"/>
    <w:rsid w:val="0070013F"/>
    <w:rsid w:val="00796827"/>
    <w:rsid w:val="007A3F41"/>
    <w:rsid w:val="008323EB"/>
    <w:rsid w:val="00850A55"/>
    <w:rsid w:val="0091667B"/>
    <w:rsid w:val="00976964"/>
    <w:rsid w:val="009B13AB"/>
    <w:rsid w:val="009F58BA"/>
    <w:rsid w:val="00A750E9"/>
    <w:rsid w:val="00AE1CA9"/>
    <w:rsid w:val="00AE3025"/>
    <w:rsid w:val="00AF7D01"/>
    <w:rsid w:val="00B34AD4"/>
    <w:rsid w:val="00B97A81"/>
    <w:rsid w:val="00BB2492"/>
    <w:rsid w:val="00C40844"/>
    <w:rsid w:val="00C9786B"/>
    <w:rsid w:val="00CA7551"/>
    <w:rsid w:val="00CC5E81"/>
    <w:rsid w:val="00CD022B"/>
    <w:rsid w:val="00CD71DD"/>
    <w:rsid w:val="00CF7D17"/>
    <w:rsid w:val="00E14384"/>
    <w:rsid w:val="00E92E27"/>
    <w:rsid w:val="00EC1026"/>
    <w:rsid w:val="00EF5AC8"/>
    <w:rsid w:val="00F36A18"/>
    <w:rsid w:val="00FB1121"/>
    <w:rsid w:val="02312FDE"/>
    <w:rsid w:val="030A3C3B"/>
    <w:rsid w:val="03737E75"/>
    <w:rsid w:val="04B87276"/>
    <w:rsid w:val="04E06069"/>
    <w:rsid w:val="07BF3E8E"/>
    <w:rsid w:val="0850536B"/>
    <w:rsid w:val="0C505A2A"/>
    <w:rsid w:val="0C9216F5"/>
    <w:rsid w:val="0CA21281"/>
    <w:rsid w:val="0D0C314C"/>
    <w:rsid w:val="0D62788D"/>
    <w:rsid w:val="12190CA1"/>
    <w:rsid w:val="121F4CD5"/>
    <w:rsid w:val="14544B19"/>
    <w:rsid w:val="15224E9F"/>
    <w:rsid w:val="15532E0B"/>
    <w:rsid w:val="171836AF"/>
    <w:rsid w:val="1810076A"/>
    <w:rsid w:val="19FF692D"/>
    <w:rsid w:val="1B987654"/>
    <w:rsid w:val="1CB55F50"/>
    <w:rsid w:val="1D6750ED"/>
    <w:rsid w:val="1DD94C26"/>
    <w:rsid w:val="1E425758"/>
    <w:rsid w:val="1F6E185C"/>
    <w:rsid w:val="1F772D76"/>
    <w:rsid w:val="1FFF65DD"/>
    <w:rsid w:val="203A3003"/>
    <w:rsid w:val="205265F0"/>
    <w:rsid w:val="20F86062"/>
    <w:rsid w:val="22DC6AEB"/>
    <w:rsid w:val="236639AE"/>
    <w:rsid w:val="23C93361"/>
    <w:rsid w:val="2628493F"/>
    <w:rsid w:val="290A0FAD"/>
    <w:rsid w:val="2C8F18D7"/>
    <w:rsid w:val="33B015AE"/>
    <w:rsid w:val="3703625B"/>
    <w:rsid w:val="38EB31AB"/>
    <w:rsid w:val="38FD59EE"/>
    <w:rsid w:val="3B1A6738"/>
    <w:rsid w:val="3B4B5943"/>
    <w:rsid w:val="3BE645DA"/>
    <w:rsid w:val="3C9C0270"/>
    <w:rsid w:val="3CD23BC8"/>
    <w:rsid w:val="3F577654"/>
    <w:rsid w:val="414A22A2"/>
    <w:rsid w:val="423B1DB6"/>
    <w:rsid w:val="43053055"/>
    <w:rsid w:val="470431D8"/>
    <w:rsid w:val="48560B4E"/>
    <w:rsid w:val="4999703E"/>
    <w:rsid w:val="4AF83934"/>
    <w:rsid w:val="4D1B156D"/>
    <w:rsid w:val="4D301426"/>
    <w:rsid w:val="4D4D6160"/>
    <w:rsid w:val="4D625F91"/>
    <w:rsid w:val="4D943B9D"/>
    <w:rsid w:val="51684CD7"/>
    <w:rsid w:val="527541A2"/>
    <w:rsid w:val="52E51199"/>
    <w:rsid w:val="53CE5D40"/>
    <w:rsid w:val="543732AE"/>
    <w:rsid w:val="54860AF5"/>
    <w:rsid w:val="55CE757F"/>
    <w:rsid w:val="56C81120"/>
    <w:rsid w:val="56F073BC"/>
    <w:rsid w:val="571455BF"/>
    <w:rsid w:val="5B2D7820"/>
    <w:rsid w:val="5B8411EC"/>
    <w:rsid w:val="5B8E7E9F"/>
    <w:rsid w:val="5B910F82"/>
    <w:rsid w:val="5EDF3FD6"/>
    <w:rsid w:val="60E50CA3"/>
    <w:rsid w:val="616014D9"/>
    <w:rsid w:val="621D04B1"/>
    <w:rsid w:val="622E7613"/>
    <w:rsid w:val="62513BD9"/>
    <w:rsid w:val="6325037A"/>
    <w:rsid w:val="67070F80"/>
    <w:rsid w:val="68446E9F"/>
    <w:rsid w:val="688268EC"/>
    <w:rsid w:val="693C4DCD"/>
    <w:rsid w:val="69411140"/>
    <w:rsid w:val="6948031C"/>
    <w:rsid w:val="697C2CD5"/>
    <w:rsid w:val="6CB4144C"/>
    <w:rsid w:val="6D171BA3"/>
    <w:rsid w:val="6D6C1206"/>
    <w:rsid w:val="6D851631"/>
    <w:rsid w:val="714B3830"/>
    <w:rsid w:val="71FF272F"/>
    <w:rsid w:val="720D0C09"/>
    <w:rsid w:val="753C7FA5"/>
    <w:rsid w:val="754C4B72"/>
    <w:rsid w:val="75702B23"/>
    <w:rsid w:val="76DD63AE"/>
    <w:rsid w:val="770F50E9"/>
    <w:rsid w:val="7EAD4C52"/>
    <w:rsid w:val="7F3C4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Char"/>
    <w:basedOn w:val="6"/>
    <w:link w:val="3"/>
    <w:qFormat/>
    <w:uiPriority w:val="0"/>
    <w:rPr>
      <w:rFonts w:ascii="Calibri" w:hAnsi="Calibri"/>
      <w:kern w:val="2"/>
      <w:sz w:val="18"/>
      <w:szCs w:val="18"/>
    </w:rPr>
  </w:style>
  <w:style w:type="character" w:customStyle="1" w:styleId="29">
    <w:name w:val="hover4"/>
    <w:basedOn w:val="6"/>
    <w:qFormat/>
    <w:uiPriority w:val="0"/>
  </w:style>
  <w:style w:type="character" w:customStyle="1" w:styleId="30">
    <w:name w:val="hover5"/>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285</Words>
  <Characters>1627</Characters>
  <Lines>13</Lines>
  <Paragraphs>3</Paragraphs>
  <TotalTime>0</TotalTime>
  <ScaleCrop>false</ScaleCrop>
  <LinksUpToDate>false</LinksUpToDate>
  <CharactersWithSpaces>1909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wu爱ling</cp:lastModifiedBy>
  <cp:lastPrinted>2020-05-18T02:11:00Z</cp:lastPrinted>
  <dcterms:modified xsi:type="dcterms:W3CDTF">2021-06-04T11:35:14Z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2E56A4A9CF124F499BA7706653D77C6E</vt:lpwstr>
  </property>
</Properties>
</file>