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rPr>
          <w:color w:val="000000"/>
          <w:sz w:val="32"/>
          <w:szCs w:val="32"/>
          <w:lang w:val="en-US"/>
        </w:rPr>
      </w:pPr>
      <w:bookmarkStart w:id="0" w:name="bookmark90"/>
      <w:bookmarkStart w:id="1" w:name="bookmark89"/>
      <w:bookmarkStart w:id="2" w:name="bookmark88"/>
      <w:bookmarkStart w:id="14" w:name="_GoBack"/>
      <w:bookmarkEnd w:id="14"/>
      <w:r>
        <w:rPr>
          <w:rFonts w:hint="eastAsia"/>
          <w:color w:val="000000"/>
          <w:sz w:val="32"/>
          <w:szCs w:val="32"/>
          <w:lang w:val="en-US"/>
        </w:rPr>
        <w:t>珠晖区人力资源服务中心2019年部门整体支出绩效报告</w:t>
      </w:r>
      <w:bookmarkEnd w:id="0"/>
      <w:bookmarkEnd w:id="1"/>
      <w:bookmarkEnd w:id="2"/>
    </w:p>
    <w:p>
      <w:pPr>
        <w:pStyle w:val="18"/>
        <w:tabs>
          <w:tab w:val="left" w:pos="867"/>
        </w:tabs>
        <w:spacing w:line="360" w:lineRule="auto"/>
        <w:rPr>
          <w:sz w:val="28"/>
          <w:szCs w:val="28"/>
        </w:rPr>
      </w:pPr>
      <w:bookmarkStart w:id="3" w:name="bookmark91"/>
      <w:r>
        <w:rPr>
          <w:rFonts w:hint="eastAsia"/>
          <w:color w:val="000000"/>
          <w:sz w:val="28"/>
          <w:szCs w:val="28"/>
        </w:rPr>
        <w:t>一</w:t>
      </w:r>
      <w:bookmarkEnd w:id="3"/>
      <w:r>
        <w:rPr>
          <w:rFonts w:hint="eastAsia"/>
          <w:color w:val="000000"/>
          <w:sz w:val="28"/>
          <w:szCs w:val="28"/>
        </w:rPr>
        <w:t>、部门概况</w:t>
      </w:r>
    </w:p>
    <w:p>
      <w:pPr>
        <w:pStyle w:val="18"/>
        <w:tabs>
          <w:tab w:val="left" w:pos="1113"/>
        </w:tabs>
        <w:spacing w:line="360" w:lineRule="auto"/>
        <w:ind w:firstLine="500"/>
        <w:rPr>
          <w:color w:val="000000"/>
          <w:sz w:val="28"/>
          <w:szCs w:val="28"/>
        </w:rPr>
      </w:pPr>
      <w:bookmarkStart w:id="4" w:name="bookmark92"/>
      <w:r>
        <w:rPr>
          <w:rFonts w:hint="eastAsia"/>
          <w:color w:val="000000"/>
          <w:sz w:val="28"/>
          <w:szCs w:val="28"/>
        </w:rPr>
        <w:t>（</w:t>
      </w:r>
      <w:bookmarkEnd w:id="4"/>
      <w:r>
        <w:rPr>
          <w:rFonts w:hint="eastAsia"/>
          <w:color w:val="000000"/>
          <w:sz w:val="28"/>
          <w:szCs w:val="28"/>
        </w:rPr>
        <w:t>一）部门基本情况</w:t>
      </w:r>
    </w:p>
    <w:p>
      <w:pPr>
        <w:ind w:firstLine="560" w:firstLineChars="200"/>
        <w:jc w:val="left"/>
        <w:rPr>
          <w:rFonts w:ascii="宋体" w:hAnsi="宋体" w:cs="宋体"/>
          <w:color w:val="000000"/>
          <w:sz w:val="28"/>
          <w:szCs w:val="28"/>
          <w:lang w:val="zh-CN" w:bidi="zh-CN"/>
        </w:rPr>
      </w:pPr>
      <w:r>
        <w:rPr>
          <w:rFonts w:hint="eastAsia" w:ascii="宋体" w:hAnsi="宋体" w:cs="宋体"/>
          <w:color w:val="000000"/>
          <w:sz w:val="28"/>
          <w:szCs w:val="28"/>
          <w:lang w:val="zh-CN" w:bidi="zh-CN"/>
        </w:rPr>
        <w:t>珠晖区人力资源服务中心有编制数7人，2019年末实际在职人数4人。</w:t>
      </w:r>
      <w:r>
        <w:rPr>
          <w:rFonts w:ascii="宋体" w:hAnsi="宋体" w:cs="宋体"/>
          <w:color w:val="000000"/>
          <w:sz w:val="28"/>
          <w:szCs w:val="28"/>
          <w:lang w:val="zh-CN" w:bidi="zh-CN"/>
        </w:rPr>
        <w:t>珠晖区人力资源服务中心是隶属于人力资源和社会保障局的事业单位，承担</w:t>
      </w:r>
      <w:r>
        <w:rPr>
          <w:rFonts w:hint="eastAsia" w:ascii="宋体" w:hAnsi="宋体" w:cs="宋体"/>
          <w:color w:val="000000"/>
          <w:sz w:val="28"/>
          <w:szCs w:val="28"/>
          <w:lang w:val="zh-CN" w:bidi="zh-CN"/>
        </w:rPr>
        <w:t>珠晖区</w:t>
      </w:r>
      <w:r>
        <w:rPr>
          <w:rFonts w:ascii="宋体" w:hAnsi="宋体" w:cs="宋体"/>
          <w:color w:val="000000"/>
          <w:sz w:val="28"/>
          <w:szCs w:val="28"/>
          <w:lang w:val="zh-CN" w:bidi="zh-CN"/>
        </w:rPr>
        <w:t>人力资源和社会保障局授权委托的指导开展</w:t>
      </w:r>
      <w:r>
        <w:rPr>
          <w:rFonts w:hint="eastAsia" w:ascii="宋体" w:hAnsi="宋体" w:cs="宋体"/>
          <w:color w:val="000000"/>
          <w:sz w:val="28"/>
          <w:szCs w:val="28"/>
          <w:lang w:val="zh-CN" w:bidi="zh-CN"/>
        </w:rPr>
        <w:t>全区人力资源引进和交流工作</w:t>
      </w:r>
      <w:r>
        <w:rPr>
          <w:rFonts w:ascii="宋体" w:hAnsi="宋体" w:cs="宋体"/>
          <w:color w:val="000000"/>
          <w:sz w:val="28"/>
          <w:szCs w:val="28"/>
          <w:lang w:val="zh-CN" w:bidi="zh-CN"/>
        </w:rPr>
        <w:t>。</w:t>
      </w:r>
      <w:r>
        <w:rPr>
          <w:rFonts w:hint="eastAsia" w:ascii="宋体" w:hAnsi="宋体" w:cs="宋体"/>
          <w:color w:val="000000"/>
          <w:sz w:val="28"/>
          <w:szCs w:val="28"/>
          <w:lang w:val="zh-CN" w:bidi="zh-CN"/>
        </w:rPr>
        <w:t>主要职能：</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1、宣传、贯彻执行党和国家有关人力资源服务工作的方针、政策、法律、法规。</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2、拟定全县人力资源服务工作规划并组织实施；管理、监督、指导全县人力资源开发服务与人力资源市场建设工作。</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3、负责全县人力资源引进和交流工作；组织实施全县专业技术骨干人才出国（境）和国外机构在全县招聘专业技能骨干人才的管理工作；开展国际人才交流与合作。</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4、负责全县劳动用工管理，指导并组织剩余劳动力跨地区流动，组织劳务交流，开展劳务输出。</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5、负责人事代理、人事档案管理工作；按照有关规定办理全县事业编制新进人员的聘用手续。</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6、负责收集全县人力资源和公共就业信息，建立和完善全县人力资源信息库；收集、发布用工和求职信息，为用工单位和求职者提供招聘和就业服务。</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7、负责组织和管理人力资源业务范围内的培训工作，开展人才测评服务。</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8、承办上级主管部门交办的其他事项。</w:t>
      </w:r>
    </w:p>
    <w:p>
      <w:pPr>
        <w:pStyle w:val="18"/>
        <w:tabs>
          <w:tab w:val="left" w:pos="1113"/>
        </w:tabs>
        <w:spacing w:line="360" w:lineRule="auto"/>
        <w:ind w:firstLine="500"/>
        <w:rPr>
          <w:color w:val="000000"/>
          <w:sz w:val="28"/>
          <w:szCs w:val="28"/>
          <w:lang w:val="en-US"/>
        </w:rPr>
      </w:pPr>
    </w:p>
    <w:p>
      <w:pPr>
        <w:pStyle w:val="18"/>
        <w:tabs>
          <w:tab w:val="left" w:pos="1101"/>
        </w:tabs>
        <w:spacing w:line="360" w:lineRule="auto"/>
        <w:ind w:firstLine="500"/>
        <w:rPr>
          <w:color w:val="000000"/>
          <w:sz w:val="28"/>
          <w:szCs w:val="28"/>
        </w:rPr>
      </w:pPr>
      <w:bookmarkStart w:id="5" w:name="bookmark93"/>
      <w:r>
        <w:rPr>
          <w:rFonts w:hint="eastAsia"/>
          <w:color w:val="000000"/>
          <w:sz w:val="28"/>
          <w:szCs w:val="28"/>
        </w:rPr>
        <w:t>（</w:t>
      </w:r>
      <w:bookmarkEnd w:id="5"/>
      <w:r>
        <w:rPr>
          <w:rFonts w:hint="eastAsia"/>
          <w:color w:val="000000"/>
          <w:sz w:val="28"/>
          <w:szCs w:val="28"/>
        </w:rPr>
        <w:t>二）部门整体支出规模</w:t>
      </w:r>
    </w:p>
    <w:p>
      <w:pPr>
        <w:pStyle w:val="18"/>
        <w:tabs>
          <w:tab w:val="left" w:pos="1101"/>
        </w:tabs>
        <w:spacing w:line="360" w:lineRule="auto"/>
        <w:ind w:firstLine="500"/>
        <w:rPr>
          <w:sz w:val="28"/>
          <w:szCs w:val="28"/>
        </w:rPr>
      </w:pPr>
      <w:r>
        <w:rPr>
          <w:rFonts w:hint="eastAsia"/>
          <w:color w:val="000000"/>
          <w:sz w:val="28"/>
          <w:szCs w:val="28"/>
        </w:rPr>
        <w:t>2019年全年支出35.28万，人员经费33.17万元，日常公用经费2.11元。</w:t>
      </w:r>
    </w:p>
    <w:p>
      <w:pPr>
        <w:pStyle w:val="18"/>
        <w:tabs>
          <w:tab w:val="left" w:pos="867"/>
        </w:tabs>
        <w:spacing w:line="360" w:lineRule="auto"/>
        <w:rPr>
          <w:sz w:val="28"/>
          <w:szCs w:val="28"/>
        </w:rPr>
      </w:pPr>
      <w:bookmarkStart w:id="6" w:name="bookmark94"/>
      <w:r>
        <w:rPr>
          <w:rFonts w:hint="eastAsia"/>
          <w:color w:val="000000"/>
          <w:sz w:val="28"/>
          <w:szCs w:val="28"/>
        </w:rPr>
        <w:t>二</w:t>
      </w:r>
      <w:bookmarkEnd w:id="6"/>
      <w:r>
        <w:rPr>
          <w:rFonts w:hint="eastAsia"/>
          <w:color w:val="000000"/>
          <w:sz w:val="28"/>
          <w:szCs w:val="28"/>
        </w:rPr>
        <w:t>、部门整体支出管理及使用情况</w:t>
      </w:r>
    </w:p>
    <w:p>
      <w:pPr>
        <w:pStyle w:val="18"/>
        <w:tabs>
          <w:tab w:val="left" w:pos="1111"/>
        </w:tabs>
        <w:spacing w:line="360" w:lineRule="auto"/>
        <w:ind w:firstLine="500"/>
        <w:jc w:val="left"/>
        <w:rPr>
          <w:sz w:val="28"/>
          <w:szCs w:val="28"/>
        </w:rPr>
      </w:pPr>
      <w:bookmarkStart w:id="7" w:name="bookmark95"/>
      <w:r>
        <w:rPr>
          <w:rFonts w:hint="eastAsia"/>
          <w:color w:val="000000"/>
          <w:sz w:val="28"/>
          <w:szCs w:val="28"/>
        </w:rPr>
        <w:t>（</w:t>
      </w:r>
      <w:bookmarkEnd w:id="7"/>
      <w:r>
        <w:rPr>
          <w:rFonts w:hint="eastAsia"/>
          <w:color w:val="000000"/>
          <w:sz w:val="28"/>
          <w:szCs w:val="28"/>
        </w:rPr>
        <w:t>一）基本支出</w:t>
      </w:r>
    </w:p>
    <w:p>
      <w:pPr>
        <w:pStyle w:val="18"/>
        <w:tabs>
          <w:tab w:val="left" w:pos="1101"/>
        </w:tabs>
        <w:spacing w:line="360" w:lineRule="auto"/>
        <w:ind w:firstLine="500"/>
        <w:rPr>
          <w:sz w:val="28"/>
          <w:szCs w:val="28"/>
        </w:rPr>
      </w:pPr>
      <w:r>
        <w:rPr>
          <w:rFonts w:hint="eastAsia"/>
          <w:color w:val="000000"/>
          <w:sz w:val="28"/>
          <w:szCs w:val="28"/>
        </w:rPr>
        <w:t>2019年基本支出35.28万，人员经费33.17万元，日常公用经费2.11万元。</w:t>
      </w:r>
    </w:p>
    <w:p>
      <w:pPr>
        <w:pStyle w:val="18"/>
        <w:spacing w:line="360" w:lineRule="auto"/>
        <w:rPr>
          <w:sz w:val="28"/>
          <w:szCs w:val="28"/>
        </w:rPr>
      </w:pPr>
    </w:p>
    <w:p>
      <w:pPr>
        <w:pStyle w:val="18"/>
        <w:tabs>
          <w:tab w:val="left" w:pos="1111"/>
        </w:tabs>
        <w:spacing w:line="360" w:lineRule="auto"/>
        <w:ind w:firstLine="500"/>
        <w:jc w:val="left"/>
        <w:rPr>
          <w:sz w:val="28"/>
          <w:szCs w:val="28"/>
        </w:rPr>
      </w:pPr>
      <w:bookmarkStart w:id="8" w:name="bookmark96"/>
      <w:r>
        <w:rPr>
          <w:rFonts w:hint="eastAsia"/>
          <w:color w:val="000000"/>
          <w:sz w:val="28"/>
          <w:szCs w:val="28"/>
        </w:rPr>
        <w:t>（</w:t>
      </w:r>
      <w:bookmarkEnd w:id="8"/>
      <w:r>
        <w:rPr>
          <w:rFonts w:hint="eastAsia"/>
          <w:color w:val="000000"/>
          <w:sz w:val="28"/>
          <w:szCs w:val="28"/>
        </w:rPr>
        <w:t>二）项目支出</w:t>
      </w:r>
    </w:p>
    <w:p>
      <w:pPr>
        <w:pStyle w:val="18"/>
        <w:tabs>
          <w:tab w:val="left" w:pos="767"/>
        </w:tabs>
        <w:spacing w:line="360" w:lineRule="auto"/>
        <w:rPr>
          <w:sz w:val="28"/>
          <w:szCs w:val="28"/>
        </w:rPr>
      </w:pPr>
      <w:r>
        <w:rPr>
          <w:rFonts w:hint="eastAsia"/>
          <w:sz w:val="28"/>
          <w:szCs w:val="28"/>
        </w:rPr>
        <w:t>专项经费1万元，用于差额编制人员的人员经费。此专项经费为人员经费，支出并入基本支出里。</w:t>
      </w:r>
    </w:p>
    <w:p>
      <w:pPr>
        <w:pStyle w:val="18"/>
        <w:tabs>
          <w:tab w:val="left" w:pos="767"/>
        </w:tabs>
        <w:spacing w:line="360" w:lineRule="auto"/>
        <w:rPr>
          <w:sz w:val="28"/>
          <w:szCs w:val="28"/>
        </w:rPr>
      </w:pPr>
      <w:r>
        <w:rPr>
          <w:rFonts w:hint="eastAsia"/>
          <w:sz w:val="28"/>
          <w:szCs w:val="28"/>
        </w:rPr>
        <w:t>本单位本年度没有“三公”经费支出。</w:t>
      </w:r>
    </w:p>
    <w:p>
      <w:pPr>
        <w:pStyle w:val="18"/>
        <w:tabs>
          <w:tab w:val="left" w:pos="867"/>
        </w:tabs>
        <w:spacing w:line="360" w:lineRule="auto"/>
        <w:jc w:val="left"/>
        <w:rPr>
          <w:color w:val="000000"/>
          <w:sz w:val="28"/>
          <w:szCs w:val="28"/>
        </w:rPr>
      </w:pPr>
      <w:bookmarkStart w:id="9" w:name="bookmark100"/>
      <w:r>
        <w:rPr>
          <w:rFonts w:hint="eastAsia"/>
          <w:color w:val="000000"/>
          <w:sz w:val="28"/>
          <w:szCs w:val="28"/>
        </w:rPr>
        <w:t>三</w:t>
      </w:r>
      <w:bookmarkEnd w:id="9"/>
      <w:r>
        <w:rPr>
          <w:rFonts w:hint="eastAsia"/>
          <w:color w:val="000000"/>
          <w:sz w:val="28"/>
          <w:szCs w:val="28"/>
        </w:rPr>
        <w:t>、部门项目组织实施情况</w:t>
      </w:r>
    </w:p>
    <w:p>
      <w:pPr>
        <w:pStyle w:val="18"/>
        <w:tabs>
          <w:tab w:val="left" w:pos="867"/>
        </w:tabs>
        <w:spacing w:line="360" w:lineRule="auto"/>
        <w:jc w:val="left"/>
        <w:rPr>
          <w:color w:val="000000"/>
          <w:sz w:val="28"/>
          <w:szCs w:val="28"/>
        </w:rPr>
      </w:pPr>
      <w:r>
        <w:rPr>
          <w:rFonts w:hint="eastAsia"/>
          <w:color w:val="000000"/>
          <w:sz w:val="28"/>
          <w:szCs w:val="28"/>
        </w:rPr>
        <w:t>1、每月5、15、25日的招聘会。</w:t>
      </w:r>
    </w:p>
    <w:p>
      <w:pPr>
        <w:pStyle w:val="18"/>
        <w:tabs>
          <w:tab w:val="left" w:pos="867"/>
        </w:tabs>
        <w:spacing w:line="360" w:lineRule="auto"/>
        <w:jc w:val="left"/>
        <w:rPr>
          <w:sz w:val="28"/>
          <w:szCs w:val="28"/>
        </w:rPr>
      </w:pPr>
      <w:r>
        <w:rPr>
          <w:rFonts w:hint="eastAsia"/>
          <w:color w:val="000000"/>
          <w:sz w:val="28"/>
          <w:szCs w:val="28"/>
        </w:rPr>
        <w:t>2、应届大学生、个别单位和退役军人的档案管理。</w:t>
      </w:r>
    </w:p>
    <w:p>
      <w:pPr>
        <w:pStyle w:val="18"/>
        <w:tabs>
          <w:tab w:val="left" w:pos="876"/>
        </w:tabs>
        <w:spacing w:line="360" w:lineRule="auto"/>
        <w:ind w:firstLine="420"/>
        <w:rPr>
          <w:color w:val="000000"/>
          <w:sz w:val="28"/>
          <w:szCs w:val="28"/>
        </w:rPr>
      </w:pPr>
      <w:bookmarkStart w:id="10" w:name="bookmark101"/>
      <w:r>
        <w:rPr>
          <w:rFonts w:hint="eastAsia"/>
          <w:color w:val="000000"/>
          <w:sz w:val="28"/>
          <w:szCs w:val="28"/>
        </w:rPr>
        <w:t>四</w:t>
      </w:r>
      <w:bookmarkEnd w:id="10"/>
      <w:r>
        <w:rPr>
          <w:rFonts w:hint="eastAsia"/>
          <w:color w:val="000000"/>
          <w:sz w:val="28"/>
          <w:szCs w:val="28"/>
        </w:rPr>
        <w:t>、资产管理情况</w:t>
      </w:r>
    </w:p>
    <w:p>
      <w:pPr>
        <w:pStyle w:val="18"/>
        <w:tabs>
          <w:tab w:val="left" w:pos="886"/>
        </w:tabs>
        <w:spacing w:line="360" w:lineRule="auto"/>
        <w:ind w:firstLine="420"/>
        <w:rPr>
          <w:sz w:val="28"/>
          <w:szCs w:val="28"/>
        </w:rPr>
      </w:pPr>
      <w:r>
        <w:rPr>
          <w:rFonts w:hint="eastAsia"/>
          <w:sz w:val="28"/>
          <w:szCs w:val="28"/>
        </w:rPr>
        <w:t>本单位</w:t>
      </w:r>
      <w:bookmarkStart w:id="11" w:name="bookmark102"/>
      <w:r>
        <w:rPr>
          <w:sz w:val="28"/>
          <w:szCs w:val="28"/>
        </w:rPr>
        <w:t>截至201</w:t>
      </w:r>
      <w:r>
        <w:rPr>
          <w:rFonts w:hint="eastAsia"/>
          <w:sz w:val="28"/>
          <w:szCs w:val="28"/>
        </w:rPr>
        <w:t>9</w:t>
      </w:r>
      <w:r>
        <w:rPr>
          <w:sz w:val="28"/>
          <w:szCs w:val="28"/>
        </w:rPr>
        <w:t>年12 月31 日，</w:t>
      </w:r>
      <w:r>
        <w:rPr>
          <w:rFonts w:hint="eastAsia"/>
          <w:sz w:val="28"/>
          <w:szCs w:val="28"/>
        </w:rPr>
        <w:t>本单位一直与其它单位合并办公，未购置固定资产。</w:t>
      </w:r>
    </w:p>
    <w:p>
      <w:pPr>
        <w:pStyle w:val="18"/>
        <w:tabs>
          <w:tab w:val="left" w:pos="886"/>
        </w:tabs>
        <w:spacing w:line="360" w:lineRule="auto"/>
        <w:ind w:firstLine="420"/>
        <w:rPr>
          <w:sz w:val="28"/>
          <w:szCs w:val="28"/>
        </w:rPr>
      </w:pPr>
      <w:r>
        <w:rPr>
          <w:rFonts w:hint="eastAsia"/>
          <w:sz w:val="28"/>
          <w:szCs w:val="28"/>
        </w:rPr>
        <w:t>五</w:t>
      </w:r>
      <w:bookmarkEnd w:id="11"/>
      <w:r>
        <w:rPr>
          <w:rFonts w:hint="eastAsia"/>
          <w:sz w:val="28"/>
          <w:szCs w:val="28"/>
        </w:rPr>
        <w:t>、部门整体支出绩效情况</w:t>
      </w:r>
    </w:p>
    <w:p>
      <w:pPr>
        <w:pStyle w:val="18"/>
        <w:tabs>
          <w:tab w:val="left" w:pos="886"/>
        </w:tabs>
        <w:spacing w:line="360" w:lineRule="auto"/>
        <w:ind w:firstLine="420"/>
        <w:rPr>
          <w:sz w:val="28"/>
          <w:szCs w:val="28"/>
        </w:rPr>
      </w:pPr>
      <w:r>
        <w:rPr>
          <w:rFonts w:hint="eastAsia"/>
          <w:color w:val="000000"/>
          <w:sz w:val="28"/>
          <w:szCs w:val="28"/>
        </w:rPr>
        <w:t>单位总体运行良好，圆满完成了各项工作任务。</w:t>
      </w:r>
    </w:p>
    <w:p>
      <w:pPr>
        <w:pStyle w:val="18"/>
        <w:tabs>
          <w:tab w:val="left" w:pos="886"/>
        </w:tabs>
        <w:spacing w:line="360" w:lineRule="auto"/>
        <w:ind w:firstLine="420"/>
        <w:rPr>
          <w:sz w:val="28"/>
          <w:szCs w:val="28"/>
        </w:rPr>
      </w:pPr>
      <w:bookmarkStart w:id="12" w:name="bookmark103"/>
      <w:r>
        <w:rPr>
          <w:rFonts w:hint="eastAsia"/>
          <w:color w:val="000000"/>
          <w:sz w:val="28"/>
          <w:szCs w:val="28"/>
        </w:rPr>
        <w:t>六</w:t>
      </w:r>
      <w:bookmarkEnd w:id="12"/>
      <w:r>
        <w:rPr>
          <w:rFonts w:hint="eastAsia"/>
          <w:color w:val="000000"/>
          <w:sz w:val="28"/>
          <w:szCs w:val="28"/>
        </w:rPr>
        <w:t>、存在的主要问题</w:t>
      </w:r>
    </w:p>
    <w:p>
      <w:pPr>
        <w:pStyle w:val="18"/>
        <w:spacing w:line="360" w:lineRule="auto"/>
        <w:ind w:firstLine="420"/>
        <w:rPr>
          <w:sz w:val="28"/>
          <w:szCs w:val="28"/>
        </w:rPr>
      </w:pPr>
      <w:r>
        <w:rPr>
          <w:rFonts w:hint="eastAsia"/>
          <w:sz w:val="28"/>
          <w:szCs w:val="28"/>
        </w:rPr>
        <w:t>预算资金安排不足，资金缺口没有办法调剂。</w:t>
      </w:r>
    </w:p>
    <w:p>
      <w:pPr>
        <w:pStyle w:val="18"/>
        <w:tabs>
          <w:tab w:val="left" w:pos="886"/>
        </w:tabs>
        <w:spacing w:line="360" w:lineRule="auto"/>
        <w:ind w:firstLine="420"/>
        <w:rPr>
          <w:sz w:val="28"/>
          <w:szCs w:val="28"/>
        </w:rPr>
      </w:pPr>
      <w:bookmarkStart w:id="13" w:name="bookmark104"/>
      <w:r>
        <w:rPr>
          <w:rFonts w:hint="eastAsia"/>
          <w:color w:val="000000"/>
          <w:sz w:val="28"/>
          <w:szCs w:val="28"/>
        </w:rPr>
        <w:t>七</w:t>
      </w:r>
      <w:bookmarkEnd w:id="13"/>
      <w:r>
        <w:rPr>
          <w:rFonts w:hint="eastAsia"/>
          <w:color w:val="000000"/>
          <w:sz w:val="28"/>
          <w:szCs w:val="28"/>
        </w:rPr>
        <w:t>、改进措施和有关建议</w:t>
      </w:r>
    </w:p>
    <w:p>
      <w:pPr>
        <w:pStyle w:val="18"/>
        <w:spacing w:after="1300" w:line="360" w:lineRule="auto"/>
        <w:ind w:firstLine="420"/>
        <w:rPr>
          <w:sz w:val="28"/>
          <w:szCs w:val="28"/>
        </w:rPr>
      </w:pPr>
      <w:r>
        <w:rPr>
          <w:rFonts w:hint="eastAsia"/>
          <w:sz w:val="28"/>
          <w:szCs w:val="28"/>
        </w:rPr>
        <w:t>增加预算。</w:t>
      </w:r>
    </w:p>
    <w:p>
      <w:pPr>
        <w:spacing w:line="1" w:lineRule="exact"/>
        <w:jc w:val="center"/>
        <w:rPr>
          <w:rFonts w:ascii="宋体" w:hAnsi="宋体" w:cs="宋体"/>
          <w:sz w:val="18"/>
          <w:szCs w:val="18"/>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10029"/>
    <w:rsid w:val="00046406"/>
    <w:rsid w:val="00081751"/>
    <w:rsid w:val="000B776B"/>
    <w:rsid w:val="000D68CC"/>
    <w:rsid w:val="000F1000"/>
    <w:rsid w:val="00142CFF"/>
    <w:rsid w:val="001B1ABF"/>
    <w:rsid w:val="001D2F2A"/>
    <w:rsid w:val="001D3AA8"/>
    <w:rsid w:val="001F25AE"/>
    <w:rsid w:val="002A2EE0"/>
    <w:rsid w:val="002E011A"/>
    <w:rsid w:val="002F07B7"/>
    <w:rsid w:val="003154B9"/>
    <w:rsid w:val="00364476"/>
    <w:rsid w:val="003C5F9A"/>
    <w:rsid w:val="003E3E74"/>
    <w:rsid w:val="003F11EE"/>
    <w:rsid w:val="00420C6D"/>
    <w:rsid w:val="004811C1"/>
    <w:rsid w:val="0048669B"/>
    <w:rsid w:val="00487F8A"/>
    <w:rsid w:val="004A237E"/>
    <w:rsid w:val="00536361"/>
    <w:rsid w:val="00574610"/>
    <w:rsid w:val="005A0566"/>
    <w:rsid w:val="005D3C4B"/>
    <w:rsid w:val="006107CF"/>
    <w:rsid w:val="00622D58"/>
    <w:rsid w:val="00634FCD"/>
    <w:rsid w:val="00640C01"/>
    <w:rsid w:val="006B4E7E"/>
    <w:rsid w:val="006D2EE2"/>
    <w:rsid w:val="006D3416"/>
    <w:rsid w:val="006D5771"/>
    <w:rsid w:val="00750F3F"/>
    <w:rsid w:val="007A011A"/>
    <w:rsid w:val="007B1FDC"/>
    <w:rsid w:val="007D110D"/>
    <w:rsid w:val="007F0EF8"/>
    <w:rsid w:val="007F4DAD"/>
    <w:rsid w:val="00807BB7"/>
    <w:rsid w:val="008446E8"/>
    <w:rsid w:val="00850F98"/>
    <w:rsid w:val="00856C9B"/>
    <w:rsid w:val="00864378"/>
    <w:rsid w:val="008666DE"/>
    <w:rsid w:val="0087791B"/>
    <w:rsid w:val="00877B33"/>
    <w:rsid w:val="008B7725"/>
    <w:rsid w:val="008C1CA2"/>
    <w:rsid w:val="009B2EB1"/>
    <w:rsid w:val="009B599B"/>
    <w:rsid w:val="00A04681"/>
    <w:rsid w:val="00A37988"/>
    <w:rsid w:val="00A4049D"/>
    <w:rsid w:val="00A63F51"/>
    <w:rsid w:val="00AA08AB"/>
    <w:rsid w:val="00AB6DB0"/>
    <w:rsid w:val="00AE18FC"/>
    <w:rsid w:val="00B17049"/>
    <w:rsid w:val="00B171D9"/>
    <w:rsid w:val="00B61231"/>
    <w:rsid w:val="00B7070F"/>
    <w:rsid w:val="00BA19E4"/>
    <w:rsid w:val="00BA2AE1"/>
    <w:rsid w:val="00BE178A"/>
    <w:rsid w:val="00BF00B3"/>
    <w:rsid w:val="00BF288D"/>
    <w:rsid w:val="00C06CBC"/>
    <w:rsid w:val="00C36CA2"/>
    <w:rsid w:val="00C87726"/>
    <w:rsid w:val="00CA2784"/>
    <w:rsid w:val="00CC2157"/>
    <w:rsid w:val="00CC77BD"/>
    <w:rsid w:val="00D3378A"/>
    <w:rsid w:val="00D66144"/>
    <w:rsid w:val="00DE4D0E"/>
    <w:rsid w:val="00E279DB"/>
    <w:rsid w:val="00E7463A"/>
    <w:rsid w:val="00E74C85"/>
    <w:rsid w:val="00E968E2"/>
    <w:rsid w:val="00EB4261"/>
    <w:rsid w:val="00F10E0E"/>
    <w:rsid w:val="00F2267B"/>
    <w:rsid w:val="00F26272"/>
    <w:rsid w:val="00F65E64"/>
    <w:rsid w:val="02312FDE"/>
    <w:rsid w:val="030A3C3B"/>
    <w:rsid w:val="03737E75"/>
    <w:rsid w:val="0C505A2A"/>
    <w:rsid w:val="15224E9F"/>
    <w:rsid w:val="1810076A"/>
    <w:rsid w:val="1CB55F50"/>
    <w:rsid w:val="1F6E185C"/>
    <w:rsid w:val="205265F0"/>
    <w:rsid w:val="236639AE"/>
    <w:rsid w:val="290A0FAD"/>
    <w:rsid w:val="2C8F18D7"/>
    <w:rsid w:val="33B015AE"/>
    <w:rsid w:val="3BE645DA"/>
    <w:rsid w:val="3F577654"/>
    <w:rsid w:val="423B1DB6"/>
    <w:rsid w:val="47F13CEE"/>
    <w:rsid w:val="4999703E"/>
    <w:rsid w:val="4D301426"/>
    <w:rsid w:val="4D625F91"/>
    <w:rsid w:val="527541A2"/>
    <w:rsid w:val="52E51199"/>
    <w:rsid w:val="56C81120"/>
    <w:rsid w:val="56F073BC"/>
    <w:rsid w:val="5B8E7E9F"/>
    <w:rsid w:val="62513BD9"/>
    <w:rsid w:val="688268EC"/>
    <w:rsid w:val="7EAD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583</Words>
  <Characters>3329</Characters>
  <Lines>27</Lines>
  <Paragraphs>7</Paragraphs>
  <TotalTime>13</TotalTime>
  <ScaleCrop>false</ScaleCrop>
  <LinksUpToDate>false</LinksUpToDate>
  <CharactersWithSpaces>3905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2021-06-04T01:55:00Z</dcterms:created>
  <dc:creator></dc:creator>
  <cp:lastModifiedBy>Administrator</cp:lastModifiedBy>
  <cp:lastPrinted>2020-05-18T02:11:00Z</cp:lastPrinted>
  <dcterms:modified xsi:type="dcterms:W3CDTF">2021-06-05T03:45:02Z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7FF9BBCC62E04362945237D512B3944F</vt:lpwstr>
  </property>
</Properties>
</file>