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before="0" w:after="26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CN"/>
        </w:rPr>
      </w:pPr>
      <w:bookmarkStart w:id="4" w:name="_GoBack"/>
      <w:bookmarkEnd w:id="4"/>
      <w:bookmarkStart w:id="0" w:name="bookmark90"/>
      <w:bookmarkStart w:id="1" w:name="bookmark89"/>
      <w:bookmarkStart w:id="2" w:name="bookmark88"/>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CN"/>
        </w:rPr>
        <w:t>2018年区社会保险服务中心部门整体支出</w:t>
      </w:r>
    </w:p>
    <w:p>
      <w:pPr>
        <w:pStyle w:val="9"/>
        <w:keepNext/>
        <w:keepLines/>
        <w:widowControl w:val="0"/>
        <w:shd w:val="clear" w:color="auto" w:fill="auto"/>
        <w:bidi w:val="0"/>
        <w:spacing w:before="0" w:after="26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CN"/>
        </w:rPr>
      </w:pPr>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CN"/>
        </w:rPr>
        <w:t>绩 效 报 告</w:t>
      </w:r>
      <w:bookmarkEnd w:id="0"/>
      <w:bookmarkEnd w:id="1"/>
      <w:bookmarkEnd w:id="2"/>
    </w:p>
    <w:p>
      <w:pPr>
        <w:ind w:firstLine="560" w:firstLineChars="200"/>
        <w:rPr>
          <w:rFonts w:hint="eastAsia" w:ascii="方正小标宋简体" w:hAnsi="方正小标宋简体" w:eastAsia="方正小标宋简体" w:cs="方正小标宋简体"/>
          <w:color w:val="000000"/>
          <w:spacing w:val="0"/>
          <w:w w:val="100"/>
          <w:kern w:val="2"/>
          <w:position w:val="0"/>
          <w:sz w:val="28"/>
          <w:szCs w:val="28"/>
          <w:lang w:val="zh-CN" w:eastAsia="zh-CN" w:bidi="zh-CN"/>
        </w:rPr>
      </w:pPr>
      <w:r>
        <w:rPr>
          <w:rFonts w:hint="eastAsia" w:ascii="方正小标宋简体" w:hAnsi="方正小标宋简体" w:eastAsia="方正小标宋简体" w:cs="方正小标宋简体"/>
          <w:color w:val="000000"/>
          <w:spacing w:val="0"/>
          <w:w w:val="100"/>
          <w:kern w:val="2"/>
          <w:position w:val="0"/>
          <w:sz w:val="28"/>
          <w:szCs w:val="28"/>
          <w:lang w:val="zh-CN" w:eastAsia="zh-CN" w:bidi="zh-CN"/>
        </w:rPr>
        <w:t>一、部门概况</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珠晖区社保中心，为区人力资源和社会保障局所属的副科级公益类事业单位，主要负责全区社会保险相关事务性工作。编制人数</w:t>
      </w:r>
      <w:r>
        <w:rPr>
          <w:rFonts w:hint="eastAsia" w:cs="宋体"/>
          <w:color w:val="000000"/>
          <w:spacing w:val="0"/>
          <w:w w:val="100"/>
          <w:kern w:val="2"/>
          <w:position w:val="0"/>
          <w:sz w:val="28"/>
          <w:szCs w:val="28"/>
          <w:lang w:val="en-US" w:eastAsia="zh-CN" w:bidi="zh-CN"/>
        </w:rPr>
        <w:t>6</w:t>
      </w:r>
      <w:r>
        <w:rPr>
          <w:rFonts w:hint="eastAsia" w:ascii="宋体" w:hAnsi="宋体" w:eastAsia="宋体" w:cs="宋体"/>
          <w:color w:val="000000"/>
          <w:spacing w:val="0"/>
          <w:w w:val="100"/>
          <w:kern w:val="2"/>
          <w:position w:val="0"/>
          <w:sz w:val="28"/>
          <w:szCs w:val="28"/>
          <w:lang w:val="en-US" w:eastAsia="zh-CN" w:bidi="zh-CN"/>
        </w:rPr>
        <w:t>人，实际在职人员</w:t>
      </w:r>
      <w:r>
        <w:rPr>
          <w:rFonts w:hint="eastAsia" w:cs="宋体"/>
          <w:color w:val="000000"/>
          <w:spacing w:val="0"/>
          <w:w w:val="100"/>
          <w:kern w:val="2"/>
          <w:position w:val="0"/>
          <w:sz w:val="28"/>
          <w:szCs w:val="28"/>
          <w:lang w:val="en-US" w:eastAsia="zh-CN" w:bidi="zh-CN"/>
        </w:rPr>
        <w:t>6</w:t>
      </w:r>
      <w:r>
        <w:rPr>
          <w:rFonts w:hint="eastAsia" w:ascii="宋体" w:hAnsi="宋体" w:eastAsia="宋体" w:cs="宋体"/>
          <w:color w:val="000000"/>
          <w:spacing w:val="0"/>
          <w:w w:val="100"/>
          <w:kern w:val="2"/>
          <w:position w:val="0"/>
          <w:sz w:val="28"/>
          <w:szCs w:val="28"/>
          <w:lang w:val="en-US" w:eastAsia="zh-CN" w:bidi="zh-CN"/>
        </w:rPr>
        <w:t>人。</w:t>
      </w:r>
      <w:r>
        <w:rPr>
          <w:rFonts w:hint="eastAsia" w:ascii="宋体" w:hAnsi="宋体" w:eastAsia="宋体" w:cs="宋体"/>
          <w:color w:val="000000"/>
          <w:spacing w:val="0"/>
          <w:w w:val="100"/>
          <w:kern w:val="2"/>
          <w:position w:val="0"/>
          <w:sz w:val="28"/>
          <w:szCs w:val="28"/>
          <w:lang w:val="zh-CN" w:eastAsia="zh-CN" w:bidi="zh-CN"/>
        </w:rPr>
        <w:t>其主要职能职责是：</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bookmarkStart w:id="3" w:name="bookmark94"/>
      <w:r>
        <w:rPr>
          <w:rFonts w:hint="eastAsia" w:ascii="宋体" w:hAnsi="宋体" w:eastAsia="宋体" w:cs="宋体"/>
          <w:color w:val="000000"/>
          <w:spacing w:val="0"/>
          <w:w w:val="100"/>
          <w:kern w:val="2"/>
          <w:position w:val="0"/>
          <w:sz w:val="28"/>
          <w:szCs w:val="28"/>
          <w:lang w:val="zh-CN" w:eastAsia="zh-CN" w:bidi="zh-CN"/>
        </w:rPr>
        <w:t>1、负责宣传贯彻国家、省、市有关机关事业单位养老保险工作的法律法规和政策；负责组织落实全区机关事业单位基本养老保险有关制度和实施方案。</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2、负责全区机关事业单位工作人员养老保险基金的征缴、清欠等工作；负责全区机关事业工作人员职业年金的征缴、清欠和归集工作。</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3、负责全区机关事业单位参保人员养老保险和职业年金个人账户管理和关系的接续、转移等工作。</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4、负责全区机关事业单位参保人员退休待遇核定、调整工作；参保的离退休人员基本养老保险金发放工作、参保的退休人员职业年金的发放工作。</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5、负责全区机关事业单位基本养老保险基金的管理工作；负责全区机关事业单位养老保险调剂基金的征集、管理和使用工作；负责全区机关事业单位基金养老保险基金的稽核工作。</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6、负责全区机关事业单位社保经办机构信息网络系统的规划建设、维护和安全防范工作。</w:t>
      </w:r>
    </w:p>
    <w:p>
      <w:pPr>
        <w:ind w:left="-525" w:leftChars="-250" w:right="-525" w:rightChars="-250" w:firstLine="700" w:firstLineChars="250"/>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7、承担全区机关事业单位养老保险经办机构的业务指导和培训等工作。</w:t>
      </w:r>
    </w:p>
    <w:p>
      <w:pPr>
        <w:ind w:left="-525" w:leftChars="-250" w:right="-525" w:rightChars="-250" w:firstLine="700" w:firstLineChars="250"/>
        <w:rPr>
          <w:rFonts w:hint="eastAsia" w:ascii="仿宋" w:hAnsi="仿宋" w:eastAsia="仿宋" w:cs="仿宋"/>
          <w:sz w:val="32"/>
          <w:szCs w:val="32"/>
        </w:rPr>
      </w:pPr>
      <w:r>
        <w:rPr>
          <w:rFonts w:hint="eastAsia" w:ascii="宋体" w:hAnsi="宋体" w:eastAsia="宋体" w:cs="宋体"/>
          <w:color w:val="000000"/>
          <w:spacing w:val="0"/>
          <w:w w:val="100"/>
          <w:kern w:val="2"/>
          <w:position w:val="0"/>
          <w:sz w:val="28"/>
          <w:szCs w:val="28"/>
          <w:lang w:val="zh-CN" w:eastAsia="zh-CN" w:bidi="zh-CN"/>
        </w:rPr>
        <w:t>8、承办区委、区政府及上级主管部门交办的其他工作。</w:t>
      </w:r>
    </w:p>
    <w:p>
      <w:pPr>
        <w:ind w:firstLine="560" w:firstLineChars="200"/>
        <w:rPr>
          <w:rFonts w:hint="eastAsia" w:ascii="方正小标宋简体" w:hAnsi="方正小标宋简体" w:eastAsia="方正小标宋简体" w:cs="方正小标宋简体"/>
          <w:color w:val="000000"/>
          <w:spacing w:val="0"/>
          <w:w w:val="100"/>
          <w:position w:val="0"/>
          <w:sz w:val="28"/>
          <w:szCs w:val="28"/>
        </w:rPr>
      </w:pPr>
      <w:r>
        <w:rPr>
          <w:rFonts w:hint="eastAsia" w:ascii="方正小标宋简体" w:hAnsi="方正小标宋简体" w:eastAsia="方正小标宋简体" w:cs="方正小标宋简体"/>
          <w:color w:val="000000"/>
          <w:spacing w:val="0"/>
          <w:w w:val="100"/>
          <w:position w:val="0"/>
          <w:sz w:val="28"/>
          <w:szCs w:val="28"/>
        </w:rPr>
        <w:t>二</w:t>
      </w:r>
      <w:bookmarkEnd w:id="3"/>
      <w:r>
        <w:rPr>
          <w:rFonts w:hint="eastAsia" w:ascii="方正小标宋简体" w:hAnsi="方正小标宋简体" w:eastAsia="方正小标宋简体" w:cs="方正小标宋简体"/>
          <w:color w:val="000000"/>
          <w:spacing w:val="0"/>
          <w:w w:val="100"/>
          <w:position w:val="0"/>
          <w:sz w:val="28"/>
          <w:szCs w:val="28"/>
        </w:rPr>
        <w:t>、部门整体支出管理及使用情况</w:t>
      </w:r>
    </w:p>
    <w:p>
      <w:pPr>
        <w:pStyle w:val="10"/>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default" w:ascii="宋体" w:hAnsi="宋体" w:eastAsia="宋体" w:cs="宋体"/>
          <w:color w:val="000000"/>
          <w:spacing w:val="0"/>
          <w:w w:val="100"/>
          <w:kern w:val="2"/>
          <w:position w:val="0"/>
          <w:sz w:val="28"/>
          <w:szCs w:val="28"/>
          <w:lang w:val="en-US" w:eastAsia="zh-CN" w:bidi="zh-CN"/>
        </w:rPr>
      </w:pPr>
      <w:r>
        <w:rPr>
          <w:rFonts w:hint="eastAsia" w:ascii="宋体" w:hAnsi="宋体" w:eastAsia="宋体" w:cs="宋体"/>
          <w:color w:val="000000"/>
          <w:spacing w:val="0"/>
          <w:w w:val="100"/>
          <w:kern w:val="2"/>
          <w:position w:val="0"/>
          <w:sz w:val="28"/>
          <w:szCs w:val="28"/>
          <w:lang w:val="zh-CN" w:eastAsia="zh-CN" w:bidi="zh-CN"/>
        </w:rPr>
        <w:t>201</w:t>
      </w:r>
      <w:r>
        <w:rPr>
          <w:rFonts w:hint="eastAsia" w:cs="宋体"/>
          <w:color w:val="000000"/>
          <w:spacing w:val="0"/>
          <w:w w:val="100"/>
          <w:kern w:val="2"/>
          <w:position w:val="0"/>
          <w:sz w:val="28"/>
          <w:szCs w:val="28"/>
          <w:lang w:val="en-US" w:eastAsia="zh-CN" w:bidi="zh-CN"/>
        </w:rPr>
        <w:t>8</w:t>
      </w:r>
      <w:r>
        <w:rPr>
          <w:rFonts w:hint="eastAsia" w:ascii="宋体" w:hAnsi="宋体" w:eastAsia="宋体" w:cs="宋体"/>
          <w:color w:val="000000"/>
          <w:spacing w:val="0"/>
          <w:w w:val="100"/>
          <w:kern w:val="2"/>
          <w:position w:val="0"/>
          <w:sz w:val="28"/>
          <w:szCs w:val="28"/>
          <w:lang w:val="zh-CN" w:eastAsia="zh-CN" w:bidi="zh-CN"/>
        </w:rPr>
        <w:t>年总收入</w:t>
      </w:r>
      <w:r>
        <w:rPr>
          <w:rFonts w:hint="eastAsia" w:cs="宋体"/>
          <w:color w:val="000000"/>
          <w:spacing w:val="0"/>
          <w:w w:val="100"/>
          <w:kern w:val="2"/>
          <w:position w:val="0"/>
          <w:sz w:val="28"/>
          <w:szCs w:val="28"/>
          <w:lang w:val="en-US" w:eastAsia="zh-CN" w:bidi="zh-CN"/>
        </w:rPr>
        <w:t>6066.12</w:t>
      </w:r>
      <w:r>
        <w:rPr>
          <w:rFonts w:hint="eastAsia" w:ascii="宋体" w:hAnsi="宋体" w:eastAsia="宋体" w:cs="宋体"/>
          <w:color w:val="000000"/>
          <w:spacing w:val="0"/>
          <w:w w:val="100"/>
          <w:kern w:val="2"/>
          <w:position w:val="0"/>
          <w:sz w:val="28"/>
          <w:szCs w:val="28"/>
          <w:lang w:val="en-US" w:eastAsia="zh-CN" w:bidi="zh-CN"/>
        </w:rPr>
        <w:t>万元，总支出</w:t>
      </w:r>
      <w:r>
        <w:rPr>
          <w:rFonts w:hint="eastAsia" w:cs="宋体"/>
          <w:color w:val="000000"/>
          <w:spacing w:val="0"/>
          <w:w w:val="100"/>
          <w:kern w:val="2"/>
          <w:position w:val="0"/>
          <w:sz w:val="28"/>
          <w:szCs w:val="28"/>
          <w:lang w:val="en-US" w:eastAsia="zh-CN" w:bidi="zh-CN"/>
        </w:rPr>
        <w:t>6060.32</w:t>
      </w:r>
      <w:r>
        <w:rPr>
          <w:rFonts w:hint="eastAsia" w:ascii="宋体" w:hAnsi="宋体" w:eastAsia="宋体" w:cs="宋体"/>
          <w:color w:val="000000"/>
          <w:spacing w:val="0"/>
          <w:w w:val="100"/>
          <w:kern w:val="2"/>
          <w:position w:val="0"/>
          <w:sz w:val="28"/>
          <w:szCs w:val="28"/>
          <w:lang w:val="en-US" w:eastAsia="zh-CN" w:bidi="zh-CN"/>
        </w:rPr>
        <w:t>万元，节余</w:t>
      </w:r>
      <w:r>
        <w:rPr>
          <w:rFonts w:hint="eastAsia" w:cs="宋体"/>
          <w:color w:val="000000"/>
          <w:spacing w:val="0"/>
          <w:w w:val="100"/>
          <w:kern w:val="2"/>
          <w:position w:val="0"/>
          <w:sz w:val="28"/>
          <w:szCs w:val="28"/>
          <w:lang w:val="en-US" w:eastAsia="zh-CN" w:bidi="zh-CN"/>
        </w:rPr>
        <w:t>5.79</w:t>
      </w:r>
      <w:r>
        <w:rPr>
          <w:rFonts w:hint="eastAsia" w:ascii="宋体" w:hAnsi="宋体" w:eastAsia="宋体" w:cs="宋体"/>
          <w:color w:val="000000"/>
          <w:spacing w:val="0"/>
          <w:w w:val="100"/>
          <w:kern w:val="2"/>
          <w:position w:val="0"/>
          <w:sz w:val="28"/>
          <w:szCs w:val="28"/>
          <w:lang w:val="en-US" w:eastAsia="zh-CN" w:bidi="zh-CN"/>
        </w:rPr>
        <w:t>万元。其中基本支出</w:t>
      </w:r>
      <w:r>
        <w:rPr>
          <w:rFonts w:hint="eastAsia" w:cs="宋体"/>
          <w:color w:val="000000"/>
          <w:spacing w:val="0"/>
          <w:w w:val="100"/>
          <w:kern w:val="2"/>
          <w:position w:val="0"/>
          <w:sz w:val="28"/>
          <w:szCs w:val="28"/>
          <w:lang w:val="en-US" w:eastAsia="zh-CN" w:bidi="zh-CN"/>
        </w:rPr>
        <w:t>60.32</w:t>
      </w:r>
      <w:r>
        <w:rPr>
          <w:rFonts w:hint="eastAsia" w:ascii="宋体" w:hAnsi="宋体" w:eastAsia="宋体" w:cs="宋体"/>
          <w:color w:val="000000"/>
          <w:spacing w:val="0"/>
          <w:w w:val="100"/>
          <w:kern w:val="2"/>
          <w:position w:val="0"/>
          <w:sz w:val="28"/>
          <w:szCs w:val="28"/>
          <w:lang w:val="en-US" w:eastAsia="zh-CN" w:bidi="zh-CN"/>
        </w:rPr>
        <w:t>万元，其中人员经费</w:t>
      </w:r>
      <w:r>
        <w:rPr>
          <w:rFonts w:hint="eastAsia" w:cs="宋体"/>
          <w:color w:val="000000"/>
          <w:spacing w:val="0"/>
          <w:w w:val="100"/>
          <w:kern w:val="2"/>
          <w:position w:val="0"/>
          <w:sz w:val="28"/>
          <w:szCs w:val="28"/>
          <w:lang w:val="en-US" w:eastAsia="zh-CN" w:bidi="zh-CN"/>
        </w:rPr>
        <w:t xml:space="preserve"> 41.76</w:t>
      </w:r>
      <w:r>
        <w:rPr>
          <w:rFonts w:hint="eastAsia" w:ascii="宋体" w:hAnsi="宋体" w:eastAsia="宋体" w:cs="宋体"/>
          <w:color w:val="000000"/>
          <w:spacing w:val="0"/>
          <w:w w:val="100"/>
          <w:kern w:val="2"/>
          <w:position w:val="0"/>
          <w:sz w:val="28"/>
          <w:szCs w:val="28"/>
          <w:lang w:val="en-US" w:eastAsia="zh-CN" w:bidi="zh-CN"/>
        </w:rPr>
        <w:t>万元，</w:t>
      </w:r>
      <w:r>
        <w:rPr>
          <w:rFonts w:hint="eastAsia" w:cs="宋体"/>
          <w:color w:val="000000"/>
          <w:spacing w:val="0"/>
          <w:w w:val="100"/>
          <w:kern w:val="2"/>
          <w:position w:val="0"/>
          <w:sz w:val="28"/>
          <w:szCs w:val="28"/>
          <w:lang w:val="en-US" w:eastAsia="zh-CN" w:bidi="zh-CN"/>
        </w:rPr>
        <w:t>公用经费18.56</w:t>
      </w:r>
      <w:r>
        <w:rPr>
          <w:rFonts w:hint="eastAsia" w:ascii="宋体" w:hAnsi="宋体" w:eastAsia="宋体" w:cs="宋体"/>
          <w:color w:val="000000"/>
          <w:spacing w:val="0"/>
          <w:w w:val="100"/>
          <w:kern w:val="2"/>
          <w:position w:val="0"/>
          <w:sz w:val="28"/>
          <w:szCs w:val="28"/>
          <w:lang w:val="en-US" w:eastAsia="zh-CN" w:bidi="zh-CN"/>
        </w:rPr>
        <w:t>万元；项目支出</w:t>
      </w:r>
      <w:r>
        <w:rPr>
          <w:rFonts w:hint="eastAsia" w:cs="宋体"/>
          <w:color w:val="000000"/>
          <w:spacing w:val="0"/>
          <w:w w:val="100"/>
          <w:kern w:val="2"/>
          <w:position w:val="0"/>
          <w:sz w:val="28"/>
          <w:szCs w:val="28"/>
          <w:lang w:val="en-US" w:eastAsia="zh-CN" w:bidi="zh-CN"/>
        </w:rPr>
        <w:t>6000</w:t>
      </w:r>
      <w:r>
        <w:rPr>
          <w:rFonts w:hint="eastAsia" w:ascii="宋体" w:hAnsi="宋体" w:eastAsia="宋体" w:cs="宋体"/>
          <w:color w:val="000000"/>
          <w:spacing w:val="0"/>
          <w:w w:val="100"/>
          <w:kern w:val="2"/>
          <w:position w:val="0"/>
          <w:sz w:val="28"/>
          <w:szCs w:val="28"/>
          <w:lang w:val="en-US" w:eastAsia="zh-CN" w:bidi="zh-CN"/>
        </w:rPr>
        <w:t>万元。</w:t>
      </w:r>
    </w:p>
    <w:p>
      <w:pPr>
        <w:pStyle w:val="10"/>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default" w:ascii="宋体" w:hAnsi="宋体" w:eastAsia="宋体" w:cs="宋体"/>
          <w:color w:val="000000"/>
          <w:spacing w:val="0"/>
          <w:w w:val="100"/>
          <w:kern w:val="2"/>
          <w:position w:val="0"/>
          <w:sz w:val="28"/>
          <w:szCs w:val="28"/>
          <w:lang w:val="en-US" w:eastAsia="zh-CN" w:bidi="zh-CN"/>
        </w:rPr>
      </w:pPr>
      <w:r>
        <w:rPr>
          <w:rFonts w:hint="eastAsia" w:ascii="宋体" w:hAnsi="宋体" w:eastAsia="宋体" w:cs="宋体"/>
          <w:color w:val="000000"/>
          <w:spacing w:val="0"/>
          <w:w w:val="100"/>
          <w:kern w:val="2"/>
          <w:position w:val="0"/>
          <w:sz w:val="28"/>
          <w:szCs w:val="28"/>
          <w:lang w:val="en-US" w:eastAsia="zh-CN" w:bidi="zh-CN"/>
        </w:rPr>
        <w:t>201</w:t>
      </w:r>
      <w:r>
        <w:rPr>
          <w:rFonts w:hint="eastAsia" w:cs="宋体"/>
          <w:color w:val="000000"/>
          <w:spacing w:val="0"/>
          <w:w w:val="100"/>
          <w:kern w:val="2"/>
          <w:position w:val="0"/>
          <w:sz w:val="28"/>
          <w:szCs w:val="28"/>
          <w:lang w:val="en-US" w:eastAsia="zh-CN" w:bidi="zh-CN"/>
        </w:rPr>
        <w:t>8</w:t>
      </w:r>
      <w:r>
        <w:rPr>
          <w:rFonts w:hint="eastAsia" w:ascii="宋体" w:hAnsi="宋体" w:eastAsia="宋体" w:cs="宋体"/>
          <w:color w:val="000000"/>
          <w:spacing w:val="0"/>
          <w:w w:val="100"/>
          <w:kern w:val="2"/>
          <w:position w:val="0"/>
          <w:sz w:val="28"/>
          <w:szCs w:val="28"/>
          <w:lang w:val="en-US" w:eastAsia="zh-CN" w:bidi="zh-CN"/>
        </w:rPr>
        <w:t>年没有发生“三公”经费支出。</w:t>
      </w:r>
    </w:p>
    <w:p>
      <w:pPr>
        <w:pStyle w:val="10"/>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方正小标宋简体" w:hAnsi="方正小标宋简体" w:eastAsia="方正小标宋简体" w:cs="方正小标宋简体"/>
          <w:color w:val="000000"/>
          <w:spacing w:val="0"/>
          <w:w w:val="100"/>
          <w:position w:val="0"/>
          <w:sz w:val="28"/>
          <w:szCs w:val="28"/>
        </w:rPr>
      </w:pPr>
      <w:r>
        <w:rPr>
          <w:rFonts w:hint="eastAsia" w:ascii="方正小标宋简体" w:hAnsi="方正小标宋简体" w:eastAsia="方正小标宋简体" w:cs="方正小标宋简体"/>
          <w:color w:val="000000"/>
          <w:spacing w:val="0"/>
          <w:w w:val="100"/>
          <w:position w:val="0"/>
          <w:sz w:val="28"/>
          <w:szCs w:val="28"/>
          <w:lang w:eastAsia="zh-CN"/>
        </w:rPr>
        <w:t>三、</w:t>
      </w:r>
      <w:r>
        <w:rPr>
          <w:rFonts w:hint="eastAsia" w:ascii="方正小标宋简体" w:hAnsi="方正小标宋简体" w:eastAsia="方正小标宋简体" w:cs="方正小标宋简体"/>
          <w:color w:val="000000"/>
          <w:spacing w:val="0"/>
          <w:w w:val="100"/>
          <w:position w:val="0"/>
          <w:sz w:val="28"/>
          <w:szCs w:val="28"/>
        </w:rPr>
        <w:t>部门项目组织实施情况</w:t>
      </w:r>
    </w:p>
    <w:p>
      <w:pPr>
        <w:pStyle w:val="10"/>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en-US" w:eastAsia="zh-CN" w:bidi="zh-CN"/>
        </w:rPr>
        <w:t>项目支出</w:t>
      </w:r>
      <w:r>
        <w:rPr>
          <w:rFonts w:hint="eastAsia" w:cs="宋体"/>
          <w:color w:val="000000"/>
          <w:spacing w:val="0"/>
          <w:w w:val="100"/>
          <w:kern w:val="2"/>
          <w:position w:val="0"/>
          <w:sz w:val="28"/>
          <w:szCs w:val="28"/>
          <w:lang w:val="en-US" w:eastAsia="zh-CN" w:bidi="zh-CN"/>
        </w:rPr>
        <w:t>6000</w:t>
      </w:r>
      <w:r>
        <w:rPr>
          <w:rFonts w:hint="eastAsia" w:ascii="宋体" w:hAnsi="宋体" w:eastAsia="宋体" w:cs="宋体"/>
          <w:color w:val="000000"/>
          <w:spacing w:val="0"/>
          <w:w w:val="100"/>
          <w:kern w:val="2"/>
          <w:position w:val="0"/>
          <w:sz w:val="28"/>
          <w:szCs w:val="28"/>
          <w:lang w:val="en-US" w:eastAsia="zh-CN" w:bidi="zh-CN"/>
        </w:rPr>
        <w:t>万元，主要用于全区机关事业基本养老保险</w:t>
      </w:r>
      <w:r>
        <w:rPr>
          <w:rFonts w:hint="eastAsia" w:cs="宋体"/>
          <w:color w:val="000000"/>
          <w:spacing w:val="0"/>
          <w:w w:val="100"/>
          <w:kern w:val="2"/>
          <w:position w:val="0"/>
          <w:sz w:val="28"/>
          <w:szCs w:val="28"/>
          <w:lang w:val="en-US" w:eastAsia="zh-CN" w:bidi="zh-CN"/>
        </w:rPr>
        <w:t>退休费</w:t>
      </w:r>
      <w:r>
        <w:rPr>
          <w:rFonts w:hint="eastAsia" w:ascii="宋体" w:hAnsi="宋体" w:eastAsia="宋体" w:cs="宋体"/>
          <w:color w:val="000000"/>
          <w:spacing w:val="0"/>
          <w:w w:val="100"/>
          <w:kern w:val="2"/>
          <w:position w:val="0"/>
          <w:sz w:val="28"/>
          <w:szCs w:val="28"/>
          <w:lang w:val="en-US" w:eastAsia="zh-CN" w:bidi="zh-CN"/>
        </w:rPr>
        <w:t>的发放</w:t>
      </w:r>
      <w:r>
        <w:rPr>
          <w:rFonts w:hint="eastAsia" w:cs="宋体"/>
          <w:color w:val="000000"/>
          <w:spacing w:val="0"/>
          <w:w w:val="100"/>
          <w:kern w:val="2"/>
          <w:position w:val="0"/>
          <w:sz w:val="28"/>
          <w:szCs w:val="28"/>
          <w:lang w:val="en-US" w:eastAsia="zh-CN" w:bidi="zh-CN"/>
        </w:rPr>
        <w:t>。</w:t>
      </w:r>
    </w:p>
    <w:p>
      <w:pPr>
        <w:pStyle w:val="10"/>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方正小标宋简体" w:hAnsi="方正小标宋简体" w:eastAsia="方正小标宋简体" w:cs="方正小标宋简体"/>
          <w:color w:val="000000"/>
          <w:spacing w:val="0"/>
          <w:w w:val="100"/>
          <w:position w:val="0"/>
          <w:sz w:val="28"/>
          <w:szCs w:val="28"/>
          <w:lang w:eastAsia="zh-CN"/>
        </w:rPr>
      </w:pPr>
      <w:r>
        <w:rPr>
          <w:rFonts w:hint="eastAsia" w:ascii="方正小标宋简体" w:hAnsi="方正小标宋简体" w:eastAsia="方正小标宋简体" w:cs="方正小标宋简体"/>
          <w:color w:val="000000"/>
          <w:spacing w:val="0"/>
          <w:w w:val="100"/>
          <w:position w:val="0"/>
          <w:sz w:val="28"/>
          <w:szCs w:val="28"/>
          <w:lang w:eastAsia="zh-CN"/>
        </w:rPr>
        <w:t>四、部门整体支出绩效情况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spacing w:val="0"/>
          <w:w w:val="100"/>
          <w:kern w:val="2"/>
          <w:position w:val="0"/>
          <w:sz w:val="28"/>
          <w:szCs w:val="28"/>
          <w:lang w:val="en-US" w:eastAsia="zh-CN" w:bidi="zh-CN"/>
        </w:rPr>
      </w:pPr>
      <w:r>
        <w:rPr>
          <w:rFonts w:hint="eastAsia" w:ascii="宋体" w:hAnsi="宋体" w:eastAsia="宋体" w:cs="宋体"/>
          <w:color w:val="000000"/>
          <w:spacing w:val="0"/>
          <w:w w:val="100"/>
          <w:kern w:val="2"/>
          <w:position w:val="0"/>
          <w:sz w:val="28"/>
          <w:szCs w:val="28"/>
          <w:lang w:val="en-US" w:eastAsia="zh-CN" w:bidi="zh-CN"/>
        </w:rPr>
        <w:t>单位总体运行良好，圆满完成了各项工作任务；预决算偏离控制在10%以内,无负债;社会服务群众满意度达95％以上。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spacing w:val="0"/>
          <w:w w:val="100"/>
          <w:kern w:val="2"/>
          <w:position w:val="0"/>
          <w:sz w:val="28"/>
          <w:szCs w:val="28"/>
          <w:lang w:val="en-US" w:eastAsia="zh-CN" w:bidi="zh-CN"/>
        </w:rPr>
      </w:pPr>
      <w:r>
        <w:rPr>
          <w:rFonts w:hint="eastAsia" w:ascii="宋体" w:hAnsi="宋体" w:eastAsia="宋体" w:cs="宋体"/>
          <w:color w:val="000000"/>
          <w:spacing w:val="0"/>
          <w:w w:val="100"/>
          <w:kern w:val="2"/>
          <w:position w:val="0"/>
          <w:sz w:val="28"/>
          <w:szCs w:val="28"/>
          <w:lang w:val="en-US" w:eastAsia="zh-CN" w:bidi="zh-CN"/>
        </w:rPr>
        <w:t>截止2018年年底，全区参加机关事业单位基本养老保险总人数5120人，实际缴费人数达2896人，离退休人数达2092人，参保单位总计121个，累计结余3651.98万元；</w:t>
      </w:r>
    </w:p>
    <w:p>
      <w:pPr>
        <w:rPr>
          <w:rFonts w:hint="eastAsia" w:ascii="宋体" w:hAnsi="宋体" w:eastAsia="宋体" w:cs="宋体"/>
          <w:color w:val="000000"/>
          <w:spacing w:val="0"/>
          <w:w w:val="100"/>
          <w:kern w:val="2"/>
          <w:position w:val="0"/>
          <w:sz w:val="28"/>
          <w:szCs w:val="28"/>
          <w:lang w:val="zh-CN" w:eastAsia="zh-CN" w:bidi="zh-CN"/>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57C1F"/>
    <w:rsid w:val="011C10C4"/>
    <w:rsid w:val="0C24554E"/>
    <w:rsid w:val="20EC2208"/>
    <w:rsid w:val="21800BB8"/>
    <w:rsid w:val="21BB050D"/>
    <w:rsid w:val="26AF58FD"/>
    <w:rsid w:val="2CD50EDB"/>
    <w:rsid w:val="36E94710"/>
    <w:rsid w:val="578F05C4"/>
    <w:rsid w:val="5DE57C1F"/>
    <w:rsid w:val="641E5639"/>
    <w:rsid w:val="6D535020"/>
    <w:rsid w:val="73907E59"/>
    <w:rsid w:val="78055081"/>
    <w:rsid w:val="7D1C0A47"/>
    <w:rsid w:val="7D7F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Body text|3"/>
    <w:basedOn w:val="1"/>
    <w:qFormat/>
    <w:uiPriority w:val="0"/>
    <w:pPr>
      <w:spacing w:before="220" w:after="720"/>
      <w:ind w:firstLine="520"/>
    </w:pPr>
    <w:rPr>
      <w:sz w:val="32"/>
      <w:szCs w:val="32"/>
    </w:rPr>
  </w:style>
  <w:style w:type="paragraph" w:customStyle="1" w:styleId="6">
    <w:name w:val="Other|1"/>
    <w:basedOn w:val="1"/>
    <w:qFormat/>
    <w:uiPriority w:val="0"/>
    <w:pPr>
      <w:spacing w:line="302" w:lineRule="exact"/>
    </w:pPr>
    <w:rPr>
      <w:rFonts w:ascii="宋体" w:hAnsi="宋体" w:cs="宋体"/>
      <w:sz w:val="19"/>
      <w:szCs w:val="19"/>
      <w:lang w:val="zh-CN" w:bidi="zh-CN"/>
    </w:rPr>
  </w:style>
  <w:style w:type="paragraph" w:customStyle="1" w:styleId="7">
    <w:name w:val="Body text|4"/>
    <w:basedOn w:val="1"/>
    <w:qFormat/>
    <w:uiPriority w:val="0"/>
    <w:pPr>
      <w:spacing w:after="60"/>
      <w:ind w:firstLine="320"/>
    </w:pPr>
    <w:rPr>
      <w:rFonts w:ascii="宋体" w:hAnsi="宋体" w:cs="宋体"/>
      <w:lang w:val="zh-CN" w:bidi="zh-CN"/>
    </w:rPr>
  </w:style>
  <w:style w:type="paragraph" w:customStyle="1" w:styleId="8">
    <w:name w:val="Table caption|1"/>
    <w:basedOn w:val="1"/>
    <w:qFormat/>
    <w:uiPriority w:val="0"/>
    <w:pPr>
      <w:spacing w:line="302" w:lineRule="exact"/>
      <w:jc w:val="right"/>
    </w:pPr>
    <w:rPr>
      <w:rFonts w:ascii="宋体" w:hAnsi="宋体" w:cs="宋体"/>
      <w:sz w:val="19"/>
      <w:szCs w:val="19"/>
      <w:lang w:val="zh-CN" w:bidi="zh-CN"/>
    </w:rPr>
  </w:style>
  <w:style w:type="paragraph" w:customStyle="1" w:styleId="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10">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1">
    <w:name w:val="Header or footer|2"/>
    <w:basedOn w:val="1"/>
    <w:qFormat/>
    <w:uiPriority w:val="0"/>
    <w:rPr>
      <w:sz w:val="20"/>
      <w:szCs w:val="2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2020-06-22T01:31:00Z</dcterms:created>
  <dc:creator>Administrator</dc:creator>
  <cp:lastModifiedBy>Administrator</cp:lastModifiedBy>
  <dcterms:modified xsi:type="dcterms:W3CDTF">2021-06-05T08:02:54Z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918299B44DA14F169DD04FAA68FB40E2</vt:lpwstr>
  </property>
</Properties>
</file>