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keepLines/>
        <w:spacing w:after="260"/>
        <w:rPr>
          <w:rFonts w:ascii="方正小标宋简体" w:hAnsi="方正小标宋简体" w:eastAsia="方正小标宋简体" w:cs="方正小标宋简体"/>
          <w:color w:val="000000" w:themeColor="text1"/>
          <w:lang w:val="en-US"/>
        </w:rPr>
      </w:pPr>
      <w:bookmarkStart w:id="0" w:name="bookmark90"/>
      <w:bookmarkStart w:id="1" w:name="bookmark88"/>
      <w:bookmarkStart w:id="2" w:name="bookmark89"/>
      <w:bookmarkStart w:id="3" w:name="bookmark91"/>
      <w:r>
        <w:rPr>
          <w:rFonts w:hint="eastAsia" w:ascii="方正小标宋简体" w:hAnsi="方正小标宋简体" w:eastAsia="方正小标宋简体" w:cs="方正小标宋简体"/>
          <w:color w:val="000000" w:themeColor="text1"/>
          <w:lang w:val="en-US"/>
        </w:rPr>
        <w:t>区委编办2018年部门整体支出绩效报告</w:t>
      </w:r>
      <w:bookmarkEnd w:id="0"/>
      <w:bookmarkEnd w:id="1"/>
      <w:bookmarkEnd w:id="2"/>
    </w:p>
    <w:p>
      <w:pPr>
        <w:pStyle w:val="19"/>
        <w:tabs>
          <w:tab w:val="left" w:pos="867"/>
        </w:tabs>
        <w:spacing w:line="56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w:t>
      </w:r>
      <w:bookmarkEnd w:id="3"/>
      <w:r>
        <w:rPr>
          <w:rFonts w:hint="eastAsia" w:ascii="黑体" w:hAnsi="黑体" w:eastAsia="黑体" w:cs="黑体"/>
          <w:color w:val="000000" w:themeColor="text1"/>
          <w:sz w:val="32"/>
          <w:szCs w:val="32"/>
        </w:rPr>
        <w:t>、部门概况</w:t>
      </w:r>
    </w:p>
    <w:p>
      <w:pPr>
        <w:pStyle w:val="19"/>
        <w:tabs>
          <w:tab w:val="left" w:pos="1113"/>
        </w:tabs>
        <w:spacing w:line="560" w:lineRule="exact"/>
        <w:ind w:firstLine="500"/>
        <w:rPr>
          <w:rFonts w:ascii="楷体" w:hAnsi="楷体" w:eastAsia="楷体" w:cs="楷体"/>
          <w:b/>
          <w:bCs/>
          <w:color w:val="000000" w:themeColor="text1"/>
          <w:sz w:val="32"/>
          <w:szCs w:val="32"/>
        </w:rPr>
      </w:pPr>
      <w:bookmarkStart w:id="4" w:name="bookmark92"/>
      <w:r>
        <w:rPr>
          <w:rFonts w:hint="eastAsia" w:ascii="楷体" w:hAnsi="楷体" w:eastAsia="楷体" w:cs="楷体"/>
          <w:b/>
          <w:bCs/>
          <w:color w:val="000000" w:themeColor="text1"/>
          <w:sz w:val="32"/>
          <w:szCs w:val="32"/>
        </w:rPr>
        <w:t>（</w:t>
      </w:r>
      <w:bookmarkEnd w:id="4"/>
      <w:r>
        <w:rPr>
          <w:rFonts w:hint="eastAsia" w:ascii="楷体" w:hAnsi="楷体" w:eastAsia="楷体" w:cs="楷体"/>
          <w:b/>
          <w:bCs/>
          <w:color w:val="000000" w:themeColor="text1"/>
          <w:sz w:val="32"/>
          <w:szCs w:val="32"/>
        </w:rPr>
        <w:t>一）部门基本情况</w:t>
      </w:r>
    </w:p>
    <w:p>
      <w:pPr>
        <w:snapToGrid w:val="0"/>
        <w:spacing w:line="560" w:lineRule="exact"/>
        <w:ind w:firstLine="64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1.机构设置</w:t>
      </w:r>
    </w:p>
    <w:p>
      <w:pPr>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根据《中共珠晖区委机构编制委员会办公室职能配置和人员编制方案》（珠办发〔2002〕19号）文件规定，中共珠晖区委机构编制委员会办公室（对外同时使用珠晖区机构编制委员会办公室名称，以下简称编办）</w:t>
      </w:r>
      <w:r>
        <w:rPr>
          <w:rFonts w:hint="eastAsia" w:ascii="仿宋_GB2312" w:hAnsi="仿宋_GB2312" w:eastAsia="仿宋_GB2312" w:cs="仿宋_GB2312"/>
          <w:color w:val="000000" w:themeColor="text1"/>
          <w:sz w:val="32"/>
          <w:szCs w:val="32"/>
        </w:rPr>
        <w:t>。区</w:t>
      </w:r>
      <w:r>
        <w:rPr>
          <w:rFonts w:hint="eastAsia" w:ascii="仿宋_GB2312" w:hAnsi="仿宋_GB2312" w:eastAsia="仿宋_GB2312" w:cs="仿宋_GB2312"/>
          <w:color w:val="000000" w:themeColor="text1"/>
          <w:kern w:val="0"/>
          <w:sz w:val="32"/>
          <w:szCs w:val="32"/>
        </w:rPr>
        <w:t>机构编制委员会办公室是区委机构编制委员会（对外同时使用区机构编制委员会名称）的常设办事机构。</w:t>
      </w:r>
      <w:r>
        <w:rPr>
          <w:rFonts w:hint="eastAsia" w:ascii="仿宋_GB2312" w:hAnsi="仿宋_GB2312" w:eastAsia="仿宋_GB2312" w:cs="仿宋_GB2312"/>
          <w:color w:val="000000" w:themeColor="text1"/>
          <w:sz w:val="32"/>
          <w:szCs w:val="32"/>
        </w:rPr>
        <w:t>下设二级事业单位区事业单位登记管理局和珠晖区机构编制调剂中心。</w:t>
      </w:r>
    </w:p>
    <w:p>
      <w:pPr>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2.职能职责</w:t>
      </w:r>
    </w:p>
    <w:p>
      <w:pPr>
        <w:spacing w:line="560" w:lineRule="exact"/>
        <w:ind w:firstLine="640" w:firstLineChars="200"/>
        <w:rPr>
          <w:color w:val="000000" w:themeColor="text1"/>
        </w:rPr>
      </w:pPr>
      <w:r>
        <w:rPr>
          <w:rFonts w:hint="eastAsia" w:ascii="仿宋_GB2312" w:hAnsi="仿宋_GB2312" w:eastAsia="仿宋_GB2312" w:cs="仿宋_GB2312"/>
          <w:color w:val="000000" w:themeColor="text1"/>
          <w:sz w:val="32"/>
          <w:szCs w:val="32"/>
        </w:rPr>
        <w:t>中共珠晖区委机构编制委员会办公室是区委的工作机关，正科级，区委机构编制委员会的办事机构，既是区委的工作机构，又是区政府的工作机构。负责全区行政管理体制改革、党政机构改革和机构编制管理、事业单位登记管理、全区机关事业单位统一社会信用代码赋码工作等，发挥党的参谋助手作用。</w:t>
      </w:r>
    </w:p>
    <w:p>
      <w:pPr>
        <w:pStyle w:val="19"/>
        <w:tabs>
          <w:tab w:val="left" w:pos="1113"/>
        </w:tabs>
        <w:spacing w:line="560" w:lineRule="exact"/>
        <w:ind w:firstLine="643" w:firstLineChars="200"/>
        <w:rPr>
          <w:rFonts w:ascii="仿宋_GB2312" w:hAnsi="仿宋_GB2312" w:eastAsia="仿宋_GB2312" w:cs="仿宋_GB2312"/>
          <w:b/>
          <w:bCs/>
          <w:color w:val="000000" w:themeColor="text1"/>
          <w:kern w:val="0"/>
          <w:sz w:val="32"/>
          <w:szCs w:val="32"/>
          <w:lang w:val="en-US" w:bidi="ar-SA"/>
        </w:rPr>
      </w:pPr>
      <w:r>
        <w:rPr>
          <w:rFonts w:hint="eastAsia" w:ascii="仿宋_GB2312" w:hAnsi="仿宋_GB2312" w:eastAsia="仿宋_GB2312" w:cs="仿宋_GB2312"/>
          <w:b/>
          <w:bCs/>
          <w:color w:val="000000" w:themeColor="text1"/>
          <w:kern w:val="0"/>
          <w:sz w:val="32"/>
          <w:szCs w:val="32"/>
          <w:lang w:val="en-US" w:bidi="ar-SA"/>
        </w:rPr>
        <w:t>3.重点工作计划。</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（1）系统整理全区行政事业单位机构数、核定编制数、实有人数、核定领导职数，摸清了底子，及时上报市编办所需要数据和资料。成立了全区机构改革领导小组。</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（2）对乡镇财税所及东阳渡街道的机构编制情况进行调研。</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（3）召开了区直承担行政职能事业单位改革调查摸底工作会议，对相关单位承担的行政职能逐一进行梳理，对权力清单进行审核。</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（4）多次与省、市编办对接、与其他城区商讨，起草、修改、完善、呈报了我区机构改革方案。</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（5）完成了纪检委、监察委机关设置内设机构和检察院人员转隶。</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核查各单位上报的区内未进财政统发退休人员、未进财政统发在编人员、社区退休人员中在编人员、原城管办退休人员、近三年军队退役士官安置落实情况，核查实名制系统里已达退休而未销编人员。解决原城管执法局下属事业单位编制遗留问题；核查了区卫生教育系统人员编制情况、在编教师备案情况。根据市编办要求，联合区教文体局对教师编制总数重新分配到具体中小学，并根据区教文体局提供名单，在实名制数据库内，将所有教师的岗位及时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通过争取，行政编制总量增加3名；升格、明确正科级机构3家，</w:t>
      </w:r>
      <w:r>
        <w:rPr>
          <w:rFonts w:hint="eastAsia" w:ascii="仿宋_GB2312" w:hAnsi="仿宋_GB2312" w:eastAsia="仿宋_GB2312" w:cs="仿宋_GB2312"/>
          <w:color w:val="000000"/>
          <w:sz w:val="32"/>
          <w:szCs w:val="32"/>
        </w:rPr>
        <w:t>核定正副科级领导职数各3名；</w:t>
      </w:r>
      <w:r>
        <w:rPr>
          <w:rFonts w:hint="eastAsia" w:ascii="仿宋_GB2312" w:hAnsi="仿宋_GB2312" w:eastAsia="仿宋_GB2312" w:cs="仿宋_GB2312"/>
          <w:sz w:val="32"/>
          <w:szCs w:val="32"/>
        </w:rPr>
        <w:t>向市编办争取行政编制用编计划数10名，事业编制计划用编数202名。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（8）实有人数相对2012年底基数，行政编制实有人数减少38人，事业编制实有人数减少332人。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（9）严格落实我区事业单位登记年度审核制度。</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目录清单和实施清单的填报工作都达到了100%的填报率，顺利通过了市审改工作考核。我区行政权力清单事项共801项，公共服务事项58项全部在互联网+政务服务平台上完成目录清单和实施清单的申报填写挂网。</w:t>
      </w:r>
    </w:p>
    <w:p>
      <w:pPr>
        <w:pStyle w:val="19"/>
        <w:tabs>
          <w:tab w:val="left" w:pos="1113"/>
        </w:tabs>
        <w:spacing w:line="560" w:lineRule="exact"/>
        <w:ind w:firstLine="5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rPr>
        <w:t>承办区委、区政府交办的其他事项。</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rPr>
        <w:t>二）</w:t>
      </w:r>
      <w:r>
        <w:rPr>
          <w:rFonts w:hint="eastAsia" w:ascii="楷体" w:hAnsi="楷体" w:eastAsia="楷体" w:cs="楷体"/>
          <w:b/>
          <w:bCs/>
          <w:color w:val="000000"/>
          <w:sz w:val="32"/>
          <w:szCs w:val="32"/>
        </w:rPr>
        <w:t>部门整体支出规模、使用方向和主要内容、涉及范围等</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我单位</w:t>
      </w:r>
      <w:r>
        <w:rPr>
          <w:rFonts w:ascii="仿宋" w:hAnsi="仿宋" w:eastAsia="仿宋" w:cs="仿宋_GB2312"/>
          <w:kern w:val="0"/>
          <w:sz w:val="32"/>
          <w:szCs w:val="32"/>
        </w:rPr>
        <w:t>201</w:t>
      </w:r>
      <w:r>
        <w:rPr>
          <w:rFonts w:hint="eastAsia" w:ascii="仿宋" w:hAnsi="仿宋" w:eastAsia="仿宋" w:cs="仿宋_GB2312"/>
          <w:kern w:val="0"/>
          <w:sz w:val="32"/>
          <w:szCs w:val="32"/>
        </w:rPr>
        <w:t>8</w:t>
      </w:r>
      <w:r>
        <w:rPr>
          <w:rFonts w:ascii="仿宋" w:hAnsi="仿宋" w:eastAsia="仿宋" w:cs="仿宋_GB2312"/>
          <w:kern w:val="0"/>
          <w:sz w:val="32"/>
          <w:szCs w:val="32"/>
        </w:rPr>
        <w:t>度收入总计64.56万元，其中财政拨款收入64.56万元，占本年收入</w:t>
      </w:r>
      <w:r>
        <w:rPr>
          <w:rFonts w:hint="eastAsia" w:ascii="仿宋" w:hAnsi="仿宋" w:eastAsia="仿宋" w:cs="仿宋_GB2312"/>
          <w:kern w:val="0"/>
          <w:sz w:val="32"/>
          <w:szCs w:val="32"/>
        </w:rPr>
        <w:t>100</w:t>
      </w:r>
      <w:r>
        <w:rPr>
          <w:rFonts w:ascii="仿宋" w:hAnsi="仿宋" w:eastAsia="仿宋" w:cs="仿宋_GB2312"/>
          <w:kern w:val="0"/>
          <w:sz w:val="32"/>
          <w:szCs w:val="32"/>
        </w:rPr>
        <w:t>%；其他收入</w:t>
      </w:r>
      <w:r>
        <w:rPr>
          <w:rFonts w:hint="eastAsia" w:ascii="仿宋" w:hAnsi="仿宋" w:eastAsia="仿宋" w:cs="仿宋_GB2312"/>
          <w:kern w:val="0"/>
          <w:sz w:val="32"/>
          <w:szCs w:val="32"/>
        </w:rPr>
        <w:t>0</w:t>
      </w:r>
      <w:r>
        <w:rPr>
          <w:rFonts w:ascii="仿宋" w:hAnsi="仿宋" w:eastAsia="仿宋" w:cs="仿宋_GB2312"/>
          <w:kern w:val="0"/>
          <w:sz w:val="32"/>
          <w:szCs w:val="32"/>
        </w:rPr>
        <w:t>万元，占本年收入</w:t>
      </w:r>
      <w:r>
        <w:rPr>
          <w:rFonts w:hint="eastAsia" w:ascii="仿宋" w:hAnsi="仿宋" w:eastAsia="仿宋" w:cs="仿宋_GB2312"/>
          <w:kern w:val="0"/>
          <w:sz w:val="32"/>
          <w:szCs w:val="32"/>
        </w:rPr>
        <w:t>0</w:t>
      </w:r>
      <w:r>
        <w:rPr>
          <w:rFonts w:ascii="仿宋" w:hAnsi="仿宋" w:eastAsia="仿宋" w:cs="仿宋_GB2312"/>
          <w:kern w:val="0"/>
          <w:sz w:val="32"/>
          <w:szCs w:val="32"/>
        </w:rPr>
        <w:t>%。本年支出总计64.56万元，其中：</w:t>
      </w:r>
      <w:r>
        <w:rPr>
          <w:rFonts w:hint="eastAsia" w:ascii="仿宋" w:hAnsi="仿宋" w:eastAsia="仿宋" w:cs="仿宋_GB2312"/>
          <w:kern w:val="0"/>
          <w:sz w:val="32"/>
          <w:szCs w:val="32"/>
        </w:rPr>
        <w:t>财政拨款</w:t>
      </w:r>
      <w:r>
        <w:rPr>
          <w:rFonts w:ascii="仿宋" w:hAnsi="仿宋" w:eastAsia="仿宋" w:cs="仿宋_GB2312"/>
          <w:kern w:val="0"/>
          <w:sz w:val="32"/>
          <w:szCs w:val="32"/>
        </w:rPr>
        <w:t>支出64.56万元，占本年支出的</w:t>
      </w:r>
      <w:r>
        <w:rPr>
          <w:rFonts w:hint="eastAsia" w:ascii="仿宋" w:hAnsi="仿宋" w:eastAsia="仿宋" w:cs="仿宋_GB2312"/>
          <w:kern w:val="0"/>
          <w:sz w:val="32"/>
          <w:szCs w:val="32"/>
        </w:rPr>
        <w:t>100</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pStyle w:val="19"/>
        <w:tabs>
          <w:tab w:val="left" w:pos="867"/>
        </w:tabs>
        <w:spacing w:line="560" w:lineRule="exact"/>
        <w:rPr>
          <w:rFonts w:ascii="Calibri" w:hAnsi="Calibri" w:eastAsia="仿宋_GB2312" w:cs="Times New Roman"/>
          <w:b/>
          <w:bCs/>
          <w:color w:val="000000" w:themeColor="text1"/>
          <w:sz w:val="28"/>
          <w:szCs w:val="28"/>
          <w:lang w:val="en-US" w:bidi="ar-SA"/>
        </w:rPr>
      </w:pPr>
      <w:r>
        <w:rPr>
          <w:rFonts w:hint="eastAsia" w:ascii="Calibri" w:hAnsi="Calibri" w:eastAsia="仿宋_GB2312" w:cs="Times New Roman"/>
          <w:b/>
          <w:bCs/>
          <w:color w:val="000000" w:themeColor="text1"/>
          <w:sz w:val="28"/>
          <w:szCs w:val="28"/>
          <w:lang w:val="en-US" w:bidi="ar-SA"/>
        </w:rPr>
        <w:t>二、部门整体支出管理及使用情况</w:t>
      </w:r>
    </w:p>
    <w:p>
      <w:pPr>
        <w:spacing w:line="560" w:lineRule="exact"/>
        <w:ind w:firstLine="645"/>
        <w:rPr>
          <w:rFonts w:hint="eastAsia" w:eastAsia="仿宋_GB2312"/>
          <w:b/>
          <w:bCs/>
          <w:color w:val="000000" w:themeColor="text1"/>
          <w:sz w:val="28"/>
          <w:szCs w:val="28"/>
        </w:rPr>
      </w:pPr>
      <w:r>
        <w:rPr>
          <w:rFonts w:hint="eastAsia" w:eastAsia="仿宋_GB2312"/>
          <w:b/>
          <w:bCs/>
          <w:color w:val="000000" w:themeColor="text1"/>
          <w:sz w:val="28"/>
          <w:szCs w:val="28"/>
        </w:rPr>
        <w:t>（一）基本支出</w:t>
      </w:r>
    </w:p>
    <w:p>
      <w:pPr>
        <w:spacing w:line="560" w:lineRule="exact"/>
        <w:ind w:firstLine="645"/>
        <w:rPr>
          <w:rFonts w:ascii="仿宋" w:hAnsi="仿宋" w:eastAsia="仿宋" w:cs="仿宋_GB2312"/>
          <w:color w:val="FF0000"/>
          <w:kern w:val="0"/>
          <w:sz w:val="32"/>
          <w:szCs w:val="32"/>
        </w:rPr>
      </w:pPr>
      <w:r>
        <w:rPr>
          <w:rFonts w:hint="eastAsia" w:ascii="Times New Roman" w:hAnsi="Times New Roman" w:eastAsia="仿宋_GB2312"/>
          <w:sz w:val="32"/>
          <w:szCs w:val="32"/>
        </w:rPr>
        <w:t>2018</w:t>
      </w:r>
      <w:r>
        <w:rPr>
          <w:rFonts w:ascii="Times New Roman" w:hAnsi="Times New Roman" w:eastAsia="仿宋_GB2312"/>
          <w:sz w:val="32"/>
          <w:szCs w:val="32"/>
        </w:rPr>
        <w:t>年度财政拨款基本支出49.56万元，其中：人员经费</w:t>
      </w:r>
      <w:r>
        <w:rPr>
          <w:rFonts w:hint="eastAsia" w:ascii="Times New Roman" w:hAnsi="Times New Roman" w:eastAsia="仿宋_GB2312"/>
          <w:sz w:val="32"/>
          <w:szCs w:val="32"/>
        </w:rPr>
        <w:t>47.06</w:t>
      </w:r>
      <w:r>
        <w:rPr>
          <w:rFonts w:ascii="Times New Roman" w:hAnsi="Times New Roman" w:eastAsia="仿宋_GB2312"/>
          <w:sz w:val="32"/>
          <w:szCs w:val="32"/>
        </w:rPr>
        <w:t>万元，主要包括基本工资、津贴补贴、奖金、伙食补助费；公用经费</w:t>
      </w:r>
      <w:r>
        <w:rPr>
          <w:rFonts w:hint="eastAsia" w:ascii="Times New Roman" w:hAnsi="Times New Roman" w:eastAsia="仿宋_GB2312"/>
          <w:sz w:val="32"/>
          <w:szCs w:val="32"/>
        </w:rPr>
        <w:t>2.5</w:t>
      </w:r>
      <w:r>
        <w:rPr>
          <w:rFonts w:ascii="Times New Roman" w:hAnsi="Times New Roman" w:eastAsia="仿宋_GB2312"/>
          <w:sz w:val="32"/>
          <w:szCs w:val="32"/>
        </w:rPr>
        <w:t>万元，主要包括办公费、印刷费、咨询费、手续费。</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“三公”经费支出</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为1.1万元</w:t>
      </w:r>
      <w:r>
        <w:rPr>
          <w:rFonts w:hint="eastAsia" w:ascii="仿宋" w:hAnsi="仿宋" w:eastAsia="仿宋" w:cs="仿宋_GB2312"/>
          <w:kern w:val="0"/>
          <w:sz w:val="32"/>
          <w:szCs w:val="32"/>
          <w:lang w:eastAsia="zh-CN"/>
        </w:rPr>
        <w:t>，实际支出为</w:t>
      </w:r>
      <w:r>
        <w:rPr>
          <w:rFonts w:hint="eastAsia" w:ascii="仿宋" w:hAnsi="仿宋" w:eastAsia="仿宋" w:cs="仿宋_GB2312"/>
          <w:kern w:val="0"/>
          <w:sz w:val="32"/>
          <w:szCs w:val="32"/>
          <w:lang w:val="en-US" w:eastAsia="zh-CN"/>
        </w:rPr>
        <w:t>0元</w:t>
      </w:r>
      <w:r>
        <w:rPr>
          <w:rFonts w:hint="eastAsia" w:ascii="仿宋" w:hAnsi="仿宋" w:eastAsia="仿宋" w:cs="仿宋_GB2312"/>
          <w:kern w:val="0"/>
          <w:sz w:val="32"/>
          <w:szCs w:val="32"/>
        </w:rPr>
        <w:t>。</w:t>
      </w:r>
    </w:p>
    <w:p>
      <w:pPr>
        <w:widowControl/>
        <w:spacing w:line="560" w:lineRule="exact"/>
        <w:ind w:firstLine="551" w:firstLineChars="196"/>
        <w:jc w:val="left"/>
        <w:rPr>
          <w:rFonts w:hint="eastAsia" w:eastAsia="仿宋_GB2312"/>
          <w:b/>
          <w:bCs/>
          <w:color w:val="000000" w:themeColor="text1"/>
          <w:sz w:val="28"/>
          <w:szCs w:val="28"/>
        </w:rPr>
      </w:pPr>
      <w:r>
        <w:rPr>
          <w:rFonts w:hint="eastAsia" w:eastAsia="仿宋_GB2312"/>
          <w:b/>
          <w:bCs/>
          <w:color w:val="000000" w:themeColor="text1"/>
          <w:sz w:val="28"/>
          <w:szCs w:val="28"/>
        </w:rPr>
        <w:t>（二）项目支出</w:t>
      </w:r>
    </w:p>
    <w:p>
      <w:pPr>
        <w:widowControl/>
        <w:spacing w:line="560" w:lineRule="exact"/>
        <w:ind w:firstLine="627" w:firstLineChars="196"/>
        <w:jc w:val="left"/>
        <w:rPr>
          <w:rFonts w:ascii="仿宋" w:hAnsi="仿宋" w:eastAsia="仿宋" w:cs="仿宋_GB2312"/>
          <w:kern w:val="0"/>
          <w:sz w:val="32"/>
          <w:szCs w:val="32"/>
        </w:rPr>
      </w:pPr>
      <w:r>
        <w:rPr>
          <w:rFonts w:ascii="仿宋" w:hAnsi="仿宋" w:eastAsia="仿宋" w:cs="仿宋_GB2312"/>
          <w:kern w:val="0"/>
          <w:sz w:val="32"/>
          <w:szCs w:val="32"/>
        </w:rPr>
        <w:t>201</w:t>
      </w:r>
      <w:r>
        <w:rPr>
          <w:rFonts w:hint="eastAsia" w:ascii="仿宋" w:hAnsi="仿宋" w:eastAsia="仿宋" w:cs="仿宋_GB2312"/>
          <w:kern w:val="0"/>
          <w:sz w:val="32"/>
          <w:szCs w:val="32"/>
        </w:rPr>
        <w:t>8</w:t>
      </w:r>
      <w:r>
        <w:rPr>
          <w:rFonts w:ascii="仿宋" w:hAnsi="仿宋" w:eastAsia="仿宋" w:cs="仿宋_GB2312"/>
          <w:kern w:val="0"/>
          <w:sz w:val="32"/>
          <w:szCs w:val="32"/>
        </w:rPr>
        <w:t>年度</w:t>
      </w:r>
      <w:r>
        <w:rPr>
          <w:rFonts w:hint="eastAsia" w:ascii="仿宋" w:hAnsi="仿宋" w:eastAsia="仿宋" w:cs="仿宋_GB2312"/>
          <w:kern w:val="0"/>
          <w:sz w:val="32"/>
          <w:szCs w:val="32"/>
        </w:rPr>
        <w:t>项目</w:t>
      </w:r>
      <w:r>
        <w:rPr>
          <w:rFonts w:ascii="仿宋" w:hAnsi="仿宋" w:eastAsia="仿宋" w:cs="仿宋_GB2312"/>
          <w:kern w:val="0"/>
          <w:sz w:val="32"/>
          <w:szCs w:val="32"/>
        </w:rPr>
        <w:t>支出</w:t>
      </w:r>
      <w:r>
        <w:rPr>
          <w:rFonts w:hint="eastAsia" w:ascii="仿宋" w:hAnsi="仿宋" w:eastAsia="仿宋" w:cs="仿宋_GB2312"/>
          <w:kern w:val="0"/>
          <w:sz w:val="32"/>
          <w:szCs w:val="32"/>
        </w:rPr>
        <w:t>15</w:t>
      </w:r>
      <w:r>
        <w:rPr>
          <w:rFonts w:ascii="仿宋" w:hAnsi="仿宋" w:eastAsia="仿宋" w:cs="仿宋_GB2312"/>
          <w:kern w:val="0"/>
          <w:sz w:val="32"/>
          <w:szCs w:val="32"/>
        </w:rPr>
        <w:t>万元</w:t>
      </w:r>
      <w:r>
        <w:rPr>
          <w:rFonts w:hint="eastAsia" w:ascii="仿宋" w:hAnsi="仿宋" w:eastAsia="仿宋" w:cs="仿宋_GB2312"/>
          <w:kern w:val="0"/>
          <w:sz w:val="32"/>
          <w:szCs w:val="32"/>
        </w:rPr>
        <w:t>，其中专项工作经费，资金总额3.5万元，全区行政事业单位中文域名网域维护和注册费，资金总额9.5万元；事业单位登记管理局业务费，资金总额2万元。</w:t>
      </w:r>
    </w:p>
    <w:p>
      <w:pPr>
        <w:widowControl/>
        <w:spacing w:line="560" w:lineRule="exact"/>
        <w:ind w:firstLine="551" w:firstLineChars="196"/>
        <w:jc w:val="left"/>
        <w:rPr>
          <w:rFonts w:eastAsia="仿宋_GB2312"/>
          <w:b/>
          <w:bCs/>
          <w:color w:val="000000" w:themeColor="text1"/>
          <w:sz w:val="28"/>
          <w:szCs w:val="28"/>
        </w:rPr>
      </w:pPr>
      <w:r>
        <w:rPr>
          <w:rFonts w:hint="eastAsia" w:eastAsia="仿宋_GB2312"/>
          <w:b/>
          <w:bCs/>
          <w:color w:val="000000" w:themeColor="text1"/>
          <w:sz w:val="28"/>
          <w:szCs w:val="28"/>
        </w:rPr>
        <w:t>三、部门项目组织实施情况</w:t>
      </w:r>
    </w:p>
    <w:p>
      <w:pPr>
        <w:widowControl/>
        <w:spacing w:line="560" w:lineRule="exact"/>
        <w:ind w:firstLine="627" w:firstLineChars="196"/>
        <w:jc w:val="left"/>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区委编办无建设性项目支出</w:t>
      </w:r>
    </w:p>
    <w:p>
      <w:pPr>
        <w:widowControl/>
        <w:spacing w:line="560" w:lineRule="exact"/>
        <w:ind w:firstLine="551" w:firstLineChars="196"/>
        <w:jc w:val="left"/>
        <w:rPr>
          <w:rFonts w:eastAsia="仿宋_GB2312"/>
          <w:b/>
          <w:bCs/>
          <w:color w:val="000000" w:themeColor="text1"/>
          <w:sz w:val="28"/>
          <w:szCs w:val="28"/>
        </w:rPr>
      </w:pPr>
      <w:r>
        <w:rPr>
          <w:rFonts w:hint="eastAsia" w:eastAsia="仿宋_GB2312"/>
          <w:b/>
          <w:bCs/>
          <w:color w:val="000000" w:themeColor="text1"/>
          <w:sz w:val="28"/>
          <w:szCs w:val="28"/>
        </w:rPr>
        <w:t>四、资产管理情况</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国有资产占用使用及新增资产配置情况：截至 2017年 12 月底，国有资产10.79万元，为通用设备及办公桌椅等设施。</w:t>
      </w:r>
    </w:p>
    <w:p>
      <w:pPr>
        <w:widowControl/>
        <w:spacing w:line="560" w:lineRule="exact"/>
        <w:ind w:firstLine="551" w:firstLineChars="196"/>
        <w:jc w:val="left"/>
        <w:rPr>
          <w:rFonts w:eastAsia="仿宋_GB2312"/>
          <w:b/>
          <w:bCs/>
          <w:color w:val="000000" w:themeColor="text1"/>
          <w:sz w:val="28"/>
          <w:szCs w:val="28"/>
        </w:rPr>
      </w:pPr>
      <w:r>
        <w:rPr>
          <w:rFonts w:hint="eastAsia" w:eastAsia="仿宋_GB2312"/>
          <w:b/>
          <w:bCs/>
          <w:color w:val="000000" w:themeColor="text1"/>
          <w:sz w:val="28"/>
          <w:szCs w:val="28"/>
        </w:rPr>
        <w:t>五、部门整体支出绩效情况</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1.执行了预算政策要求。区委</w:t>
      </w:r>
      <w:r>
        <w:rPr>
          <w:rFonts w:hint="eastAsia" w:ascii="仿宋" w:hAnsi="仿宋" w:eastAsia="仿宋" w:cs="仿宋_GB2312"/>
          <w:kern w:val="0"/>
          <w:sz w:val="32"/>
          <w:szCs w:val="32"/>
          <w:lang w:eastAsia="zh-CN"/>
        </w:rPr>
        <w:t>编办</w:t>
      </w:r>
      <w:bookmarkStart w:id="5" w:name="_GoBack"/>
      <w:bookmarkEnd w:id="5"/>
      <w:r>
        <w:rPr>
          <w:rFonts w:hint="eastAsia" w:ascii="仿宋" w:hAnsi="仿宋" w:eastAsia="仿宋" w:cs="仿宋_GB2312"/>
          <w:kern w:val="0"/>
          <w:sz w:val="32"/>
          <w:szCs w:val="32"/>
        </w:rPr>
        <w:t>工作经费安排严格按照年初预算来执行，有效防止了超预算；认真学习财经法规，严格执行财经纪律，防止了违法违纪行为的发生。</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仿宋_GB2312"/>
          <w:kern w:val="0"/>
          <w:sz w:val="32"/>
          <w:szCs w:val="32"/>
        </w:rPr>
        <w:t>保障了机关有效运转。严格按照厉行节约的要求，精打细算，规范机关事务管理工作，提高服务质量，降低运行成本，合理配置，提高保障能力。</w:t>
      </w:r>
    </w:p>
    <w:p>
      <w:pPr>
        <w:widowControl/>
        <w:spacing w:line="560" w:lineRule="exact"/>
        <w:ind w:firstLine="551" w:firstLineChars="196"/>
        <w:jc w:val="left"/>
        <w:rPr>
          <w:rFonts w:eastAsia="仿宋_GB2312"/>
          <w:b/>
          <w:bCs/>
          <w:color w:val="000000" w:themeColor="text1"/>
          <w:sz w:val="28"/>
          <w:szCs w:val="28"/>
        </w:rPr>
      </w:pPr>
      <w:r>
        <w:rPr>
          <w:rFonts w:hint="eastAsia" w:eastAsia="仿宋_GB2312"/>
          <w:b/>
          <w:bCs/>
          <w:color w:val="000000" w:themeColor="text1"/>
          <w:sz w:val="28"/>
          <w:szCs w:val="28"/>
        </w:rPr>
        <w:t>六、存在的主要问题</w:t>
      </w:r>
    </w:p>
    <w:p>
      <w:pPr>
        <w:widowControl/>
        <w:spacing w:line="560" w:lineRule="exact"/>
        <w:ind w:firstLine="627" w:firstLineChars="196"/>
        <w:jc w:val="left"/>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1</w:t>
      </w:r>
      <w:r>
        <w:rPr>
          <w:rFonts w:ascii="仿宋" w:hAnsi="仿宋" w:eastAsia="仿宋" w:cs="仿宋_GB2312"/>
          <w:color w:val="000000" w:themeColor="text1"/>
          <w:kern w:val="0"/>
          <w:sz w:val="32"/>
          <w:szCs w:val="32"/>
        </w:rPr>
        <w:t>、业务经费年初预算安排不足。由于预算安排不足，缺口资金只能调剂其他资金使用。</w:t>
      </w:r>
    </w:p>
    <w:p>
      <w:pPr>
        <w:widowControl/>
        <w:spacing w:line="560" w:lineRule="exact"/>
        <w:ind w:firstLine="627" w:firstLineChars="196"/>
        <w:jc w:val="left"/>
        <w:rPr>
          <w:rFonts w:ascii="仿宋" w:hAnsi="仿宋" w:eastAsia="仿宋" w:cs="仿宋_GB2312"/>
          <w:color w:val="000000" w:themeColor="text1"/>
          <w:kern w:val="0"/>
          <w:sz w:val="32"/>
          <w:szCs w:val="32"/>
        </w:rPr>
      </w:pPr>
      <w:r>
        <w:rPr>
          <w:rFonts w:ascii="仿宋" w:hAnsi="仿宋" w:eastAsia="仿宋" w:cs="仿宋_GB2312"/>
          <w:color w:val="000000" w:themeColor="text1"/>
          <w:kern w:val="0"/>
          <w:sz w:val="32"/>
          <w:szCs w:val="32"/>
        </w:rPr>
        <w:t>2、年初预算编制不够精细。预算编制不够明确和细化，预算编制的合理性需要提高。</w:t>
      </w:r>
    </w:p>
    <w:p>
      <w:pPr>
        <w:widowControl/>
        <w:spacing w:line="560" w:lineRule="exact"/>
        <w:ind w:firstLine="551" w:firstLineChars="196"/>
        <w:jc w:val="left"/>
        <w:rPr>
          <w:rFonts w:eastAsia="仿宋_GB2312"/>
          <w:b/>
          <w:bCs/>
          <w:color w:val="000000" w:themeColor="text1"/>
          <w:sz w:val="28"/>
          <w:szCs w:val="28"/>
        </w:rPr>
      </w:pPr>
      <w:r>
        <w:rPr>
          <w:rFonts w:hint="eastAsia" w:eastAsia="仿宋_GB2312"/>
          <w:b/>
          <w:bCs/>
          <w:color w:val="000000" w:themeColor="text1"/>
          <w:sz w:val="28"/>
          <w:szCs w:val="28"/>
        </w:rPr>
        <w:t>七、改进措施和有关建议</w:t>
      </w:r>
    </w:p>
    <w:p>
      <w:pPr>
        <w:widowControl/>
        <w:spacing w:line="560" w:lineRule="exact"/>
        <w:ind w:firstLine="627" w:firstLineChars="196"/>
        <w:jc w:val="left"/>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推行政府机关绩效管理制度是推进政府职能转变、提高政府执行力和公信力的重要举措，是转变机关作风、加强政府勤政廉政建设的重要抓手。近年来，区委编办高度重视绩效评价工作，下一步，我们将继续加强绩效管理，争取产生更多的经济效益和更好的社会效益。</w:t>
      </w:r>
    </w:p>
    <w:p>
      <w:pPr>
        <w:widowControl/>
        <w:spacing w:line="560" w:lineRule="exact"/>
        <w:ind w:firstLine="627" w:firstLineChars="196"/>
        <w:jc w:val="left"/>
        <w:rPr>
          <w:rFonts w:ascii="仿宋" w:hAnsi="仿宋" w:eastAsia="仿宋" w:cs="仿宋_GB2312"/>
          <w:color w:val="333333"/>
          <w:kern w:val="0"/>
          <w:sz w:val="32"/>
          <w:szCs w:val="32"/>
        </w:rPr>
      </w:pPr>
    </w:p>
    <w:p>
      <w:pPr>
        <w:spacing w:line="560"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path/>
          <v:fill on="f" focussize="0,0"/>
          <v:stroke on="f" joinstyle="miter"/>
          <v:imagedata o:title=""/>
          <o:lock v:ext="edit"/>
          <v:textbox inset="0mm,0mm,0mm,0mm" style="mso-fit-shape-to-text:t;">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E2572"/>
    <w:rsid w:val="00121370"/>
    <w:rsid w:val="00137480"/>
    <w:rsid w:val="00145463"/>
    <w:rsid w:val="00394F14"/>
    <w:rsid w:val="003D14D9"/>
    <w:rsid w:val="00425D76"/>
    <w:rsid w:val="004A6213"/>
    <w:rsid w:val="00520470"/>
    <w:rsid w:val="00571E6B"/>
    <w:rsid w:val="005B2E8E"/>
    <w:rsid w:val="0068178F"/>
    <w:rsid w:val="00684F93"/>
    <w:rsid w:val="006B2190"/>
    <w:rsid w:val="0070013F"/>
    <w:rsid w:val="00796827"/>
    <w:rsid w:val="0081607C"/>
    <w:rsid w:val="0088451F"/>
    <w:rsid w:val="008A18D0"/>
    <w:rsid w:val="0097060E"/>
    <w:rsid w:val="00976964"/>
    <w:rsid w:val="009B13AB"/>
    <w:rsid w:val="009F58BA"/>
    <w:rsid w:val="00A750E9"/>
    <w:rsid w:val="00AE3025"/>
    <w:rsid w:val="00B300BA"/>
    <w:rsid w:val="00B95D04"/>
    <w:rsid w:val="00B97A81"/>
    <w:rsid w:val="00BB2492"/>
    <w:rsid w:val="00C55B79"/>
    <w:rsid w:val="00C9786B"/>
    <w:rsid w:val="00CA7551"/>
    <w:rsid w:val="00CC5E81"/>
    <w:rsid w:val="00CD022B"/>
    <w:rsid w:val="00CD71DD"/>
    <w:rsid w:val="00CE1DF9"/>
    <w:rsid w:val="00CF7D17"/>
    <w:rsid w:val="00D96B4B"/>
    <w:rsid w:val="00E14384"/>
    <w:rsid w:val="00EC1026"/>
    <w:rsid w:val="00EF5AC8"/>
    <w:rsid w:val="00F36A18"/>
    <w:rsid w:val="0204660B"/>
    <w:rsid w:val="02312FDE"/>
    <w:rsid w:val="030A3C3B"/>
    <w:rsid w:val="03737E75"/>
    <w:rsid w:val="04B87276"/>
    <w:rsid w:val="04E06069"/>
    <w:rsid w:val="079331E6"/>
    <w:rsid w:val="07BF3E8E"/>
    <w:rsid w:val="0850536B"/>
    <w:rsid w:val="0A6E1131"/>
    <w:rsid w:val="0ABA5A1A"/>
    <w:rsid w:val="0C2C0AE8"/>
    <w:rsid w:val="0C505A2A"/>
    <w:rsid w:val="0C9216F5"/>
    <w:rsid w:val="0CA21281"/>
    <w:rsid w:val="0CC27776"/>
    <w:rsid w:val="0CCE59EF"/>
    <w:rsid w:val="0D0C314C"/>
    <w:rsid w:val="0D62788D"/>
    <w:rsid w:val="0DBF1AD4"/>
    <w:rsid w:val="0E557D8D"/>
    <w:rsid w:val="0ED60D5B"/>
    <w:rsid w:val="0EDA26E4"/>
    <w:rsid w:val="11392C8F"/>
    <w:rsid w:val="117E52F5"/>
    <w:rsid w:val="11E31107"/>
    <w:rsid w:val="12190CA1"/>
    <w:rsid w:val="121F4CD5"/>
    <w:rsid w:val="13032C07"/>
    <w:rsid w:val="14544B19"/>
    <w:rsid w:val="14E8169B"/>
    <w:rsid w:val="15224E9F"/>
    <w:rsid w:val="15383880"/>
    <w:rsid w:val="15532E0B"/>
    <w:rsid w:val="163625A5"/>
    <w:rsid w:val="171836AF"/>
    <w:rsid w:val="172F08D2"/>
    <w:rsid w:val="173C1C45"/>
    <w:rsid w:val="179C5A08"/>
    <w:rsid w:val="17D1374B"/>
    <w:rsid w:val="1810076A"/>
    <w:rsid w:val="186874F6"/>
    <w:rsid w:val="18BF0191"/>
    <w:rsid w:val="197241F9"/>
    <w:rsid w:val="19FF692D"/>
    <w:rsid w:val="1A681AC2"/>
    <w:rsid w:val="1B543EC2"/>
    <w:rsid w:val="1B987654"/>
    <w:rsid w:val="1C6C2A84"/>
    <w:rsid w:val="1CB55F50"/>
    <w:rsid w:val="1D6750ED"/>
    <w:rsid w:val="1DD94C26"/>
    <w:rsid w:val="1DEE0851"/>
    <w:rsid w:val="1E425758"/>
    <w:rsid w:val="1E4E7A45"/>
    <w:rsid w:val="1F154C9A"/>
    <w:rsid w:val="1F6E185C"/>
    <w:rsid w:val="1F772D76"/>
    <w:rsid w:val="1FC52873"/>
    <w:rsid w:val="1FFF65DD"/>
    <w:rsid w:val="203A3003"/>
    <w:rsid w:val="205265F0"/>
    <w:rsid w:val="20F86062"/>
    <w:rsid w:val="22971B06"/>
    <w:rsid w:val="22DC6AEB"/>
    <w:rsid w:val="22DD4A50"/>
    <w:rsid w:val="22FE6750"/>
    <w:rsid w:val="236639AE"/>
    <w:rsid w:val="23A35DD7"/>
    <w:rsid w:val="23C93361"/>
    <w:rsid w:val="23F34ABC"/>
    <w:rsid w:val="24884691"/>
    <w:rsid w:val="25113F60"/>
    <w:rsid w:val="25126487"/>
    <w:rsid w:val="25BF4958"/>
    <w:rsid w:val="2628493F"/>
    <w:rsid w:val="26345962"/>
    <w:rsid w:val="28482CCF"/>
    <w:rsid w:val="290A0FAD"/>
    <w:rsid w:val="2A225BD9"/>
    <w:rsid w:val="2C396350"/>
    <w:rsid w:val="2C4D55A9"/>
    <w:rsid w:val="2C8F18D7"/>
    <w:rsid w:val="2EAE4B2E"/>
    <w:rsid w:val="30135655"/>
    <w:rsid w:val="309E70F3"/>
    <w:rsid w:val="315004C2"/>
    <w:rsid w:val="31B7367C"/>
    <w:rsid w:val="32FA0104"/>
    <w:rsid w:val="33B015AE"/>
    <w:rsid w:val="3433147C"/>
    <w:rsid w:val="35072962"/>
    <w:rsid w:val="3703625B"/>
    <w:rsid w:val="37A50156"/>
    <w:rsid w:val="38EB31AB"/>
    <w:rsid w:val="38FD59EE"/>
    <w:rsid w:val="3A480402"/>
    <w:rsid w:val="3B4B5943"/>
    <w:rsid w:val="3BE645DA"/>
    <w:rsid w:val="3C9C0270"/>
    <w:rsid w:val="3CD23BC8"/>
    <w:rsid w:val="3D2C1216"/>
    <w:rsid w:val="3E9D4CEF"/>
    <w:rsid w:val="3F4F4CA7"/>
    <w:rsid w:val="3F577654"/>
    <w:rsid w:val="40D779C3"/>
    <w:rsid w:val="414A22A2"/>
    <w:rsid w:val="41D3360F"/>
    <w:rsid w:val="423B1DB6"/>
    <w:rsid w:val="43053055"/>
    <w:rsid w:val="46CB7993"/>
    <w:rsid w:val="470431D8"/>
    <w:rsid w:val="4894540B"/>
    <w:rsid w:val="496519AC"/>
    <w:rsid w:val="497C7130"/>
    <w:rsid w:val="4999703E"/>
    <w:rsid w:val="4AC2556C"/>
    <w:rsid w:val="4AF83934"/>
    <w:rsid w:val="4B975FE8"/>
    <w:rsid w:val="4D1B156D"/>
    <w:rsid w:val="4D301426"/>
    <w:rsid w:val="4D4D6160"/>
    <w:rsid w:val="4D625F91"/>
    <w:rsid w:val="4D943B9D"/>
    <w:rsid w:val="4FA73CE3"/>
    <w:rsid w:val="50C75F90"/>
    <w:rsid w:val="51684CD7"/>
    <w:rsid w:val="52024685"/>
    <w:rsid w:val="527541A2"/>
    <w:rsid w:val="52E51199"/>
    <w:rsid w:val="5316433F"/>
    <w:rsid w:val="538D54BE"/>
    <w:rsid w:val="53CE5D40"/>
    <w:rsid w:val="543732AE"/>
    <w:rsid w:val="54860AF5"/>
    <w:rsid w:val="55CE757F"/>
    <w:rsid w:val="56C81120"/>
    <w:rsid w:val="56F073BC"/>
    <w:rsid w:val="571455BF"/>
    <w:rsid w:val="581F48CC"/>
    <w:rsid w:val="5A2C6CB4"/>
    <w:rsid w:val="5A7B4785"/>
    <w:rsid w:val="5B2D7820"/>
    <w:rsid w:val="5B465787"/>
    <w:rsid w:val="5B8411EC"/>
    <w:rsid w:val="5B8E7E9F"/>
    <w:rsid w:val="5B910F82"/>
    <w:rsid w:val="5DE656A9"/>
    <w:rsid w:val="5F2776DC"/>
    <w:rsid w:val="608C3A05"/>
    <w:rsid w:val="60977D4B"/>
    <w:rsid w:val="60E50CA3"/>
    <w:rsid w:val="616014D9"/>
    <w:rsid w:val="61FF4AA3"/>
    <w:rsid w:val="621D04B1"/>
    <w:rsid w:val="622E7613"/>
    <w:rsid w:val="62513BD9"/>
    <w:rsid w:val="62962589"/>
    <w:rsid w:val="6297293C"/>
    <w:rsid w:val="6325037A"/>
    <w:rsid w:val="67070F80"/>
    <w:rsid w:val="67B96F93"/>
    <w:rsid w:val="68446E9F"/>
    <w:rsid w:val="688268EC"/>
    <w:rsid w:val="693C4DCD"/>
    <w:rsid w:val="69411140"/>
    <w:rsid w:val="6948031C"/>
    <w:rsid w:val="697C2CD5"/>
    <w:rsid w:val="6B4E1BDC"/>
    <w:rsid w:val="6B6503FD"/>
    <w:rsid w:val="6B6F4DB2"/>
    <w:rsid w:val="6C4F3D30"/>
    <w:rsid w:val="6CB4144C"/>
    <w:rsid w:val="6D171BA3"/>
    <w:rsid w:val="6D4A1A5D"/>
    <w:rsid w:val="6D6C1206"/>
    <w:rsid w:val="6D851631"/>
    <w:rsid w:val="6D9C7AF3"/>
    <w:rsid w:val="714B3830"/>
    <w:rsid w:val="71FF272F"/>
    <w:rsid w:val="720D0C09"/>
    <w:rsid w:val="72482AD4"/>
    <w:rsid w:val="73862D7D"/>
    <w:rsid w:val="75151E37"/>
    <w:rsid w:val="753C7FA5"/>
    <w:rsid w:val="754C4B72"/>
    <w:rsid w:val="75702B23"/>
    <w:rsid w:val="75B06F3D"/>
    <w:rsid w:val="76DD63AE"/>
    <w:rsid w:val="7700651B"/>
    <w:rsid w:val="770F50E9"/>
    <w:rsid w:val="79FA33CA"/>
    <w:rsid w:val="7BEB72C1"/>
    <w:rsid w:val="7C5522DB"/>
    <w:rsid w:val="7EAD4C52"/>
    <w:rsid w:val="7F3C4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6"/>
    <w:qFormat/>
    <w:uiPriority w:val="0"/>
  </w:style>
  <w:style w:type="character" w:customStyle="1" w:styleId="28">
    <w:name w:val="页眉 Char"/>
    <w:basedOn w:val="6"/>
    <w:link w:val="3"/>
    <w:qFormat/>
    <w:uiPriority w:val="0"/>
    <w:rPr>
      <w:rFonts w:ascii="Calibri" w:hAnsi="Calibri"/>
      <w:kern w:val="2"/>
      <w:sz w:val="18"/>
      <w:szCs w:val="18"/>
    </w:rPr>
  </w:style>
  <w:style w:type="character" w:customStyle="1" w:styleId="29">
    <w:name w:val="hover4"/>
    <w:basedOn w:val="6"/>
    <w:qFormat/>
    <w:uiPriority w:val="0"/>
  </w:style>
  <w:style w:type="character" w:customStyle="1" w:styleId="30">
    <w:name w:val="hover5"/>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286</Words>
  <Characters>1634</Characters>
  <Lines>13</Lines>
  <Paragraphs>3</Paragraphs>
  <TotalTime>9</TotalTime>
  <ScaleCrop>false</ScaleCrop>
  <LinksUpToDate>false</LinksUpToDate>
  <CharactersWithSpaces>1917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wu爱ling</cp:lastModifiedBy>
  <cp:lastPrinted>2020-05-18T02:11:00Z</cp:lastPrinted>
  <dcterms:modified xsi:type="dcterms:W3CDTF">2021-06-04T11:32:12Z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2E56A4A9CF124F499BA7706653D77C6E</vt:lpwstr>
  </property>
</Properties>
</file>