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  <w:lang w:val="en-US" w:eastAsia="zh-CN"/>
        </w:rPr>
        <w:t>19</w:t>
      </w:r>
      <w:r>
        <w:rPr>
          <w:rFonts w:eastAsia="方正小标宋_GBK"/>
          <w:sz w:val="44"/>
          <w:szCs w:val="44"/>
        </w:rPr>
        <w:t>年预算重要事项说明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eastAsia="黑体"/>
          <w:color w:val="000000"/>
          <w:sz w:val="32"/>
          <w:szCs w:val="32"/>
        </w:rPr>
        <w:t>一般公共预算</w:t>
      </w:r>
      <w:r>
        <w:rPr>
          <w:rFonts w:hint="eastAsia" w:eastAsia="黑体"/>
          <w:color w:val="000000"/>
          <w:sz w:val="32"/>
          <w:szCs w:val="32"/>
          <w:lang w:eastAsia="zh-CN"/>
        </w:rPr>
        <w:t>收入</w:t>
      </w:r>
      <w:r>
        <w:rPr>
          <w:rFonts w:eastAsia="黑体"/>
          <w:color w:val="000000"/>
          <w:sz w:val="32"/>
          <w:szCs w:val="32"/>
        </w:rPr>
        <w:t>预算说明</w:t>
      </w:r>
    </w:p>
    <w:p>
      <w:pPr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全区公共财政收入安排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147560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10927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%。其中地方一般预算收入安排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28797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剔除检法两院移交省非税收入后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较上年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同口径增加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2279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8.6%。</w:t>
      </w:r>
    </w:p>
    <w:p>
      <w:pPr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二、</w:t>
      </w:r>
      <w:r>
        <w:rPr>
          <w:rFonts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19</w:t>
      </w:r>
      <w:r>
        <w:rPr>
          <w:rFonts w:eastAsia="黑体"/>
          <w:color w:val="000000"/>
          <w:sz w:val="32"/>
          <w:szCs w:val="32"/>
        </w:rPr>
        <w:t>年一般公共预算支出预算说明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全区一般公共预算支出安排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88878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51121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万元，较上年增加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14548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39.78%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；专项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37757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万元，较上年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2803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8.02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19</w:t>
      </w:r>
      <w:r>
        <w:rPr>
          <w:rFonts w:eastAsia="黑体"/>
          <w:color w:val="000000"/>
          <w:sz w:val="32"/>
          <w:szCs w:val="32"/>
        </w:rPr>
        <w:t>年税收返还和转移支付预算说明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eastAsia="仿宋_GB2312"/>
          <w:color w:val="000000"/>
          <w:sz w:val="32"/>
          <w:szCs w:val="32"/>
        </w:rPr>
        <w:t>返还性支出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4397万</w:t>
      </w:r>
      <w:r>
        <w:rPr>
          <w:rFonts w:hint="eastAsia" w:eastAsia="仿宋_GB2312"/>
          <w:color w:val="000000"/>
          <w:sz w:val="32"/>
          <w:szCs w:val="32"/>
        </w:rPr>
        <w:t>元，与20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000000"/>
          <w:sz w:val="32"/>
          <w:szCs w:val="32"/>
        </w:rPr>
        <w:t>年执行数持平。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12817万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其中，均衡性转移支付</w:t>
      </w:r>
      <w:r>
        <w:rPr>
          <w:rFonts w:hint="eastAsia" w:eastAsia="仿宋_GB2312"/>
          <w:sz w:val="32"/>
          <w:szCs w:val="32"/>
          <w:lang w:val="en-US" w:eastAsia="zh-CN"/>
        </w:rPr>
        <w:t>7422万</w:t>
      </w:r>
      <w:r>
        <w:rPr>
          <w:rFonts w:hint="eastAsia" w:eastAsia="仿宋_GB2312"/>
          <w:sz w:val="32"/>
          <w:szCs w:val="32"/>
        </w:rPr>
        <w:t>元，县级基本财力保障机制奖补资金</w:t>
      </w:r>
      <w:r>
        <w:rPr>
          <w:rFonts w:hint="eastAsia" w:eastAsia="仿宋_GB2312"/>
          <w:sz w:val="32"/>
          <w:szCs w:val="32"/>
          <w:lang w:val="en-US" w:eastAsia="zh-CN"/>
        </w:rPr>
        <w:t>1765万</w:t>
      </w:r>
      <w:r>
        <w:rPr>
          <w:rFonts w:hint="eastAsia" w:eastAsia="仿宋_GB2312"/>
          <w:sz w:val="32"/>
          <w:szCs w:val="32"/>
        </w:rPr>
        <w:t>元，</w:t>
      </w:r>
      <w:r>
        <w:rPr>
          <w:rFonts w:hint="eastAsia" w:eastAsia="仿宋_GB2312"/>
          <w:color w:val="000000"/>
          <w:sz w:val="32"/>
          <w:szCs w:val="32"/>
        </w:rPr>
        <w:t>农村税费改革转移支付收入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730万元，调整工资转移支付收入2133万元，城区财政体制调整区对市递增上划收入-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val="en-US" w:eastAsia="zh-CN"/>
        </w:rPr>
        <w:t>3848万元、企业事业单位划转补助收入3108万元、固定数额补助收入49万元、教育共同财政事权转移支付收入677万元、卫生健康共同财政事权转移支付收入10万元、其他一般性转移支付收入771万元</w:t>
      </w:r>
      <w:r>
        <w:rPr>
          <w:rFonts w:hint="eastAsia" w:eastAsia="仿宋_GB2312"/>
          <w:color w:val="000000"/>
          <w:sz w:val="32"/>
          <w:szCs w:val="32"/>
        </w:rPr>
        <w:t xml:space="preserve">。 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3、专项转移支付收入2097万元，主要为社区运转资金900万元、环卫、园林、广场等专项经费1197万元。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四、2019年“三公”经费预算说明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衡阳市珠晖区本级部门，包括区级行政单位（含参照公务员法管理的事业单位）、事业单位和其他单位使用当年公共财政拨款（包括公共财政经费拨款和纳入预算管理的非税收入拨款）安排的2019年“三公”经费预算为507.07万元，其中：公务接待费107.51万元、因公出国（境）费0万元、公务用车购置费0万元、公务用车运行维护费399.56万元，比上年减少116.61万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五、2019年财政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扶贫资金</w:t>
      </w: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说明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2019年区本级预算按排扶贫资金950万元，其中专项扶贫资金500万元，主要是用于产业扶贫及基础设施建设；精准扶贫经费450万元，主要用于扶贫特惠保新增保费、健康扶贫、精准扶贫对象参保、全区转移就业交通补助金、教育扶贫学生资助等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16" w:lineRule="atLeast"/>
        <w:ind w:left="0" w:right="0" w:firstLine="640" w:firstLineChars="200"/>
        <w:jc w:val="both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六、珠晖区举借债务及偿还债务情况说明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2018年底，全区全口径债务余额19.64亿元，其中：政府债务3.67亿元、隐性债务13.29亿元、其他需要关注类债务2.68亿元。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right="0" w:firstLine="640" w:firstLineChars="200"/>
        <w:jc w:val="left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2019年，珠晖区将严格落实防范和化解政府性债务风险系列文件要求，完成2019年化债目标任务，做到总量不增加、存量逐年减、底线不突破，确保不发生政府性债务风险。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举借债务方面：20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珠晖区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无预算安排。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676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偿还债务情况方面：统筹安排偿债资金0.16亿元，用于地方政府一般债券付息。</w:t>
      </w:r>
    </w:p>
    <w:p>
      <w:pPr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、预算绩效管理工作开展情况</w:t>
      </w:r>
    </w:p>
    <w:p>
      <w:pPr>
        <w:ind w:firstLine="640" w:firstLineChars="200"/>
        <w:jc w:val="both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3E3E3E"/>
          <w:sz w:val="32"/>
          <w:szCs w:val="32"/>
        </w:rPr>
        <w:t>积极建立全过程预算绩效管理机制，扎实有效推进全区预算绩效管理工作。</w:t>
      </w:r>
      <w:r>
        <w:rPr>
          <w:rFonts w:hint="eastAsia" w:ascii="仿宋_GB2312" w:eastAsia="仿宋_GB2312"/>
          <w:sz w:val="32"/>
          <w:szCs w:val="32"/>
        </w:rPr>
        <w:t>为完善公共财政体系，推进财政科学化、精细化管理，强化预算支出的责任和效率，提高财政资金使用效益，201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年，我们</w:t>
      </w:r>
      <w:r>
        <w:rPr>
          <w:rFonts w:hint="eastAsia" w:ascii="仿宋_GB2312" w:eastAsia="仿宋_GB2312"/>
          <w:sz w:val="32"/>
          <w:szCs w:val="32"/>
          <w:lang w:eastAsia="zh-CN"/>
        </w:rPr>
        <w:t>将全区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68个部门预算单位（含所属单位）纳入目标绩效管理，覆盖率达到100%。会同年初预算申请资料报送整体支出绩效目标，30及30万以上的项目支出报送项目支出绩效目标。选取关乎民生的扶贫及环保专项资金，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引入第三方机构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开展重点评价工作。涉及单位6个，覆盖资金达3327.85万元，并将绩效评价结果形成评价报告在区党政门户网上进行了公开。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42323"/>
    <w:rsid w:val="231C4A8E"/>
    <w:rsid w:val="2E9E7866"/>
    <w:rsid w:val="3F6B4086"/>
    <w:rsid w:val="4E517E0A"/>
    <w:rsid w:val="56D331D9"/>
    <w:rsid w:val="5CB4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2021-05-30T09:13:00Z</dcterms:created>
  <dc:creator></dc:creator>
  <cp:lastModifiedBy></cp:lastModifiedBy>
  <dcterms:modified xsi:type="dcterms:W3CDTF">2021-06-03T02:28:14Z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8AEB1B7BF95D4EDB9B1F48DF1141383F</vt:lpwstr>
  </property>
</Properties>
</file>