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华文中宋" w:hAnsi="华文中宋" w:eastAsia="华文中宋" w:cs="华文中宋"/>
          <w:b/>
          <w:bCs w:val="0"/>
          <w:color w:val="auto"/>
          <w:sz w:val="44"/>
          <w:szCs w:val="44"/>
        </w:rPr>
      </w:pPr>
      <w:r>
        <w:rPr>
          <w:rStyle w:val="5"/>
          <w:rFonts w:hint="eastAsia" w:ascii="华文中宋" w:hAnsi="华文中宋" w:eastAsia="华文中宋" w:cs="华文中宋"/>
          <w:b/>
          <w:bCs w:val="0"/>
          <w:color w:val="auto"/>
          <w:sz w:val="44"/>
          <w:szCs w:val="44"/>
        </w:rPr>
        <w:t>2020年</w:t>
      </w:r>
      <w:r>
        <w:rPr>
          <w:rStyle w:val="5"/>
          <w:rFonts w:hint="eastAsia" w:ascii="华文中宋" w:hAnsi="华文中宋" w:eastAsia="华文中宋" w:cs="华文中宋"/>
          <w:b/>
          <w:bCs w:val="0"/>
          <w:color w:val="auto"/>
          <w:sz w:val="44"/>
          <w:szCs w:val="44"/>
          <w:lang w:val="en-US" w:eastAsia="zh-CN"/>
        </w:rPr>
        <w:t>珠晖区统计局单位</w:t>
      </w:r>
      <w:r>
        <w:rPr>
          <w:rStyle w:val="5"/>
          <w:rFonts w:hint="eastAsia" w:ascii="华文中宋" w:hAnsi="华文中宋" w:eastAsia="华文中宋" w:cs="华文中宋"/>
          <w:b/>
          <w:bCs w:val="0"/>
          <w:color w:val="auto"/>
          <w:sz w:val="44"/>
          <w:szCs w:val="44"/>
        </w:rPr>
        <w:t>预算说明</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Style w:val="5"/>
          <w:rFonts w:hint="eastAsia" w:ascii="宋体" w:hAnsi="宋体" w:eastAsia="宋体" w:cs="宋体"/>
          <w:color w:val="auto"/>
          <w:sz w:val="28"/>
          <w:szCs w:val="28"/>
        </w:rPr>
      </w:pP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rPr>
        <w:t>目 录</w:t>
      </w:r>
    </w:p>
    <w:p>
      <w:pPr>
        <w:pStyle w:val="2"/>
        <w:keepNext w:val="0"/>
        <w:keepLines w:val="0"/>
        <w:pageBreakBefore w:val="0"/>
        <w:widowControl/>
        <w:numPr>
          <w:ilvl w:val="0"/>
          <w:numId w:val="1"/>
        </w:numPr>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rPr>
        <w:t>2020年部门预算说明</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val="en-US" w:eastAsia="zh-CN"/>
        </w:rPr>
        <w:t>1、</w:t>
      </w:r>
      <w:r>
        <w:rPr>
          <w:rStyle w:val="5"/>
          <w:rFonts w:hint="eastAsia" w:ascii="宋体" w:hAnsi="宋体" w:eastAsia="宋体" w:cs="宋体"/>
          <w:color w:val="auto"/>
          <w:sz w:val="28"/>
          <w:szCs w:val="28"/>
        </w:rPr>
        <w:t>部门基本情况</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default" w:ascii="宋体" w:hAnsi="宋体" w:eastAsia="宋体" w:cs="宋体"/>
          <w:color w:val="auto"/>
          <w:sz w:val="28"/>
          <w:szCs w:val="28"/>
        </w:rPr>
      </w:pPr>
      <w:r>
        <w:rPr>
          <w:rStyle w:val="5"/>
          <w:rFonts w:hint="eastAsia" w:ascii="宋体" w:hAnsi="宋体" w:eastAsia="宋体" w:cs="宋体"/>
          <w:color w:val="auto"/>
          <w:sz w:val="28"/>
          <w:szCs w:val="28"/>
          <w:lang w:val="en-US" w:eastAsia="zh-CN"/>
        </w:rPr>
        <w:t>2</w:t>
      </w:r>
      <w:r>
        <w:rPr>
          <w:rStyle w:val="5"/>
          <w:rFonts w:hint="eastAsia" w:ascii="宋体" w:hAnsi="宋体" w:eastAsia="宋体" w:cs="宋体"/>
          <w:color w:val="auto"/>
          <w:sz w:val="28"/>
          <w:szCs w:val="28"/>
        </w:rPr>
        <w:t>、部门预算单位构成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default" w:ascii="宋体" w:hAnsi="宋体" w:eastAsia="宋体" w:cs="宋体"/>
          <w:color w:val="auto"/>
          <w:sz w:val="28"/>
          <w:szCs w:val="28"/>
        </w:rPr>
      </w:pPr>
      <w:r>
        <w:rPr>
          <w:rStyle w:val="5"/>
          <w:rFonts w:hint="eastAsia" w:ascii="宋体" w:hAnsi="宋体" w:eastAsia="宋体" w:cs="宋体"/>
          <w:color w:val="auto"/>
          <w:sz w:val="28"/>
          <w:szCs w:val="28"/>
          <w:lang w:val="en-US" w:eastAsia="zh-CN"/>
        </w:rPr>
        <w:t>3</w:t>
      </w:r>
      <w:r>
        <w:rPr>
          <w:rStyle w:val="5"/>
          <w:rFonts w:hint="eastAsia" w:ascii="宋体" w:hAnsi="宋体" w:eastAsia="宋体" w:cs="宋体"/>
          <w:color w:val="auto"/>
          <w:sz w:val="28"/>
          <w:szCs w:val="28"/>
        </w:rPr>
        <w:t xml:space="preserve">、部门收支总体情况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default" w:ascii="宋体" w:hAnsi="宋体" w:eastAsia="宋体" w:cs="宋体"/>
          <w:color w:val="auto"/>
          <w:sz w:val="28"/>
          <w:szCs w:val="28"/>
        </w:rPr>
      </w:pPr>
      <w:r>
        <w:rPr>
          <w:rStyle w:val="5"/>
          <w:rFonts w:hint="eastAsia" w:ascii="宋体" w:hAnsi="宋体" w:eastAsia="宋体" w:cs="宋体"/>
          <w:color w:val="auto"/>
          <w:sz w:val="28"/>
          <w:szCs w:val="28"/>
          <w:lang w:val="en-US" w:eastAsia="zh-CN"/>
        </w:rPr>
        <w:t>4</w:t>
      </w:r>
      <w:r>
        <w:rPr>
          <w:rStyle w:val="5"/>
          <w:rFonts w:hint="eastAsia" w:ascii="宋体" w:hAnsi="宋体" w:eastAsia="宋体" w:cs="宋体"/>
          <w:color w:val="auto"/>
          <w:sz w:val="28"/>
          <w:szCs w:val="28"/>
        </w:rPr>
        <w:t xml:space="preserve">、一般公共预算拨款支出预算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default" w:ascii="宋体" w:hAnsi="宋体" w:eastAsia="宋体" w:cs="宋体"/>
          <w:color w:val="auto"/>
          <w:sz w:val="28"/>
          <w:szCs w:val="28"/>
        </w:rPr>
      </w:pPr>
      <w:r>
        <w:rPr>
          <w:rStyle w:val="5"/>
          <w:rFonts w:hint="eastAsia" w:ascii="宋体" w:hAnsi="宋体" w:eastAsia="宋体" w:cs="宋体"/>
          <w:color w:val="auto"/>
          <w:sz w:val="28"/>
          <w:szCs w:val="28"/>
          <w:lang w:val="en-US" w:eastAsia="zh-CN"/>
        </w:rPr>
        <w:t>5</w:t>
      </w:r>
      <w:r>
        <w:rPr>
          <w:rStyle w:val="5"/>
          <w:rFonts w:hint="eastAsia" w:ascii="宋体" w:hAnsi="宋体" w:eastAsia="宋体" w:cs="宋体"/>
          <w:color w:val="auto"/>
          <w:sz w:val="28"/>
          <w:szCs w:val="28"/>
        </w:rPr>
        <w:t xml:space="preserve">、其他重要事项的情况说明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lang w:val="en-US" w:eastAsia="zh-CN"/>
        </w:rPr>
      </w:pPr>
      <w:r>
        <w:rPr>
          <w:rStyle w:val="5"/>
          <w:rFonts w:hint="eastAsia" w:ascii="宋体" w:hAnsi="宋体" w:eastAsia="宋体" w:cs="宋体"/>
          <w:color w:val="auto"/>
          <w:sz w:val="28"/>
          <w:szCs w:val="28"/>
          <w:lang w:val="en-US" w:eastAsia="zh-CN"/>
        </w:rPr>
        <w:t>6</w:t>
      </w:r>
      <w:r>
        <w:rPr>
          <w:rStyle w:val="5"/>
          <w:rFonts w:hint="eastAsia" w:ascii="宋体" w:hAnsi="宋体" w:eastAsia="宋体" w:cs="宋体"/>
          <w:color w:val="auto"/>
          <w:sz w:val="28"/>
          <w:szCs w:val="28"/>
        </w:rPr>
        <w:t xml:space="preserve">、名词解释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rPr>
        <w:t>第二部分 2020年部门预算表</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val="en-US" w:eastAsia="zh-CN"/>
        </w:rPr>
        <w:t>1、</w:t>
      </w:r>
      <w:r>
        <w:rPr>
          <w:rStyle w:val="5"/>
          <w:rFonts w:hint="eastAsia" w:ascii="宋体" w:hAnsi="宋体" w:eastAsia="宋体" w:cs="宋体"/>
          <w:color w:val="auto"/>
          <w:sz w:val="28"/>
          <w:szCs w:val="28"/>
        </w:rPr>
        <w:t>部门预算公开及三公经费预算</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val="en-US" w:eastAsia="zh-CN"/>
        </w:rPr>
        <w:t>2、</w:t>
      </w:r>
      <w:r>
        <w:rPr>
          <w:rStyle w:val="5"/>
          <w:rFonts w:hint="eastAsia" w:ascii="宋体" w:hAnsi="宋体" w:eastAsia="宋体" w:cs="宋体"/>
          <w:color w:val="auto"/>
          <w:sz w:val="28"/>
          <w:szCs w:val="28"/>
        </w:rPr>
        <w:t>整体支出</w:t>
      </w:r>
      <w:r>
        <w:rPr>
          <w:rStyle w:val="5"/>
          <w:rFonts w:hint="eastAsia" w:ascii="宋体" w:hAnsi="宋体" w:eastAsia="宋体" w:cs="宋体"/>
          <w:color w:val="auto"/>
          <w:sz w:val="28"/>
          <w:szCs w:val="28"/>
          <w:lang w:eastAsia="zh-CN"/>
        </w:rPr>
        <w:t>及</w:t>
      </w:r>
      <w:r>
        <w:rPr>
          <w:rStyle w:val="5"/>
          <w:rFonts w:hint="eastAsia" w:ascii="宋体" w:hAnsi="宋体" w:eastAsia="宋体" w:cs="宋体"/>
          <w:color w:val="auto"/>
          <w:sz w:val="28"/>
          <w:szCs w:val="28"/>
        </w:rPr>
        <w:t>项目支出绩效目标表</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Style w:val="5"/>
          <w:rFonts w:hint="eastAsia" w:ascii="宋体" w:hAnsi="宋体" w:eastAsia="宋体" w:cs="宋体"/>
          <w:color w:val="auto"/>
          <w:sz w:val="28"/>
          <w:szCs w:val="28"/>
        </w:rPr>
      </w:pP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宋体" w:hAnsi="宋体" w:eastAsia="宋体" w:cs="宋体"/>
          <w:color w:val="auto"/>
          <w:sz w:val="28"/>
          <w:szCs w:val="28"/>
        </w:rPr>
      </w:pPr>
      <w:r>
        <w:rPr>
          <w:rStyle w:val="5"/>
          <w:rFonts w:hint="eastAsia" w:ascii="宋体" w:hAnsi="宋体" w:eastAsia="宋体" w:cs="宋体"/>
          <w:color w:val="auto"/>
          <w:sz w:val="28"/>
          <w:szCs w:val="28"/>
        </w:rPr>
        <w:t>第</w:t>
      </w:r>
      <w:r>
        <w:rPr>
          <w:rStyle w:val="5"/>
          <w:rFonts w:hint="eastAsia" w:ascii="宋体" w:hAnsi="宋体" w:eastAsia="宋体" w:cs="宋体"/>
          <w:color w:val="auto"/>
          <w:sz w:val="28"/>
          <w:szCs w:val="28"/>
          <w:lang w:eastAsia="zh-CN"/>
        </w:rPr>
        <w:t>一</w:t>
      </w:r>
      <w:r>
        <w:rPr>
          <w:rStyle w:val="5"/>
          <w:rFonts w:hint="eastAsia" w:ascii="宋体" w:hAnsi="宋体" w:eastAsia="宋体" w:cs="宋体"/>
          <w:color w:val="auto"/>
          <w:sz w:val="28"/>
          <w:szCs w:val="28"/>
        </w:rPr>
        <w:t>部分</w:t>
      </w:r>
      <w:r>
        <w:rPr>
          <w:rStyle w:val="5"/>
          <w:rFonts w:hint="eastAsia" w:ascii="宋体" w:hAnsi="宋体" w:eastAsia="宋体" w:cs="宋体"/>
          <w:color w:val="auto"/>
          <w:sz w:val="28"/>
          <w:szCs w:val="28"/>
          <w:lang w:val="en-US" w:eastAsia="zh-CN"/>
        </w:rPr>
        <w:t xml:space="preserve">  </w:t>
      </w:r>
      <w:r>
        <w:rPr>
          <w:rStyle w:val="5"/>
          <w:rFonts w:hint="eastAsia" w:ascii="宋体" w:hAnsi="宋体" w:eastAsia="宋体" w:cs="宋体"/>
          <w:color w:val="auto"/>
          <w:sz w:val="28"/>
          <w:szCs w:val="28"/>
        </w:rPr>
        <w:t>2020年部门预算说明</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textAlignment w:val="auto"/>
        <w:rPr>
          <w:rStyle w:val="5"/>
          <w:rFonts w:hint="eastAsia" w:ascii="宋体" w:hAnsi="宋体" w:eastAsia="宋体" w:cs="宋体"/>
          <w:color w:val="auto"/>
          <w:kern w:val="2"/>
          <w:sz w:val="28"/>
          <w:szCs w:val="28"/>
          <w:lang w:val="en-US" w:eastAsia="zh-CN" w:bidi="ar-SA"/>
        </w:rPr>
      </w:pPr>
      <w:r>
        <w:rPr>
          <w:rStyle w:val="5"/>
          <w:rFonts w:hint="eastAsia" w:ascii="宋体" w:hAnsi="宋体" w:eastAsia="宋体" w:cs="宋体"/>
          <w:color w:val="auto"/>
          <w:kern w:val="2"/>
          <w:sz w:val="28"/>
          <w:szCs w:val="28"/>
          <w:lang w:val="en-US" w:eastAsia="zh-CN" w:bidi="ar-SA"/>
        </w:rPr>
        <w:t>　　一、部门基本情况</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　　</w:t>
      </w:r>
      <w:r>
        <w:rPr>
          <w:rFonts w:hint="eastAsia" w:ascii="宋体" w:hAnsi="宋体" w:eastAsia="宋体" w:cs="宋体"/>
          <w:color w:val="auto"/>
          <w:sz w:val="28"/>
          <w:szCs w:val="28"/>
          <w:lang w:val="en-US" w:eastAsia="zh-CN"/>
        </w:rPr>
        <w:t>1、职能职责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shd w:val="clear" w:color="auto" w:fill="auto"/>
        </w:rPr>
      </w:pPr>
      <w:r>
        <w:rPr>
          <w:rFonts w:ascii="Times New Roman" w:hAnsi="Times New Roman" w:eastAsia="仿宋_GB2312" w:cs="Times New Roman"/>
          <w:sz w:val="32"/>
          <w:szCs w:val="32"/>
        </w:rPr>
        <w:t>根据衡办</w:t>
      </w:r>
      <w:r>
        <w:rPr>
          <w:rFonts w:hint="eastAsia" w:ascii="Times New Roman" w:hAnsi="Times New Roman" w:eastAsia="仿宋_GB2312" w:cs="Times New Roman"/>
          <w:sz w:val="32"/>
          <w:szCs w:val="32"/>
          <w:lang w:eastAsia="zh-CN"/>
        </w:rPr>
        <w:t>发</w:t>
      </w:r>
      <w:r>
        <w:rPr>
          <w:rFonts w:ascii="Times New Roman" w:hAnsi="Times New Roman" w:eastAsia="仿宋_GB2312" w:cs="Times New Roman"/>
          <w:color w:val="333333"/>
          <w:sz w:val="32"/>
          <w:szCs w:val="32"/>
        </w:rPr>
        <w:t>〔</w:t>
      </w:r>
      <w:r>
        <w:rPr>
          <w:rFonts w:ascii="Times New Roman" w:hAnsi="Times New Roman" w:eastAsia="仿宋_GB2312" w:cs="Times New Roman"/>
          <w:sz w:val="32"/>
          <w:szCs w:val="32"/>
        </w:rPr>
        <w:t>2019</w:t>
      </w:r>
      <w:r>
        <w:rPr>
          <w:rStyle w:val="20"/>
          <w:rFonts w:ascii="Times New Roman" w:hAnsi="Times New Roman" w:eastAsia="仿宋_GB2312" w:cs="Times New Roman"/>
          <w:bCs/>
          <w:color w:val="333333"/>
          <w:sz w:val="32"/>
          <w:szCs w:val="32"/>
        </w:rPr>
        <w:t>〕</w:t>
      </w:r>
      <w:r>
        <w:rPr>
          <w:rFonts w:ascii="Times New Roman" w:hAnsi="Times New Roman" w:eastAsia="仿宋_GB2312" w:cs="Times New Roman"/>
          <w:sz w:val="32"/>
          <w:szCs w:val="32"/>
        </w:rPr>
        <w:t>15号</w:t>
      </w:r>
      <w:r>
        <w:rPr>
          <w:rFonts w:hint="eastAsia" w:ascii="Times New Roman" w:hAnsi="Times New Roman" w:eastAsia="仿宋_GB2312" w:cs="Times New Roman"/>
          <w:sz w:val="32"/>
          <w:szCs w:val="32"/>
          <w:lang w:eastAsia="zh-CN"/>
        </w:rPr>
        <w:t>文件</w:t>
      </w:r>
      <w:r>
        <w:rPr>
          <w:rFonts w:ascii="Times New Roman" w:hAnsi="Times New Roman" w:eastAsia="仿宋_GB2312" w:cs="Times New Roman"/>
          <w:sz w:val="32"/>
          <w:szCs w:val="32"/>
        </w:rPr>
        <w:t>规定</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统计局</w:t>
      </w:r>
      <w:r>
        <w:rPr>
          <w:rFonts w:hint="eastAsia" w:ascii="仿宋" w:hAnsi="仿宋" w:eastAsia="仿宋" w:cs="仿宋"/>
          <w:b w:val="0"/>
          <w:bCs w:val="0"/>
          <w:i w:val="0"/>
          <w:caps w:val="0"/>
          <w:color w:val="333333"/>
          <w:spacing w:val="0"/>
          <w:kern w:val="0"/>
          <w:sz w:val="32"/>
          <w:szCs w:val="32"/>
          <w:shd w:val="clear" w:color="auto" w:fill="auto"/>
          <w:lang w:val="en-US" w:eastAsia="zh-CN" w:bidi="ar"/>
        </w:rPr>
        <w:t>主要职责是：</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b w:val="0"/>
          <w:bCs w:val="0"/>
          <w:i w:val="0"/>
          <w:caps w:val="0"/>
          <w:color w:val="000000"/>
          <w:spacing w:val="0"/>
          <w:kern w:val="0"/>
          <w:sz w:val="32"/>
          <w:szCs w:val="32"/>
          <w:shd w:val="clear" w:color="auto" w:fill="auto"/>
          <w:lang w:val="en-US" w:eastAsia="zh-CN" w:bidi="ar"/>
        </w:rPr>
        <w:t>   </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rPr>
        <w:t>）贯彻执行国家统计工作方针、政策和统计法律法规，</w:t>
      </w:r>
      <w:r>
        <w:rPr>
          <w:rFonts w:hint="eastAsia" w:ascii="仿宋" w:hAnsi="仿宋" w:eastAsia="仿宋" w:cs="仿宋"/>
          <w:sz w:val="32"/>
          <w:szCs w:val="32"/>
        </w:rPr>
        <w:t>推进统计制度和统计方法的改革，完成国家、省、市和地方统计调查任务。承担组织领导和协调全区统计工作，确保统计数据真实、准确、及时。监督检查统计法律法规的实施情况，查处各类统计违法行为。</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w:t>
      </w:r>
      <w:r>
        <w:rPr>
          <w:rFonts w:hint="eastAsia" w:ascii="仿宋" w:hAnsi="仿宋" w:eastAsia="仿宋" w:cs="仿宋"/>
          <w:sz w:val="32"/>
          <w:szCs w:val="32"/>
        </w:rPr>
        <w:t>制定并组织实施全区统计改革和统计现代化建设规划及统计调查计划，组织实施全区国民经济核算制度和全区投入产出调查，核算全区国内生产总值，汇编提供国民经济核算资料。</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（三）</w:t>
      </w:r>
      <w:r>
        <w:rPr>
          <w:rFonts w:hint="eastAsia" w:ascii="仿宋" w:hAnsi="仿宋" w:eastAsia="仿宋" w:cs="仿宋"/>
          <w:sz w:val="32"/>
          <w:szCs w:val="32"/>
        </w:rPr>
        <w:t>会同有关部门拟订重大区情区力普查计划与方案，组织实施全区人口、经济、农业等重大区情区力普查，汇总、整理和提供有关区情区力方面的统计数据。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w:t>
      </w:r>
      <w:r>
        <w:rPr>
          <w:rFonts w:hint="eastAsia" w:ascii="仿宋" w:hAnsi="仿宋" w:eastAsia="仿宋" w:cs="仿宋"/>
          <w:sz w:val="32"/>
          <w:szCs w:val="32"/>
        </w:rPr>
        <w:t>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教育、卫生、社会保障、公用事业等全区性基本统计数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w:t>
      </w:r>
      <w:r>
        <w:rPr>
          <w:rFonts w:hint="eastAsia" w:ascii="仿宋" w:hAnsi="仿宋" w:eastAsia="仿宋" w:cs="仿宋"/>
          <w:sz w:val="32"/>
          <w:szCs w:val="32"/>
        </w:rPr>
        <w:t>组织实施能源、投资、消费、科技、人口、劳动力、社会发展基本情况、环境基本状况等统计调查，收集、汇总、整理和提供有关调查的统计数据，综合整理和提供资源、房屋、对外贸易等全区性基本统计数据。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（六）</w:t>
      </w:r>
      <w:r>
        <w:rPr>
          <w:rFonts w:hint="eastAsia" w:ascii="仿宋" w:hAnsi="仿宋" w:eastAsia="仿宋" w:cs="仿宋"/>
          <w:sz w:val="32"/>
          <w:szCs w:val="32"/>
        </w:rPr>
        <w:t>组织全区各部门的经济、社会、科技和资源环境统计调查。统一核定、管理、公布全区性基本统计资料，定期发布全区国民经济和社会发展情况的统计信息。组织建立服务业统计信息管理制度、共享制度和发布制度。</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w:t>
      </w:r>
      <w:r>
        <w:rPr>
          <w:rFonts w:hint="eastAsia" w:ascii="仿宋" w:hAnsi="仿宋" w:eastAsia="仿宋" w:cs="仿宋"/>
          <w:sz w:val="32"/>
          <w:szCs w:val="32"/>
        </w:rPr>
        <w:t>对国民经济、社会发展、科技进步和资源环境等情况进行统计分析、统计预测和统计监督，向区委、区政府及有关部门提供统计信息和咨询建议。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（八）</w:t>
      </w:r>
      <w:r>
        <w:rPr>
          <w:rFonts w:hint="eastAsia" w:ascii="仿宋" w:hAnsi="仿宋" w:eastAsia="仿宋" w:cs="仿宋"/>
          <w:sz w:val="32"/>
          <w:szCs w:val="32"/>
        </w:rPr>
        <w:t>依法审批或者备案地方统计调查项目和区直各部门统计调查项目，指导专业统计基础工作、统计基层业务基础建设，建立健全统计数据质量审核、监控和评估制度，开展对重要统计数据的审核、监控和评估。</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（九）</w:t>
      </w:r>
      <w:r>
        <w:rPr>
          <w:rFonts w:hint="eastAsia" w:ascii="仿宋" w:hAnsi="仿宋" w:eastAsia="仿宋" w:cs="仿宋"/>
          <w:sz w:val="32"/>
          <w:szCs w:val="32"/>
        </w:rPr>
        <w:t>组织协调全区城市、农村社会经济调查、普查工作。</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w:t>
      </w:r>
      <w:r>
        <w:rPr>
          <w:rFonts w:hint="eastAsia" w:ascii="仿宋" w:hAnsi="仿宋" w:eastAsia="仿宋" w:cs="仿宋"/>
          <w:sz w:val="32"/>
          <w:szCs w:val="32"/>
        </w:rPr>
        <w:t>建立并管理全区统计信息自动化系统和统计数据库系统，组织制定全区、区直各部门统计数据库和网络的基本标准和运行规则，指导全区统计信息化系统建设。</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（十一）承办区委、区政府交办的其他任务。</w:t>
      </w:r>
    </w:p>
    <w:p>
      <w:pPr>
        <w:keepNext w:val="0"/>
        <w:keepLines w:val="0"/>
        <w:pageBreakBefore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2.机构设置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300" w:right="300" w:firstLine="624"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i w:val="0"/>
          <w:caps w:val="0"/>
          <w:color w:val="333333"/>
          <w:spacing w:val="-4"/>
          <w:kern w:val="0"/>
          <w:sz w:val="32"/>
          <w:szCs w:val="32"/>
          <w:shd w:val="clear" w:color="auto" w:fill="auto"/>
          <w:lang w:val="en-US" w:eastAsia="zh-CN" w:bidi="ar"/>
        </w:rPr>
        <w:t>本部门机构由机关本级组成，本年度机构和人员如下表：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300" w:right="300" w:firstLine="640" w:firstLineChars="200"/>
        <w:jc w:val="righ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i w:val="0"/>
          <w:caps w:val="0"/>
          <w:color w:val="333333"/>
          <w:spacing w:val="0"/>
          <w:kern w:val="0"/>
          <w:sz w:val="32"/>
          <w:szCs w:val="32"/>
          <w:shd w:val="clear" w:color="auto" w:fill="auto"/>
          <w:lang w:val="en-US" w:eastAsia="zh-CN" w:bidi="ar"/>
        </w:rPr>
        <w:t>单位：人</w:t>
      </w:r>
    </w:p>
    <w:tbl>
      <w:tblPr>
        <w:tblStyle w:val="3"/>
        <w:tblW w:w="9356" w:type="dxa"/>
        <w:jc w:val="center"/>
        <w:tblInd w:w="300" w:type="dxa"/>
        <w:tblLayout w:type="fixed"/>
        <w:tblCellMar>
          <w:top w:w="15" w:type="dxa"/>
          <w:left w:w="15" w:type="dxa"/>
          <w:bottom w:w="15" w:type="dxa"/>
          <w:right w:w="15" w:type="dxa"/>
        </w:tblCellMar>
      </w:tblPr>
      <w:tblGrid>
        <w:gridCol w:w="3736"/>
        <w:gridCol w:w="869"/>
        <w:gridCol w:w="1164"/>
        <w:gridCol w:w="1387"/>
        <w:gridCol w:w="1158"/>
        <w:gridCol w:w="1042"/>
      </w:tblGrid>
      <w:tr>
        <w:tblPrEx>
          <w:tblLayout w:type="fixed"/>
          <w:tblCellMar>
            <w:top w:w="15" w:type="dxa"/>
            <w:left w:w="15" w:type="dxa"/>
            <w:bottom w:w="15" w:type="dxa"/>
            <w:right w:w="15" w:type="dxa"/>
          </w:tblCellMar>
        </w:tblPrEx>
        <w:trPr>
          <w:trHeight w:val="266" w:hRule="atLeast"/>
          <w:jc w:val="center"/>
        </w:trPr>
        <w:tc>
          <w:tcPr>
            <w:tcW w:w="3736" w:type="dxa"/>
            <w:vMerge w:val="restart"/>
            <w:tcBorders>
              <w:top w:val="single" w:color="auto" w:sz="8" w:space="0"/>
              <w:left w:val="single" w:color="auto" w:sz="8" w:space="0"/>
              <w:bottom w:val="nil"/>
              <w:right w:val="single" w:color="auto" w:sz="8" w:space="0"/>
            </w:tcBorders>
            <w:noWrap w:val="0"/>
            <w:tcMar>
              <w:top w:w="20" w:type="dxa"/>
              <w:left w:w="20" w:type="dxa"/>
              <w:bottom w:w="0" w:type="dxa"/>
              <w:right w:w="2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项    目</w:t>
            </w:r>
          </w:p>
        </w:tc>
        <w:tc>
          <w:tcPr>
            <w:tcW w:w="869" w:type="dxa"/>
            <w:vMerge w:val="restart"/>
            <w:tcBorders>
              <w:top w:val="single" w:color="auto" w:sz="8" w:space="0"/>
              <w:left w:val="nil"/>
              <w:bottom w:val="nil"/>
              <w:right w:val="single" w:color="auto" w:sz="8" w:space="0"/>
            </w:tcBorders>
            <w:noWrap w:val="0"/>
            <w:tcMar>
              <w:top w:w="20" w:type="dxa"/>
              <w:left w:w="20" w:type="dxa"/>
              <w:bottom w:w="0" w:type="dxa"/>
              <w:right w:w="2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合 计</w:t>
            </w:r>
          </w:p>
        </w:tc>
        <w:tc>
          <w:tcPr>
            <w:tcW w:w="2551" w:type="dxa"/>
            <w:gridSpan w:val="2"/>
            <w:tcBorders>
              <w:top w:val="single" w:color="auto" w:sz="8" w:space="0"/>
              <w:left w:val="nil"/>
              <w:bottom w:val="single" w:color="auto" w:sz="8" w:space="0"/>
              <w:right w:val="single" w:color="auto" w:sz="8" w:space="0"/>
            </w:tcBorders>
            <w:noWrap w:val="0"/>
            <w:tcMar>
              <w:top w:w="20" w:type="dxa"/>
              <w:left w:w="20" w:type="dxa"/>
              <w:bottom w:w="0" w:type="dxa"/>
              <w:right w:w="2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全额预算单位</w:t>
            </w:r>
          </w:p>
        </w:tc>
        <w:tc>
          <w:tcPr>
            <w:tcW w:w="1158" w:type="dxa"/>
            <w:vMerge w:val="restart"/>
            <w:tcBorders>
              <w:top w:val="single" w:color="auto" w:sz="8" w:space="0"/>
              <w:left w:val="nil"/>
              <w:bottom w:val="nil"/>
              <w:right w:val="single" w:color="auto" w:sz="8" w:space="0"/>
            </w:tcBorders>
            <w:noWrap w:val="0"/>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财政拨款事业单位</w:t>
            </w:r>
          </w:p>
        </w:tc>
        <w:tc>
          <w:tcPr>
            <w:tcW w:w="1042" w:type="dxa"/>
            <w:vMerge w:val="restart"/>
            <w:tcBorders>
              <w:top w:val="single" w:color="auto" w:sz="8" w:space="0"/>
              <w:left w:val="nil"/>
              <w:bottom w:val="nil"/>
              <w:right w:val="single" w:color="auto" w:sz="8" w:space="0"/>
            </w:tcBorders>
            <w:noWrap w:val="0"/>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财政补助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事业单位</w:t>
            </w:r>
          </w:p>
        </w:tc>
      </w:tr>
      <w:tr>
        <w:tblPrEx>
          <w:tblLayout w:type="fixed"/>
          <w:tblCellMar>
            <w:top w:w="15" w:type="dxa"/>
            <w:left w:w="15" w:type="dxa"/>
            <w:bottom w:w="15" w:type="dxa"/>
            <w:right w:w="15" w:type="dxa"/>
          </w:tblCellMar>
        </w:tblPrEx>
        <w:trPr>
          <w:trHeight w:val="356" w:hRule="atLeast"/>
          <w:jc w:val="center"/>
        </w:trPr>
        <w:tc>
          <w:tcPr>
            <w:tcW w:w="3736" w:type="dxa"/>
            <w:vMerge w:val="continue"/>
            <w:tcBorders>
              <w:top w:val="single" w:color="auto" w:sz="8" w:space="0"/>
              <w:left w:val="single" w:color="auto" w:sz="8" w:space="0"/>
              <w:bottom w:val="nil"/>
              <w:right w:val="single" w:color="auto" w:sz="8" w:space="0"/>
            </w:tcBorders>
            <w:noWrap w:val="0"/>
            <w:tcMar>
              <w:top w:w="20" w:type="dxa"/>
              <w:left w:w="20" w:type="dxa"/>
              <w:bottom w:w="0" w:type="dxa"/>
              <w:right w:w="20" w:type="dxa"/>
            </w:tcMar>
            <w:vAlign w:val="center"/>
          </w:tcPr>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shd w:val="clear" w:color="auto" w:fill="auto"/>
              </w:rPr>
            </w:pPr>
          </w:p>
        </w:tc>
        <w:tc>
          <w:tcPr>
            <w:tcW w:w="869" w:type="dxa"/>
            <w:vMerge w:val="continue"/>
            <w:tcBorders>
              <w:top w:val="single" w:color="auto" w:sz="8" w:space="0"/>
              <w:left w:val="nil"/>
              <w:bottom w:val="nil"/>
              <w:right w:val="single" w:color="auto" w:sz="8" w:space="0"/>
            </w:tcBorders>
            <w:noWrap w:val="0"/>
            <w:tcMar>
              <w:top w:w="20" w:type="dxa"/>
              <w:left w:w="20" w:type="dxa"/>
              <w:bottom w:w="0" w:type="dxa"/>
              <w:right w:w="20" w:type="dxa"/>
            </w:tcMar>
            <w:vAlign w:val="center"/>
          </w:tcPr>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shd w:val="clear" w:color="auto" w:fill="auto"/>
              </w:rPr>
            </w:pPr>
          </w:p>
        </w:tc>
        <w:tc>
          <w:tcPr>
            <w:tcW w:w="1164" w:type="dxa"/>
            <w:tcBorders>
              <w:top w:val="nil"/>
              <w:left w:val="nil"/>
              <w:bottom w:val="nil"/>
              <w:right w:val="single" w:color="auto" w:sz="8" w:space="0"/>
            </w:tcBorders>
            <w:noWrap w:val="0"/>
            <w:tcMar>
              <w:top w:w="20" w:type="dxa"/>
              <w:left w:w="20" w:type="dxa"/>
              <w:bottom w:w="0" w:type="dxa"/>
              <w:right w:w="2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公务员管理单位</w:t>
            </w:r>
          </w:p>
        </w:tc>
        <w:tc>
          <w:tcPr>
            <w:tcW w:w="1387" w:type="dxa"/>
            <w:tcBorders>
              <w:top w:val="single" w:color="auto" w:sz="8" w:space="0"/>
              <w:left w:val="nil"/>
              <w:bottom w:val="nil"/>
              <w:right w:val="single" w:color="auto" w:sz="8" w:space="0"/>
            </w:tcBorders>
            <w:noWrap w:val="0"/>
            <w:tcMar>
              <w:top w:w="0" w:type="dxa"/>
              <w:left w:w="0" w:type="dxa"/>
              <w:bottom w:w="0" w:type="dxa"/>
              <w:right w:w="0"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参考公务员管理单位</w:t>
            </w:r>
          </w:p>
        </w:tc>
        <w:tc>
          <w:tcPr>
            <w:tcW w:w="1158" w:type="dxa"/>
            <w:vMerge w:val="continue"/>
            <w:tcBorders>
              <w:top w:val="single" w:color="auto" w:sz="8" w:space="0"/>
              <w:left w:val="nil"/>
              <w:bottom w:val="nil"/>
              <w:right w:val="single" w:color="auto" w:sz="8" w:space="0"/>
            </w:tcBorders>
            <w:noWrap w:val="0"/>
            <w:tcMar>
              <w:top w:w="0" w:type="dxa"/>
              <w:left w:w="0" w:type="dxa"/>
              <w:bottom w:w="0" w:type="dxa"/>
              <w:right w:w="0" w:type="dxa"/>
            </w:tcMar>
            <w:vAlign w:val="center"/>
          </w:tcPr>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shd w:val="clear" w:color="auto" w:fill="auto"/>
              </w:rPr>
            </w:pPr>
          </w:p>
        </w:tc>
        <w:tc>
          <w:tcPr>
            <w:tcW w:w="1042" w:type="dxa"/>
            <w:vMerge w:val="continue"/>
            <w:tcBorders>
              <w:top w:val="single" w:color="auto" w:sz="8" w:space="0"/>
              <w:left w:val="nil"/>
              <w:bottom w:val="nil"/>
              <w:right w:val="single" w:color="auto" w:sz="8" w:space="0"/>
            </w:tcBorders>
            <w:noWrap w:val="0"/>
            <w:tcMar>
              <w:top w:w="0" w:type="dxa"/>
              <w:left w:w="0" w:type="dxa"/>
              <w:bottom w:w="0" w:type="dxa"/>
              <w:right w:w="0" w:type="dxa"/>
            </w:tcMar>
            <w:vAlign w:val="center"/>
          </w:tcPr>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shd w:val="clear" w:color="auto" w:fill="auto"/>
              </w:rPr>
            </w:pPr>
          </w:p>
        </w:tc>
      </w:tr>
      <w:tr>
        <w:tblPrEx>
          <w:tblLayout w:type="fixed"/>
          <w:tblCellMar>
            <w:top w:w="15" w:type="dxa"/>
            <w:left w:w="15" w:type="dxa"/>
            <w:bottom w:w="15" w:type="dxa"/>
            <w:right w:w="15" w:type="dxa"/>
          </w:tblCellMar>
        </w:tblPrEx>
        <w:trPr>
          <w:trHeight w:val="380" w:hRule="atLeast"/>
          <w:jc w:val="center"/>
        </w:trPr>
        <w:tc>
          <w:tcPr>
            <w:tcW w:w="3736" w:type="dxa"/>
            <w:tcBorders>
              <w:top w:val="single" w:color="auto" w:sz="8" w:space="0"/>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1、编制数</w:t>
            </w:r>
          </w:p>
        </w:tc>
        <w:tc>
          <w:tcPr>
            <w:tcW w:w="869" w:type="dxa"/>
            <w:tcBorders>
              <w:top w:val="single" w:color="auto" w:sz="8" w:space="0"/>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320" w:firstLineChars="1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12　</w:t>
            </w:r>
          </w:p>
        </w:tc>
        <w:tc>
          <w:tcPr>
            <w:tcW w:w="1164" w:type="dxa"/>
            <w:tcBorders>
              <w:top w:val="single" w:color="auto" w:sz="8" w:space="0"/>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3</w:t>
            </w:r>
          </w:p>
        </w:tc>
        <w:tc>
          <w:tcPr>
            <w:tcW w:w="1387" w:type="dxa"/>
            <w:tcBorders>
              <w:top w:val="single" w:color="auto" w:sz="8" w:space="0"/>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9</w:t>
            </w:r>
          </w:p>
        </w:tc>
        <w:tc>
          <w:tcPr>
            <w:tcW w:w="1158" w:type="dxa"/>
            <w:tcBorders>
              <w:top w:val="single" w:color="auto" w:sz="8" w:space="0"/>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single" w:color="auto" w:sz="8" w:space="0"/>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90"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2、实有人数</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9</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2</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7</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870"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在职人员</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9</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2</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7</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其中：在岗人数</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9</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2</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eastAsia="zh-CN"/>
              </w:rPr>
            </w:pPr>
            <w:r>
              <w:rPr>
                <w:rFonts w:hint="eastAsia" w:ascii="仿宋" w:hAnsi="仿宋" w:eastAsia="仿宋" w:cs="仿宋"/>
                <w:b w:val="0"/>
                <w:bCs w:val="0"/>
                <w:sz w:val="32"/>
                <w:szCs w:val="32"/>
                <w:shd w:val="clear" w:color="auto" w:fill="auto"/>
                <w:lang w:val="en-US" w:eastAsia="zh-CN"/>
              </w:rPr>
              <w:t>7</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离退休人员</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2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2</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其中：离休人数</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退休人数</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2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2</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3、长期聘用人员</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4</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rPr>
            </w:pPr>
            <w:r>
              <w:rPr>
                <w:rFonts w:hint="eastAsia" w:ascii="仿宋" w:hAnsi="仿宋" w:eastAsia="仿宋" w:cs="仿宋"/>
                <w:b w:val="0"/>
                <w:bCs w:val="0"/>
                <w:color w:val="333333"/>
                <w:kern w:val="0"/>
                <w:sz w:val="32"/>
                <w:szCs w:val="32"/>
                <w:shd w:val="clear" w:color="auto" w:fill="auto"/>
                <w:lang w:val="en-US" w:eastAsia="zh-CN" w:bidi="ar"/>
              </w:rPr>
              <w:t>4</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lang w:val="en-US"/>
              </w:rPr>
            </w:pP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284"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4、单位负担遗属人员</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345"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6、在校学生人数</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r>
        <w:tblPrEx>
          <w:tblLayout w:type="fixed"/>
          <w:tblCellMar>
            <w:top w:w="15" w:type="dxa"/>
            <w:left w:w="15" w:type="dxa"/>
            <w:bottom w:w="15" w:type="dxa"/>
            <w:right w:w="15" w:type="dxa"/>
          </w:tblCellMar>
        </w:tblPrEx>
        <w:trPr>
          <w:trHeight w:val="345" w:hRule="atLeast"/>
          <w:jc w:val="center"/>
        </w:trPr>
        <w:tc>
          <w:tcPr>
            <w:tcW w:w="3736" w:type="dxa"/>
            <w:tcBorders>
              <w:top w:val="nil"/>
              <w:left w:val="single" w:color="auto" w:sz="8" w:space="0"/>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869"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64"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387"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158" w:type="dxa"/>
            <w:tcBorders>
              <w:top w:val="nil"/>
              <w:left w:val="nil"/>
              <w:bottom w:val="single" w:color="auto" w:sz="8" w:space="0"/>
              <w:right w:val="single" w:color="auto" w:sz="8" w:space="0"/>
            </w:tcBorders>
            <w:noWrap w:val="0"/>
            <w:tcMar>
              <w:top w:w="20" w:type="dxa"/>
              <w:left w:w="20" w:type="dxa"/>
              <w:bottom w:w="0" w:type="dxa"/>
              <w:right w:w="2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c>
          <w:tcPr>
            <w:tcW w:w="1042" w:type="dxa"/>
            <w:tcBorders>
              <w:top w:val="nil"/>
              <w:left w:val="nil"/>
              <w:bottom w:val="single" w:color="auto" w:sz="8" w:space="0"/>
              <w:right w:val="single" w:color="auto" w:sz="8" w:space="0"/>
            </w:tcBorders>
            <w:noWrap w:val="0"/>
            <w:tcMar>
              <w:top w:w="0" w:type="dxa"/>
              <w:left w:w="0" w:type="dxa"/>
              <w:bottom w:w="0" w:type="dxa"/>
              <w:right w:w="0"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b w:val="0"/>
                <w:bCs w:val="0"/>
                <w:sz w:val="32"/>
                <w:szCs w:val="32"/>
                <w:shd w:val="clear" w:color="auto" w:fill="auto"/>
              </w:rPr>
            </w:pPr>
            <w:r>
              <w:rPr>
                <w:rFonts w:hint="eastAsia" w:ascii="仿宋" w:hAnsi="仿宋" w:eastAsia="仿宋" w:cs="仿宋"/>
                <w:b w:val="0"/>
                <w:bCs w:val="0"/>
                <w:color w:val="333333"/>
                <w:kern w:val="0"/>
                <w:sz w:val="32"/>
                <w:szCs w:val="32"/>
                <w:shd w:val="clear" w:color="auto" w:fill="auto"/>
                <w:lang w:val="en-US" w:eastAsia="zh-CN" w:bidi="ar"/>
              </w:rPr>
              <w:t> </w:t>
            </w:r>
          </w:p>
        </w:tc>
      </w:tr>
    </w:tbl>
    <w:p>
      <w:pPr>
        <w:keepNext w:val="0"/>
        <w:keepLines w:val="0"/>
        <w:pageBreakBefore w:val="0"/>
        <w:numPr>
          <w:ilvl w:val="0"/>
          <w:numId w:val="0"/>
        </w:numPr>
        <w:kinsoku/>
        <w:wordWrap/>
        <w:overflowPunct/>
        <w:topLinePunct w:val="0"/>
        <w:autoSpaceDE/>
        <w:autoSpaceDN/>
        <w:bidi w:val="0"/>
        <w:adjustRightInd/>
        <w:snapToGrid/>
        <w:spacing w:line="560" w:lineRule="exact"/>
        <w:jc w:val="both"/>
        <w:textAlignment w:val="auto"/>
        <w:rPr>
          <w:rFonts w:hint="eastAsia" w:ascii="宋体" w:hAnsi="宋体" w:eastAsia="宋体" w:cs="宋体"/>
          <w:color w:val="auto"/>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firstLine="562" w:firstLineChars="200"/>
        <w:jc w:val="both"/>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eastAsia="zh-CN"/>
        </w:rPr>
        <w:t>二、</w:t>
      </w:r>
      <w:r>
        <w:rPr>
          <w:rStyle w:val="5"/>
          <w:rFonts w:hint="eastAsia" w:ascii="宋体" w:hAnsi="宋体" w:eastAsia="宋体" w:cs="宋体"/>
          <w:color w:val="auto"/>
          <w:sz w:val="28"/>
          <w:szCs w:val="28"/>
        </w:rPr>
        <w:t>部门预算单位构成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珠晖区统计局只有本级，没有其他二级预算单位，因此，纳入2020年部门预算编制范围的只有统计局本级。</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62" w:firstLineChars="200"/>
        <w:jc w:val="left"/>
        <w:textAlignment w:val="auto"/>
        <w:rPr>
          <w:rStyle w:val="5"/>
          <w:rFonts w:hint="default" w:ascii="宋体" w:hAnsi="宋体" w:eastAsia="宋体" w:cs="宋体"/>
          <w:color w:val="auto"/>
          <w:kern w:val="2"/>
          <w:sz w:val="28"/>
          <w:szCs w:val="28"/>
          <w:lang w:val="en-US" w:eastAsia="zh-CN" w:bidi="ar-SA"/>
        </w:rPr>
      </w:pPr>
      <w:r>
        <w:rPr>
          <w:rStyle w:val="5"/>
          <w:rFonts w:hint="eastAsia" w:ascii="宋体" w:hAnsi="宋体" w:eastAsia="宋体" w:cs="宋体"/>
          <w:color w:val="auto"/>
          <w:kern w:val="2"/>
          <w:sz w:val="28"/>
          <w:szCs w:val="28"/>
          <w:lang w:val="en-US" w:eastAsia="zh-CN" w:bidi="ar-SA"/>
        </w:rPr>
        <w:t xml:space="preserve">三、部门收支总体情况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统计局的收入只安排了一般公共预算收入，未安排政府性基金预算拨款、国有资本经营预算收入和纳入专户管理的非税收入拨款收入，也没有使用政府性基金预算拨款、国有资本经营预算收入和纳入专户管理的非税收入拨款安排的支出。支出既包括保障机关基本运行的经费，也包括业务工作专项支出。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（一）收入预算：2020年年初预算数295.81万元，其中，一般公共预算拨款295.81万元。收入较去年增加 45.97万元，主要是经费拨款增加45.97万元。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（二）支出预算：2020年年初预算数 295.8万元，其中，一般公共服务支出 262.8万元，社会保障和就业支出10.38万元，卫生健康支出11.96万元，住房保障支出10.67万元。支出较去年增加45.97万元，主要是基本支出增加20.97万元，项目支出增加25万元。</w:t>
      </w:r>
      <w:bookmarkStart w:id="0" w:name="_GoBack"/>
      <w:bookmarkEnd w:id="0"/>
      <w:r>
        <w:rPr>
          <w:rFonts w:hint="eastAsia" w:ascii="仿宋" w:hAnsi="仿宋" w:eastAsia="仿宋" w:cs="仿宋"/>
          <w:sz w:val="32"/>
          <w:szCs w:val="32"/>
          <w:lang w:val="en-US" w:eastAsia="zh-CN"/>
        </w:rPr>
        <w:t>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62" w:firstLineChars="20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val="en-US" w:eastAsia="zh-CN"/>
        </w:rPr>
        <w:t>四</w:t>
      </w:r>
      <w:r>
        <w:rPr>
          <w:rStyle w:val="5"/>
          <w:rFonts w:hint="eastAsia" w:ascii="宋体" w:hAnsi="宋体" w:eastAsia="宋体" w:cs="宋体"/>
          <w:color w:val="auto"/>
          <w:sz w:val="28"/>
          <w:szCs w:val="28"/>
        </w:rPr>
        <w:t xml:space="preserve">、一般公共预算拨款支出预算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2020年一般公共预算拨款收入295.8万元，具体安排情况如下：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（一）基本支出：2020年基本支出年初预算数为139.23 万元，是指为保障单位机构正常运转、完成日常工作任务而发生的各项支出，包括用于基本工资、津贴补贴等人员经费以及办公费、印刷费、水电费、办公设备购置等日常公用经费。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（二）项目支出：2020年项目支出年初预算数为156.58万元，是指单位为完成特定行政工作任务或事业发展目标而发生的支出，包括业务工作经费和其他事务支出。其中：</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1、统计事业费（项目名称），资金总额5.08万元，其中：经费拨款安排5.08万元，具体说明内容包括：统计局历年拨款项目。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2、联网直报工作经费（项目名称），资金总额29万元，其中：经费拨款安排 29万元。具体说明内容包括：该项目为延续项目。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3、全面小康监测费（项目名称），资金总额10万元，其中：经费拨款安排10万元。具体说明内容包括：全面小康监测费用、年报会和统计工作表彰会开支费用。</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4、统计专项调查经费（项目名称），资金总额5万元，其中：经费拨款安排5万元。具体说明内容包括：该项目为延续项目。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5、乡镇统计站规范化建设经费（项目名称），资金总额7.5万元，其中：经费拨款安排7.5万元。具体说明内容包括：对全区各个乡镇街道统计站进行规范化建设，该项目为延续项目。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第七次全国人口普查工作经费（项目名称），资金总额100万元，其中：经费拨款安排100万元。具体说明内容包含：我区2020年第七次全国人口普查工作需支付日常工作经费10万元，发放临聘人员工资费用12万元，普查员入户登记工作经费78万元，共计100万元。 </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62" w:firstLineChars="20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rPr>
        <w:t>五、其他重要事项的情况说明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1、机关运行经费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2020年区统计局机关运行经费一般公共预算拨款7.2元，比2019年预算增加1.2万元，上升20%。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2、“三公”经费预算 </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2020年“三公”经费预算数为0.6万元，其中，公务接待费0.6万元。2020年“三公”经费预算较2019年持平。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12" w:lineRule="atLeast"/>
        <w:ind w:left="0" w:right="0" w:firstLine="56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3、政府采购情况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12" w:lineRule="atLeast"/>
        <w:ind w:left="0" w:right="0" w:firstLine="56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2020年单位政府采购预算总额 0万元。 </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12" w:lineRule="atLeast"/>
        <w:ind w:left="0" w:right="0" w:firstLine="56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国有资产占用使用情况说明：截至2019年12月30日，单位共有33.19万元。  </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12" w:lineRule="atLeast"/>
        <w:ind w:left="0" w:leftChars="0" w:right="0" w:rightChars="0" w:firstLine="560" w:firstLineChars="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预算绩效目标说明：本部门整体支出和项目支出实行绩效目标管理，纳入2020年部门整体支出绩效目标的金额为295.81万元，其中，基本支出139.23万元，项目支出156.58万元。</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12" w:lineRule="atLeast"/>
        <w:ind w:left="0" w:leftChars="0" w:right="0" w:rightChars="0" w:firstLine="560" w:firstLineChars="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一般性支出情况:2020年本部门印刷费0.9万元，印刷人口普查相关报表。培训费1.4万元，拟开展2场培训，人数237人，用于开展人口普查工作培训。</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62" w:firstLineChars="20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rPr>
        <w:t>六、名词解释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80" w:beforeAutospacing="0" w:after="180" w:afterAutospacing="0" w:line="560" w:lineRule="exact"/>
        <w:ind w:left="0" w:right="0" w:firstLine="56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80" w:beforeAutospacing="0" w:after="180" w:afterAutospacing="0" w:line="560" w:lineRule="exact"/>
        <w:ind w:left="0" w:right="0" w:firstLine="56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Style w:val="5"/>
          <w:rFonts w:hint="eastAsia" w:ascii="宋体" w:hAnsi="宋体" w:eastAsia="宋体" w:cs="宋体"/>
          <w:color w:val="auto"/>
          <w:sz w:val="28"/>
          <w:szCs w:val="28"/>
        </w:rPr>
      </w:pP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rPr>
        <w:t>第二部分 2020年部门预算表</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Style w:val="5"/>
          <w:rFonts w:hint="eastAsia" w:ascii="宋体" w:hAnsi="宋体" w:eastAsia="宋体" w:cs="宋体"/>
          <w:color w:val="auto"/>
          <w:sz w:val="28"/>
          <w:szCs w:val="28"/>
        </w:rPr>
      </w:pPr>
      <w:r>
        <w:rPr>
          <w:rStyle w:val="5"/>
          <w:rFonts w:hint="eastAsia" w:ascii="宋体" w:hAnsi="宋体" w:eastAsia="宋体" w:cs="宋体"/>
          <w:color w:val="auto"/>
          <w:sz w:val="28"/>
          <w:szCs w:val="28"/>
          <w:lang w:val="en-US" w:eastAsia="zh-CN"/>
        </w:rPr>
        <w:t>1、</w:t>
      </w:r>
      <w:r>
        <w:rPr>
          <w:rStyle w:val="5"/>
          <w:rFonts w:hint="eastAsia" w:ascii="宋体" w:hAnsi="宋体" w:eastAsia="宋体" w:cs="宋体"/>
          <w:color w:val="auto"/>
          <w:sz w:val="28"/>
          <w:szCs w:val="28"/>
        </w:rPr>
        <w:t>部门预算公开及三公经费预算</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宋体" w:hAnsi="宋体" w:eastAsia="宋体" w:cs="宋体"/>
          <w:color w:val="auto"/>
          <w:kern w:val="2"/>
          <w:sz w:val="28"/>
          <w:szCs w:val="28"/>
          <w:lang w:val="en-US" w:eastAsia="zh-CN" w:bidi="ar-SA"/>
        </w:rPr>
      </w:pPr>
      <w:r>
        <w:rPr>
          <w:rStyle w:val="5"/>
          <w:rFonts w:hint="eastAsia" w:ascii="宋体" w:hAnsi="宋体" w:eastAsia="宋体" w:cs="宋体"/>
          <w:color w:val="auto"/>
          <w:sz w:val="28"/>
          <w:szCs w:val="28"/>
          <w:lang w:val="en-US" w:eastAsia="zh-CN"/>
        </w:rPr>
        <w:t>2、</w:t>
      </w:r>
      <w:r>
        <w:rPr>
          <w:rStyle w:val="5"/>
          <w:rFonts w:hint="eastAsia" w:ascii="宋体" w:hAnsi="宋体" w:eastAsia="宋体" w:cs="宋体"/>
          <w:color w:val="auto"/>
          <w:sz w:val="28"/>
          <w:szCs w:val="28"/>
        </w:rPr>
        <w:t>整体支出</w:t>
      </w:r>
      <w:r>
        <w:rPr>
          <w:rStyle w:val="5"/>
          <w:rFonts w:hint="eastAsia" w:ascii="宋体" w:hAnsi="宋体" w:eastAsia="宋体" w:cs="宋体"/>
          <w:color w:val="auto"/>
          <w:sz w:val="28"/>
          <w:szCs w:val="28"/>
          <w:lang w:eastAsia="zh-CN"/>
        </w:rPr>
        <w:t>及</w:t>
      </w:r>
      <w:r>
        <w:rPr>
          <w:rStyle w:val="5"/>
          <w:rFonts w:hint="eastAsia" w:ascii="宋体" w:hAnsi="宋体" w:eastAsia="宋体" w:cs="宋体"/>
          <w:color w:val="auto"/>
          <w:sz w:val="28"/>
          <w:szCs w:val="28"/>
        </w:rPr>
        <w:t>项目支出绩效目标表</w:t>
      </w:r>
    </w:p>
    <w:p>
      <w:pPr>
        <w:pStyle w:val="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1120" w:firstLineChars="400"/>
        <w:jc w:val="left"/>
        <w:textAlignment w:val="auto"/>
        <w:rPr>
          <w:rFonts w:hint="default" w:ascii="宋体" w:hAnsi="宋体" w:eastAsia="宋体" w:cs="宋体"/>
          <w:color w:val="auto"/>
          <w:kern w:val="2"/>
          <w:sz w:val="28"/>
          <w:szCs w:val="28"/>
          <w:lang w:val="en-US" w:eastAsia="zh-CN" w:bidi="ar-SA"/>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C6E755"/>
    <w:multiLevelType w:val="singleLevel"/>
    <w:tmpl w:val="9DC6E755"/>
    <w:lvl w:ilvl="0" w:tentative="0">
      <w:start w:val="1"/>
      <w:numFmt w:val="chineseCounting"/>
      <w:suff w:val="space"/>
      <w:lvlText w:val="第%1部分"/>
      <w:lvlJc w:val="left"/>
      <w:rPr>
        <w:rFonts w:hint="eastAsia"/>
      </w:rPr>
    </w:lvl>
  </w:abstractNum>
  <w:abstractNum w:abstractNumId="1">
    <w:nsid w:val="259B5957"/>
    <w:multiLevelType w:val="singleLevel"/>
    <w:tmpl w:val="259B5957"/>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691DDC"/>
    <w:rsid w:val="04F6120D"/>
    <w:rsid w:val="058F0ADC"/>
    <w:rsid w:val="091D4D77"/>
    <w:rsid w:val="094039F1"/>
    <w:rsid w:val="0E90254C"/>
    <w:rsid w:val="10903D48"/>
    <w:rsid w:val="10C15F42"/>
    <w:rsid w:val="12832010"/>
    <w:rsid w:val="15BB091B"/>
    <w:rsid w:val="162447F0"/>
    <w:rsid w:val="20DB6496"/>
    <w:rsid w:val="218130C7"/>
    <w:rsid w:val="238F4D5E"/>
    <w:rsid w:val="25C03F03"/>
    <w:rsid w:val="27691DDC"/>
    <w:rsid w:val="288A0E5B"/>
    <w:rsid w:val="28C879E7"/>
    <w:rsid w:val="2E86686F"/>
    <w:rsid w:val="3067595C"/>
    <w:rsid w:val="385048F8"/>
    <w:rsid w:val="3AE53350"/>
    <w:rsid w:val="40831072"/>
    <w:rsid w:val="43F200C4"/>
    <w:rsid w:val="45BE3057"/>
    <w:rsid w:val="48221C92"/>
    <w:rsid w:val="496213E2"/>
    <w:rsid w:val="4C21692A"/>
    <w:rsid w:val="4DCC2DD5"/>
    <w:rsid w:val="4EF36C59"/>
    <w:rsid w:val="53572DC9"/>
    <w:rsid w:val="576324F6"/>
    <w:rsid w:val="587411CD"/>
    <w:rsid w:val="5CE36D66"/>
    <w:rsid w:val="5E2514BE"/>
    <w:rsid w:val="5F502268"/>
    <w:rsid w:val="5FF35445"/>
    <w:rsid w:val="607B7D4C"/>
    <w:rsid w:val="60D92E73"/>
    <w:rsid w:val="61A10B7A"/>
    <w:rsid w:val="641853BC"/>
    <w:rsid w:val="6BF10B3C"/>
    <w:rsid w:val="72117552"/>
    <w:rsid w:val="7530100E"/>
    <w:rsid w:val="7E7118DF"/>
    <w:rsid w:val="7F724E5E"/>
    <w:rsid w:val="7FB76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u w:val="none"/>
    </w:rPr>
  </w:style>
  <w:style w:type="character" w:styleId="7">
    <w:name w:val="Emphasis"/>
    <w:basedOn w:val="4"/>
    <w:qFormat/>
    <w:uiPriority w:val="0"/>
  </w:style>
  <w:style w:type="character" w:styleId="8">
    <w:name w:val="HTML Definition"/>
    <w:basedOn w:val="4"/>
    <w:qFormat/>
    <w:uiPriority w:val="0"/>
  </w:style>
  <w:style w:type="character" w:styleId="9">
    <w:name w:val="HTML Acronym"/>
    <w:basedOn w:val="4"/>
    <w:qFormat/>
    <w:uiPriority w:val="0"/>
  </w:style>
  <w:style w:type="character" w:styleId="10">
    <w:name w:val="HTML Variable"/>
    <w:basedOn w:val="4"/>
    <w:qFormat/>
    <w:uiPriority w:val="0"/>
  </w:style>
  <w:style w:type="character" w:styleId="11">
    <w:name w:val="Hyperlink"/>
    <w:basedOn w:val="4"/>
    <w:qFormat/>
    <w:uiPriority w:val="0"/>
    <w:rPr>
      <w:color w:val="CC0000"/>
      <w:u w:val="single"/>
    </w:rPr>
  </w:style>
  <w:style w:type="character" w:styleId="12">
    <w:name w:val="HTML Code"/>
    <w:basedOn w:val="4"/>
    <w:qFormat/>
    <w:uiPriority w:val="0"/>
    <w:rPr>
      <w:rFonts w:hint="eastAsia" w:ascii="微软雅黑" w:hAnsi="微软雅黑" w:eastAsia="微软雅黑" w:cs="微软雅黑"/>
      <w:sz w:val="16"/>
      <w:szCs w:val="16"/>
    </w:rPr>
  </w:style>
  <w:style w:type="character" w:styleId="13">
    <w:name w:val="HTML Cite"/>
    <w:basedOn w:val="4"/>
    <w:qFormat/>
    <w:uiPriority w:val="0"/>
  </w:style>
  <w:style w:type="character" w:customStyle="1" w:styleId="14">
    <w:name w:val="bd-2red"/>
    <w:basedOn w:val="4"/>
    <w:qFormat/>
    <w:uiPriority w:val="0"/>
  </w:style>
  <w:style w:type="character" w:customStyle="1" w:styleId="15">
    <w:name w:val="bd-2red1"/>
    <w:basedOn w:val="4"/>
    <w:qFormat/>
    <w:uiPriority w:val="0"/>
  </w:style>
  <w:style w:type="character" w:customStyle="1" w:styleId="16">
    <w:name w:val="bd-2red2"/>
    <w:basedOn w:val="4"/>
    <w:qFormat/>
    <w:uiPriority w:val="0"/>
  </w:style>
  <w:style w:type="character" w:customStyle="1" w:styleId="17">
    <w:name w:val="bd-1red"/>
    <w:basedOn w:val="4"/>
    <w:qFormat/>
    <w:uiPriority w:val="0"/>
  </w:style>
  <w:style w:type="character" w:customStyle="1" w:styleId="18">
    <w:name w:val="bd-1red1"/>
    <w:basedOn w:val="4"/>
    <w:qFormat/>
    <w:uiPriority w:val="0"/>
  </w:style>
  <w:style w:type="character" w:customStyle="1" w:styleId="19">
    <w:name w:val="bd-1red2"/>
    <w:basedOn w:val="4"/>
    <w:qFormat/>
    <w:uiPriority w:val="0"/>
  </w:style>
  <w:style w:type="character" w:customStyle="1" w:styleId="20">
    <w:name w:val="ask-titl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330</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2020-06-01T10:11:00Z</dcterms:created>
  <dc:creator></dc:creator>
  <cp:lastModifiedBy>段斌</cp:lastModifiedBy>
  <cp:lastPrinted>2020-07-03T02:54:33Z</cp:lastPrinted>
  <dcterms:modified xsi:type="dcterms:W3CDTF">2020-07-03T09:37:21Z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