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Style w:val="5"/>
          <w:rFonts w:hint="eastAsia" w:ascii="华文中宋" w:hAnsi="华文中宋" w:eastAsia="华文中宋" w:cs="华文中宋"/>
          <w:b w:val="0"/>
          <w:bCs/>
          <w:color w:val="auto"/>
          <w:sz w:val="44"/>
          <w:szCs w:val="44"/>
        </w:rPr>
      </w:pPr>
    </w:p>
    <w:p>
      <w:pPr>
        <w:pStyle w:val="2"/>
        <w:keepNext w:val="0"/>
        <w:keepLines w:val="0"/>
        <w:widowControl/>
        <w:suppressLineNumbers w:val="0"/>
        <w:pBdr>
          <w:bottom w:val="none" w:color="auto" w:sz="0" w:space="0"/>
        </w:pBdr>
        <w:spacing w:before="0" w:beforeAutospacing="0" w:after="0" w:afterAutospacing="0" w:line="384" w:lineRule="atLeast"/>
        <w:ind w:left="0" w:right="0"/>
        <w:jc w:val="center"/>
        <w:rPr>
          <w:rStyle w:val="5"/>
          <w:rFonts w:hint="eastAsia" w:ascii="方正小标宋简体" w:hAnsi="方正小标宋简体" w:eastAsia="方正小标宋简体" w:cs="方正小标宋简体"/>
          <w:b w:val="0"/>
          <w:bCs/>
          <w:color w:val="auto"/>
          <w:sz w:val="44"/>
          <w:szCs w:val="44"/>
          <w:lang w:val="en-US" w:eastAsia="zh-CN"/>
        </w:rPr>
      </w:pPr>
      <w:r>
        <w:rPr>
          <w:rStyle w:val="5"/>
          <w:rFonts w:hint="eastAsia" w:ascii="方正小标宋简体" w:hAnsi="方正小标宋简体" w:eastAsia="方正小标宋简体" w:cs="方正小标宋简体"/>
          <w:b w:val="0"/>
          <w:bCs/>
          <w:color w:val="auto"/>
          <w:sz w:val="44"/>
          <w:szCs w:val="44"/>
        </w:rPr>
        <w:t>2020年</w:t>
      </w:r>
      <w:r>
        <w:rPr>
          <w:rStyle w:val="5"/>
          <w:rFonts w:hint="eastAsia" w:ascii="方正小标宋简体" w:hAnsi="方正小标宋简体" w:eastAsia="方正小标宋简体" w:cs="方正小标宋简体"/>
          <w:b w:val="0"/>
          <w:bCs/>
          <w:color w:val="auto"/>
          <w:sz w:val="44"/>
          <w:szCs w:val="44"/>
          <w:lang w:val="en-US" w:eastAsia="zh-CN"/>
        </w:rPr>
        <w:t>珠晖区科技和工业信息化局</w:t>
      </w:r>
    </w:p>
    <w:p>
      <w:pPr>
        <w:pStyle w:val="2"/>
        <w:keepNext w:val="0"/>
        <w:keepLines w:val="0"/>
        <w:widowControl/>
        <w:suppressLineNumbers w:val="0"/>
        <w:pBdr>
          <w:bottom w:val="none" w:color="auto" w:sz="0" w:space="0"/>
        </w:pBdr>
        <w:spacing w:before="0" w:beforeAutospacing="0" w:after="0" w:afterAutospacing="0" w:line="384" w:lineRule="atLeast"/>
        <w:ind w:left="0" w:right="0"/>
        <w:jc w:val="center"/>
        <w:rPr>
          <w:rFonts w:hint="eastAsia" w:ascii="方正小标宋简体" w:hAnsi="方正小标宋简体" w:eastAsia="方正小标宋简体" w:cs="方正小标宋简体"/>
          <w:b w:val="0"/>
          <w:bCs/>
          <w:color w:val="auto"/>
          <w:sz w:val="44"/>
          <w:szCs w:val="44"/>
        </w:rPr>
      </w:pPr>
      <w:r>
        <w:rPr>
          <w:rStyle w:val="5"/>
          <w:rFonts w:hint="eastAsia" w:ascii="方正小标宋简体" w:hAnsi="方正小标宋简体" w:eastAsia="方正小标宋简体" w:cs="方正小标宋简体"/>
          <w:b w:val="0"/>
          <w:bCs/>
          <w:color w:val="auto"/>
          <w:sz w:val="44"/>
          <w:szCs w:val="44"/>
          <w:lang w:val="en-US" w:eastAsia="zh-CN"/>
        </w:rPr>
        <w:tab/>
      </w:r>
      <w:r>
        <w:rPr>
          <w:rStyle w:val="5"/>
          <w:rFonts w:hint="eastAsia" w:ascii="方正小标宋简体" w:hAnsi="方正小标宋简体" w:eastAsia="方正小标宋简体" w:cs="方正小标宋简体"/>
          <w:b w:val="0"/>
          <w:bCs/>
          <w:color w:val="auto"/>
          <w:sz w:val="44"/>
          <w:szCs w:val="44"/>
          <w:lang w:val="en-US" w:eastAsia="zh-CN"/>
        </w:rPr>
        <w:t>单位</w:t>
      </w:r>
      <w:r>
        <w:rPr>
          <w:rStyle w:val="5"/>
          <w:rFonts w:hint="eastAsia" w:ascii="方正小标宋简体" w:hAnsi="方正小标宋简体" w:eastAsia="方正小标宋简体" w:cs="方正小标宋简体"/>
          <w:b w:val="0"/>
          <w:bCs/>
          <w:color w:val="auto"/>
          <w:sz w:val="44"/>
          <w:szCs w:val="44"/>
        </w:rPr>
        <w:t>预算说明</w:t>
      </w:r>
    </w:p>
    <w:p>
      <w:pPr>
        <w:pStyle w:val="2"/>
        <w:keepNext w:val="0"/>
        <w:keepLines w:val="0"/>
        <w:widowControl/>
        <w:suppressLineNumbers w:val="0"/>
        <w:pBdr>
          <w:bottom w:val="none" w:color="auto" w:sz="0" w:space="0"/>
        </w:pBdr>
        <w:spacing w:before="0" w:beforeAutospacing="0" w:after="0" w:afterAutospacing="0" w:line="384" w:lineRule="atLeast"/>
        <w:ind w:left="0" w:right="0"/>
        <w:jc w:val="center"/>
        <w:rPr>
          <w:rStyle w:val="5"/>
          <w:rFonts w:hint="eastAsia" w:ascii="宋体" w:hAnsi="宋体" w:eastAsia="宋体" w:cs="宋体"/>
          <w:color w:val="auto"/>
          <w:sz w:val="28"/>
          <w:szCs w:val="28"/>
        </w:rPr>
      </w:pPr>
    </w:p>
    <w:p>
      <w:pPr>
        <w:pStyle w:val="2"/>
        <w:keepNext w:val="0"/>
        <w:keepLines w:val="0"/>
        <w:widowControl/>
        <w:suppressLineNumbers w:val="0"/>
        <w:pBdr>
          <w:bottom w:val="none" w:color="auto" w:sz="0" w:space="0"/>
        </w:pBdr>
        <w:spacing w:before="0" w:beforeAutospacing="0" w:after="0" w:afterAutospacing="0" w:line="384" w:lineRule="atLeast"/>
        <w:ind w:left="0" w:right="0"/>
        <w:jc w:val="center"/>
        <w:rPr>
          <w:rFonts w:hint="eastAsia" w:ascii="黑体" w:hAnsi="黑体" w:eastAsia="黑体" w:cs="黑体"/>
          <w:color w:val="auto"/>
          <w:sz w:val="32"/>
          <w:szCs w:val="32"/>
        </w:rPr>
      </w:pPr>
      <w:r>
        <w:rPr>
          <w:rStyle w:val="5"/>
          <w:rFonts w:hint="eastAsia" w:ascii="黑体" w:hAnsi="黑体" w:eastAsia="黑体" w:cs="黑体"/>
          <w:color w:val="auto"/>
          <w:sz w:val="32"/>
          <w:szCs w:val="32"/>
        </w:rPr>
        <w:t>目 录</w:t>
      </w:r>
    </w:p>
    <w:p>
      <w:pPr>
        <w:pStyle w:val="2"/>
        <w:keepNext w:val="0"/>
        <w:keepLines w:val="0"/>
        <w:widowControl/>
        <w:numPr>
          <w:ilvl w:val="0"/>
          <w:numId w:val="1"/>
        </w:numPr>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rPr>
        <w:t>2020年部门预算说明</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lang w:val="en-US" w:eastAsia="zh-CN"/>
        </w:rPr>
        <w:t>1、</w:t>
      </w:r>
      <w:r>
        <w:rPr>
          <w:rStyle w:val="5"/>
          <w:rFonts w:hint="eastAsia" w:ascii="黑体" w:hAnsi="黑体" w:eastAsia="黑体" w:cs="黑体"/>
          <w:color w:val="auto"/>
          <w:sz w:val="32"/>
          <w:szCs w:val="32"/>
        </w:rPr>
        <w:t>部门基本情况</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lang w:val="en-US" w:eastAsia="zh-CN"/>
        </w:rPr>
        <w:t>2</w:t>
      </w:r>
      <w:r>
        <w:rPr>
          <w:rStyle w:val="5"/>
          <w:rFonts w:hint="eastAsia" w:ascii="黑体" w:hAnsi="黑体" w:eastAsia="黑体" w:cs="黑体"/>
          <w:color w:val="auto"/>
          <w:sz w:val="32"/>
          <w:szCs w:val="32"/>
        </w:rPr>
        <w:t>、部门预算单位构成 </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lang w:val="en-US" w:eastAsia="zh-CN"/>
        </w:rPr>
        <w:t>3</w:t>
      </w:r>
      <w:r>
        <w:rPr>
          <w:rStyle w:val="5"/>
          <w:rFonts w:hint="eastAsia" w:ascii="黑体" w:hAnsi="黑体" w:eastAsia="黑体" w:cs="黑体"/>
          <w:color w:val="auto"/>
          <w:sz w:val="32"/>
          <w:szCs w:val="32"/>
        </w:rPr>
        <w:t xml:space="preserve">、部门收支总体情况 </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lang w:val="en-US" w:eastAsia="zh-CN"/>
        </w:rPr>
        <w:t>4</w:t>
      </w:r>
      <w:r>
        <w:rPr>
          <w:rStyle w:val="5"/>
          <w:rFonts w:hint="eastAsia" w:ascii="黑体" w:hAnsi="黑体" w:eastAsia="黑体" w:cs="黑体"/>
          <w:color w:val="auto"/>
          <w:sz w:val="32"/>
          <w:szCs w:val="32"/>
        </w:rPr>
        <w:t xml:space="preserve">、一般公共预算拨款支出预算 </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lang w:val="en-US" w:eastAsia="zh-CN"/>
        </w:rPr>
        <w:t>5</w:t>
      </w:r>
      <w:r>
        <w:rPr>
          <w:rStyle w:val="5"/>
          <w:rFonts w:hint="eastAsia" w:ascii="黑体" w:hAnsi="黑体" w:eastAsia="黑体" w:cs="黑体"/>
          <w:color w:val="auto"/>
          <w:sz w:val="32"/>
          <w:szCs w:val="32"/>
        </w:rPr>
        <w:t xml:space="preserve">、其他重要事项的情况说明 </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lang w:val="en-US" w:eastAsia="zh-CN"/>
        </w:rPr>
      </w:pPr>
      <w:r>
        <w:rPr>
          <w:rStyle w:val="5"/>
          <w:rFonts w:hint="eastAsia" w:ascii="黑体" w:hAnsi="黑体" w:eastAsia="黑体" w:cs="黑体"/>
          <w:color w:val="auto"/>
          <w:sz w:val="32"/>
          <w:szCs w:val="32"/>
          <w:lang w:val="en-US" w:eastAsia="zh-CN"/>
        </w:rPr>
        <w:t>6</w:t>
      </w:r>
      <w:r>
        <w:rPr>
          <w:rStyle w:val="5"/>
          <w:rFonts w:hint="eastAsia" w:ascii="黑体" w:hAnsi="黑体" w:eastAsia="黑体" w:cs="黑体"/>
          <w:color w:val="auto"/>
          <w:sz w:val="32"/>
          <w:szCs w:val="32"/>
        </w:rPr>
        <w:t xml:space="preserve">、名词解释 </w:t>
      </w:r>
    </w:p>
    <w:p>
      <w:pPr>
        <w:pStyle w:val="2"/>
        <w:keepNext w:val="0"/>
        <w:keepLines w:val="0"/>
        <w:widowControl/>
        <w:suppressLineNumbers w:val="0"/>
        <w:pBdr>
          <w:bottom w:val="none" w:color="auto" w:sz="0" w:space="0"/>
        </w:pBdr>
        <w:spacing w:before="0" w:beforeAutospacing="0" w:after="0" w:afterAutospacing="0" w:line="384" w:lineRule="atLeast"/>
        <w:ind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rPr>
        <w:t>第二部分 2020年部门预算表</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lang w:val="en-US" w:eastAsia="zh-CN"/>
        </w:rPr>
        <w:t>1、</w:t>
      </w:r>
      <w:r>
        <w:rPr>
          <w:rStyle w:val="5"/>
          <w:rFonts w:hint="eastAsia" w:ascii="黑体" w:hAnsi="黑体" w:eastAsia="黑体" w:cs="黑体"/>
          <w:color w:val="auto"/>
          <w:sz w:val="32"/>
          <w:szCs w:val="32"/>
        </w:rPr>
        <w:t>部门预算公开及三公经费预算</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lang w:val="en-US" w:eastAsia="zh-CN"/>
        </w:rPr>
        <w:t>2、</w:t>
      </w:r>
      <w:r>
        <w:rPr>
          <w:rStyle w:val="5"/>
          <w:rFonts w:hint="eastAsia" w:ascii="黑体" w:hAnsi="黑体" w:eastAsia="黑体" w:cs="黑体"/>
          <w:color w:val="auto"/>
          <w:sz w:val="32"/>
          <w:szCs w:val="32"/>
        </w:rPr>
        <w:t>整体支出</w:t>
      </w:r>
      <w:r>
        <w:rPr>
          <w:rStyle w:val="5"/>
          <w:rFonts w:hint="eastAsia" w:ascii="黑体" w:hAnsi="黑体" w:eastAsia="黑体" w:cs="黑体"/>
          <w:color w:val="auto"/>
          <w:sz w:val="32"/>
          <w:szCs w:val="32"/>
          <w:lang w:eastAsia="zh-CN"/>
        </w:rPr>
        <w:t>及</w:t>
      </w:r>
      <w:r>
        <w:rPr>
          <w:rStyle w:val="5"/>
          <w:rFonts w:hint="eastAsia" w:ascii="黑体" w:hAnsi="黑体" w:eastAsia="黑体" w:cs="黑体"/>
          <w:color w:val="auto"/>
          <w:sz w:val="32"/>
          <w:szCs w:val="32"/>
        </w:rPr>
        <w:t>项目支出绩效目标表</w:t>
      </w: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Style w:val="5"/>
          <w:rFonts w:hint="eastAsia" w:ascii="华文中宋" w:hAnsi="华文中宋" w:eastAsia="华文中宋" w:cs="华文中宋"/>
          <w:b w:val="0"/>
          <w:bCs/>
          <w:color w:val="auto"/>
          <w:sz w:val="44"/>
          <w:szCs w:val="44"/>
        </w:rPr>
      </w:pP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Style w:val="5"/>
          <w:rFonts w:hint="eastAsia" w:ascii="华文中宋" w:hAnsi="华文中宋" w:eastAsia="华文中宋" w:cs="华文中宋"/>
          <w:b w:val="0"/>
          <w:bCs/>
          <w:color w:val="auto"/>
          <w:sz w:val="44"/>
          <w:szCs w:val="44"/>
        </w:rPr>
      </w:pP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Style w:val="5"/>
          <w:rFonts w:hint="eastAsia" w:ascii="华文中宋" w:hAnsi="华文中宋" w:eastAsia="华文中宋" w:cs="华文中宋"/>
          <w:b w:val="0"/>
          <w:bCs/>
          <w:color w:val="auto"/>
          <w:sz w:val="44"/>
          <w:szCs w:val="44"/>
        </w:rPr>
      </w:pP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Style w:val="5"/>
          <w:rFonts w:hint="eastAsia" w:ascii="华文中宋" w:hAnsi="华文中宋" w:eastAsia="华文中宋" w:cs="华文中宋"/>
          <w:b w:val="0"/>
          <w:bCs/>
          <w:color w:val="auto"/>
          <w:sz w:val="44"/>
          <w:szCs w:val="44"/>
        </w:rPr>
      </w:pP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Style w:val="5"/>
          <w:rFonts w:hint="eastAsia" w:ascii="华文中宋" w:hAnsi="华文中宋" w:eastAsia="华文中宋" w:cs="华文中宋"/>
          <w:b w:val="0"/>
          <w:bCs/>
          <w:color w:val="auto"/>
          <w:sz w:val="44"/>
          <w:szCs w:val="44"/>
        </w:rPr>
      </w:pP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both"/>
        <w:textAlignment w:val="auto"/>
        <w:rPr>
          <w:rStyle w:val="5"/>
          <w:rFonts w:hint="eastAsia" w:ascii="华文中宋" w:hAnsi="华文中宋" w:eastAsia="华文中宋" w:cs="华文中宋"/>
          <w:b w:val="0"/>
          <w:bCs/>
          <w:color w:val="auto"/>
          <w:sz w:val="44"/>
          <w:szCs w:val="44"/>
        </w:rPr>
      </w:pP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Style w:val="5"/>
          <w:rFonts w:hint="eastAsia" w:ascii="华文中宋" w:hAnsi="华文中宋" w:eastAsia="华文中宋" w:cs="华文中宋"/>
          <w:b w:val="0"/>
          <w:bCs/>
          <w:color w:val="auto"/>
          <w:sz w:val="44"/>
          <w:szCs w:val="44"/>
        </w:rPr>
      </w:pP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center"/>
        <w:textAlignment w:val="auto"/>
        <w:rPr>
          <w:rStyle w:val="5"/>
          <w:rFonts w:hint="eastAsia" w:ascii="华文中宋" w:hAnsi="华文中宋" w:eastAsia="华文中宋" w:cs="华文中宋"/>
          <w:b w:val="0"/>
          <w:bCs/>
          <w:color w:val="auto"/>
          <w:sz w:val="44"/>
          <w:szCs w:val="44"/>
        </w:rPr>
      </w:pPr>
    </w:p>
    <w:p>
      <w:pPr>
        <w:pStyle w:val="2"/>
        <w:keepNext w:val="0"/>
        <w:keepLines w:val="0"/>
        <w:widowControl/>
        <w:suppressLineNumbers w:val="0"/>
        <w:pBdr>
          <w:bottom w:val="none" w:color="auto" w:sz="0" w:space="0"/>
        </w:pBdr>
        <w:spacing w:before="0" w:beforeAutospacing="0" w:after="0" w:afterAutospacing="0" w:line="384" w:lineRule="atLeast"/>
        <w:ind w:left="0" w:right="0"/>
        <w:jc w:val="center"/>
        <w:rPr>
          <w:rFonts w:hint="eastAsia" w:ascii="方正小标宋简体" w:hAnsi="方正小标宋简体" w:eastAsia="方正小标宋简体" w:cs="方正小标宋简体"/>
          <w:color w:val="auto"/>
          <w:sz w:val="44"/>
          <w:szCs w:val="44"/>
        </w:rPr>
      </w:pPr>
      <w:r>
        <w:rPr>
          <w:rStyle w:val="5"/>
          <w:rFonts w:hint="eastAsia" w:ascii="方正小标宋简体" w:hAnsi="方正小标宋简体" w:eastAsia="方正小标宋简体" w:cs="方正小标宋简体"/>
          <w:color w:val="auto"/>
          <w:sz w:val="44"/>
          <w:szCs w:val="44"/>
        </w:rPr>
        <w:t>第</w:t>
      </w:r>
      <w:r>
        <w:rPr>
          <w:rStyle w:val="5"/>
          <w:rFonts w:hint="eastAsia" w:ascii="方正小标宋简体" w:hAnsi="方正小标宋简体" w:eastAsia="方正小标宋简体" w:cs="方正小标宋简体"/>
          <w:color w:val="auto"/>
          <w:sz w:val="44"/>
          <w:szCs w:val="44"/>
          <w:lang w:eastAsia="zh-CN"/>
        </w:rPr>
        <w:t>一</w:t>
      </w:r>
      <w:r>
        <w:rPr>
          <w:rStyle w:val="5"/>
          <w:rFonts w:hint="eastAsia" w:ascii="方正小标宋简体" w:hAnsi="方正小标宋简体" w:eastAsia="方正小标宋简体" w:cs="方正小标宋简体"/>
          <w:color w:val="auto"/>
          <w:sz w:val="44"/>
          <w:szCs w:val="44"/>
        </w:rPr>
        <w:t>部分</w:t>
      </w:r>
      <w:r>
        <w:rPr>
          <w:rStyle w:val="5"/>
          <w:rFonts w:hint="eastAsia" w:ascii="方正小标宋简体" w:hAnsi="方正小标宋简体" w:eastAsia="方正小标宋简体" w:cs="方正小标宋简体"/>
          <w:color w:val="auto"/>
          <w:sz w:val="44"/>
          <w:szCs w:val="44"/>
          <w:lang w:val="en-US" w:eastAsia="zh-CN"/>
        </w:rPr>
        <w:t xml:space="preserve">  </w:t>
      </w:r>
      <w:r>
        <w:rPr>
          <w:rStyle w:val="5"/>
          <w:rFonts w:hint="eastAsia" w:ascii="方正小标宋简体" w:hAnsi="方正小标宋简体" w:eastAsia="方正小标宋简体" w:cs="方正小标宋简体"/>
          <w:color w:val="auto"/>
          <w:sz w:val="44"/>
          <w:szCs w:val="44"/>
        </w:rPr>
        <w:t>2020年部门预算说明</w:t>
      </w: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both"/>
        <w:textAlignment w:val="auto"/>
        <w:rPr>
          <w:rStyle w:val="5"/>
          <w:rFonts w:hint="eastAsia" w:ascii="宋体" w:hAnsi="宋体" w:eastAsia="宋体" w:cs="宋体"/>
          <w:color w:val="auto"/>
          <w:sz w:val="28"/>
          <w:szCs w:val="28"/>
        </w:rPr>
      </w:pP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jc w:val="both"/>
        <w:textAlignment w:val="auto"/>
        <w:rPr>
          <w:rStyle w:val="5"/>
          <w:rFonts w:hint="eastAsia" w:ascii="宋体" w:hAnsi="宋体" w:eastAsia="宋体" w:cs="宋体"/>
          <w:color w:val="auto"/>
          <w:kern w:val="2"/>
          <w:sz w:val="28"/>
          <w:szCs w:val="28"/>
          <w:lang w:val="en-US" w:eastAsia="zh-CN" w:bidi="ar-SA"/>
        </w:rPr>
      </w:pPr>
      <w:r>
        <w:rPr>
          <w:rStyle w:val="5"/>
          <w:rFonts w:hint="eastAsia" w:ascii="宋体" w:hAnsi="宋体" w:eastAsia="宋体" w:cs="宋体"/>
          <w:color w:val="auto"/>
          <w:kern w:val="2"/>
          <w:sz w:val="28"/>
          <w:szCs w:val="28"/>
          <w:lang w:val="en-US" w:eastAsia="zh-CN" w:bidi="ar-SA"/>
        </w:rPr>
        <w:t>　</w:t>
      </w:r>
      <w:r>
        <w:rPr>
          <w:rStyle w:val="5"/>
          <w:rFonts w:hint="eastAsia" w:ascii="黑体" w:hAnsi="黑体" w:eastAsia="黑体" w:cs="黑体"/>
          <w:color w:val="auto"/>
          <w:kern w:val="2"/>
          <w:sz w:val="32"/>
          <w:szCs w:val="32"/>
          <w:lang w:val="en-US" w:eastAsia="zh-CN" w:bidi="ar-SA"/>
        </w:rPr>
        <w:t>　一、部门基本情况</w:t>
      </w:r>
    </w:p>
    <w:p>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　</w:t>
      </w:r>
      <w:r>
        <w:rPr>
          <w:rFonts w:hint="eastAsia" w:ascii="楷体" w:hAnsi="楷体" w:eastAsia="楷体" w:cs="楷体"/>
          <w:color w:val="auto"/>
          <w:sz w:val="32"/>
          <w:szCs w:val="32"/>
        </w:rPr>
        <w:t>　</w:t>
      </w:r>
      <w:r>
        <w:rPr>
          <w:rFonts w:hint="eastAsia" w:ascii="楷体" w:hAnsi="楷体" w:eastAsia="楷体" w:cs="楷体"/>
          <w:color w:val="auto"/>
          <w:sz w:val="32"/>
          <w:szCs w:val="32"/>
          <w:lang w:val="en-US" w:eastAsia="zh-CN"/>
        </w:rPr>
        <w:t>1、职能职责</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rPr>
        <w:t>根据《中共衡阳市委办公室衡阳市人民政府办公室关于印发〈珠晖区机构改革方案〉的通知》（衡办</w:t>
      </w:r>
      <w:r>
        <w:rPr>
          <w:rFonts w:ascii="仿宋_GB2312" w:hAnsi="黑体" w:eastAsia="仿宋_GB2312" w:cs="仿宋_GB2312"/>
          <w:sz w:val="32"/>
          <w:szCs w:val="32"/>
        </w:rPr>
        <w:t>[2019]15</w:t>
      </w:r>
      <w:r>
        <w:rPr>
          <w:rFonts w:hint="eastAsia" w:ascii="仿宋_GB2312" w:hAnsi="黑体" w:eastAsia="仿宋_GB2312" w:cs="仿宋_GB2312"/>
          <w:sz w:val="32"/>
          <w:szCs w:val="32"/>
        </w:rPr>
        <w:t>号）</w:t>
      </w:r>
      <w:r>
        <w:rPr>
          <w:rFonts w:hint="eastAsia" w:ascii="仿宋_GB2312" w:hAnsi="黑体" w:eastAsia="仿宋_GB2312" w:cs="仿宋_GB2312"/>
          <w:sz w:val="32"/>
          <w:szCs w:val="32"/>
          <w:lang w:eastAsia="zh-CN"/>
        </w:rPr>
        <w:t>的规定，</w:t>
      </w:r>
      <w:r>
        <w:rPr>
          <w:rFonts w:hint="eastAsia" w:ascii="仿宋_GB2312" w:hAnsi="黑体" w:eastAsia="仿宋_GB2312" w:cs="仿宋_GB2312"/>
          <w:sz w:val="32"/>
          <w:szCs w:val="32"/>
        </w:rPr>
        <w:t>珠晖区科技和工业信息化局（</w:t>
      </w:r>
      <w:r>
        <w:rPr>
          <w:rFonts w:hint="eastAsia" w:ascii="仿宋_GB2312" w:eastAsia="仿宋_GB2312"/>
          <w:color w:val="000000"/>
          <w:sz w:val="32"/>
          <w:szCs w:val="32"/>
        </w:rPr>
        <w:t>以下简称区科技和工业信息化局）</w:t>
      </w:r>
      <w:r>
        <w:rPr>
          <w:rFonts w:hint="eastAsia" w:ascii="仿宋_GB2312" w:hAnsi="黑体" w:eastAsia="仿宋_GB2312" w:cs="仿宋_GB2312"/>
          <w:sz w:val="32"/>
          <w:szCs w:val="32"/>
        </w:rPr>
        <w:t>是区政府工作部门，为正科级</w:t>
      </w:r>
      <w:r>
        <w:rPr>
          <w:rFonts w:hint="eastAsia" w:ascii="仿宋_GB2312" w:hAnsi="黑体"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cs="仿宋_GB2312"/>
          <w:sz w:val="32"/>
          <w:szCs w:val="32"/>
        </w:rPr>
      </w:pPr>
      <w:r>
        <w:rPr>
          <w:rFonts w:hint="eastAsia" w:ascii="仿宋_GB2312" w:hAnsi="黑体" w:eastAsia="仿宋_GB2312" w:cs="仿宋_GB2312"/>
          <w:sz w:val="32"/>
          <w:szCs w:val="32"/>
        </w:rPr>
        <w:t>珠晖区科技和工业信息化局贯彻落实党中央关于科技和工业信息化工作的方针政策和决策部署，全面贯彻落实省、市、区委关于科技和工业信息化工作的部署要求，在履行职责过程中坚持和加强党对科技和工业信息化工作的集中统一领导。主要职责是：</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一）贯彻落实国家、省、市有关科学技术、工业经济和信息化方面的方针政策和法律法规。组织起草科学技术、工业经济和信息化有关规范性文件草案，拟订并组织实施科学技术、工业经济和信息化规划和年度计划。指导协调政府各部门和乡镇街道的科技、工业、信息化管理工作。</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ascii="仿宋_GB2312" w:hAnsi="黑体" w:eastAsia="仿宋_GB2312"/>
          <w:sz w:val="32"/>
          <w:szCs w:val="32"/>
        </w:rPr>
        <w:fldChar w:fldCharType="begin"/>
      </w:r>
      <w:r>
        <w:rPr>
          <w:rFonts w:ascii="仿宋_GB2312" w:hAnsi="黑体" w:eastAsia="仿宋_GB2312"/>
          <w:sz w:val="32"/>
          <w:szCs w:val="32"/>
        </w:rPr>
        <w:instrText xml:space="preserve"> = 2 \* GB4 </w:instrText>
      </w:r>
      <w:r>
        <w:rPr>
          <w:rFonts w:ascii="仿宋_GB2312" w:hAnsi="黑体" w:eastAsia="仿宋_GB2312"/>
          <w:sz w:val="32"/>
          <w:szCs w:val="32"/>
        </w:rPr>
        <w:fldChar w:fldCharType="separate"/>
      </w:r>
      <w:r>
        <w:rPr>
          <w:rFonts w:hint="eastAsia" w:ascii="仿宋_GB2312" w:hAnsi="黑体" w:eastAsia="仿宋_GB2312"/>
          <w:sz w:val="32"/>
          <w:szCs w:val="32"/>
        </w:rPr>
        <w:t>（二）</w:t>
      </w:r>
      <w:r>
        <w:rPr>
          <w:rFonts w:ascii="仿宋_GB2312" w:hAnsi="黑体" w:eastAsia="仿宋_GB2312"/>
          <w:sz w:val="32"/>
          <w:szCs w:val="32"/>
        </w:rPr>
        <w:fldChar w:fldCharType="end"/>
      </w:r>
      <w:r>
        <w:rPr>
          <w:rFonts w:hint="eastAsia" w:ascii="仿宋_GB2312" w:hAnsi="黑体" w:eastAsia="仿宋_GB2312"/>
          <w:sz w:val="32"/>
          <w:szCs w:val="32"/>
        </w:rPr>
        <w:t>负责全区工业和信息化领域的日常经济运行调节工作，编制并组织实施近期工业经济和信息化领域的经济运行调控目标、政策和措施。监测分析近期全区工业和信息化领域的经济运行态势，统计并发布相关信息，协调解决工业经济运行中的突出矛盾和问题并提出政策建议。</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三）拟订全区新型工业化的发展战略，协调解决有关重大问题；综合管理全区工业经济，指导、协调和服务工业企业。负责推进信息化和工业化融合，推进全区工业信息化。指导全区工业技术创新、品牌升级和管理创新，引导优先发展高科技、高附加值产业，大力推进节能减排，发展低碳工业经济。负责全区优势工业产业与重点工业企业的培育和发展工作。负责指导全区规模工业企业的统计和考核工作。</w:t>
      </w:r>
      <w:r>
        <w:rPr>
          <w:rFonts w:ascii="仿宋_GB2312" w:hAnsi="黑体" w:eastAsia="仿宋_GB2312"/>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四）会同有关部门研究提出全区科技发展、工业企业发展重大布局政策建议，参与对经济、多学科的综合性项目、引进项目的论证与决策，组织实施省、市、区科技专项、关键技术和共性技术攻关。会同有关部门提出科技体制改革的政策和措施建议、推进科技体制改革工作。</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（五）负责提出工业和信息化固定资产投资规模和方向的意见，按规定权限负责工业固定资产投资项目管理工作。</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（六）推进全区创新体系建设</w:t>
      </w:r>
      <w:r>
        <w:rPr>
          <w:rFonts w:ascii="仿宋_GB2312" w:hAnsi="黑体" w:eastAsia="仿宋_GB2312"/>
          <w:sz w:val="32"/>
          <w:szCs w:val="32"/>
        </w:rPr>
        <w:t>,</w:t>
      </w:r>
      <w:r>
        <w:rPr>
          <w:rFonts w:hint="eastAsia" w:ascii="仿宋_GB2312" w:hAnsi="黑体" w:eastAsia="仿宋_GB2312"/>
          <w:sz w:val="32"/>
          <w:szCs w:val="32"/>
        </w:rPr>
        <w:t>会同有关部门推荐或认定创新型企业、民营科技企业和自主创新产品，加强技术创新平台的建设，促进民营科技和科技型中小企业的技术创新工作，推进中小企业服务体系建设和全民创业。</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（七）会同有关部门拟订高新技术发展的政策措施，指导高新技术及应用技术的开发与推广，会同有关部门推荐或认定高新技术企业和高新技术产品，指导各类科技示范推广基地的建设与管理。</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八）拟订科技服务业发展的政策和规划，拟订促进技术市场、科技中介组织发展的政策措施，负责技术市场、科技中介组织的指导和监督管理，负责全区科技奖励、科技保密、科技评估、科技统计、科技情况信息。推进民营科技工作。</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九）研究提出多渠道增加科技投入的措施建议，优化科技资源；会同有关部门提出科技资源合理配置的政策建议，推动科技资源共建共享，促进科技和金融结合，建立科技金融服务的统筹协调机制。负责科技经费的预、决算和经费使用的监督管理。</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（十）牵头组织协调产学研结合工作，推进产学研创新联盟建设，会同有关部门制定科技成果推广政策，指导科技成果转化。</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（十一）组织拟订科技促进农村和社会发展的政策措施，会同有关部门推进全区农村科技创新示范点建设，促进以科技改善民生为重点的农村建设和社会建设。</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ascii="仿宋_GB2312" w:hAnsi="黑体" w:eastAsia="仿宋_GB2312"/>
          <w:sz w:val="32"/>
          <w:szCs w:val="32"/>
        </w:rPr>
        <w:t>(</w:t>
      </w:r>
      <w:r>
        <w:rPr>
          <w:rFonts w:hint="eastAsia" w:ascii="仿宋_GB2312" w:hAnsi="黑体" w:eastAsia="仿宋_GB2312"/>
          <w:sz w:val="32"/>
          <w:szCs w:val="32"/>
        </w:rPr>
        <w:t>十二</w:t>
      </w:r>
      <w:r>
        <w:rPr>
          <w:rFonts w:ascii="仿宋_GB2312" w:hAnsi="黑体" w:eastAsia="仿宋_GB2312"/>
          <w:sz w:val="32"/>
          <w:szCs w:val="32"/>
        </w:rPr>
        <w:t>)</w:t>
      </w:r>
      <w:r>
        <w:rPr>
          <w:rFonts w:hint="eastAsia" w:ascii="仿宋_GB2312" w:hAnsi="黑体" w:eastAsia="仿宋_GB2312"/>
          <w:sz w:val="32"/>
          <w:szCs w:val="32"/>
        </w:rPr>
        <w:t>指导、协调全区科技、工业经济和信息化领域的对外交流与合作；指导全区科技、工业经济和信息化领域人才开发与培训工作。</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（十三）负责职责范围内对有关行业、领域的安全生产工作实施监督管理。</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（十四）负责统计监测全面建成小康社会相关指标数据，并分析研究提出对策建议，及时发出预警信息。</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（十五）承办区人民政府交办的其他事项。</w:t>
      </w:r>
    </w:p>
    <w:p>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2、机构设置</w:t>
      </w:r>
    </w:p>
    <w:p>
      <w:pPr>
        <w:keepNext w:val="0"/>
        <w:keepLines w:val="0"/>
        <w:pageBreakBefore w:val="0"/>
        <w:kinsoku/>
        <w:wordWrap/>
        <w:overflowPunct/>
        <w:topLinePunct w:val="0"/>
        <w:autoSpaceDE/>
        <w:autoSpaceDN/>
        <w:bidi w:val="0"/>
        <w:adjustRightInd/>
        <w:snapToGrid/>
        <w:spacing w:line="540" w:lineRule="exact"/>
        <w:ind w:firstLine="660"/>
        <w:textAlignment w:val="auto"/>
        <w:rPr>
          <w:rFonts w:ascii="仿宋_GB2312" w:hAnsi="黑体" w:eastAsia="仿宋_GB2312" w:cs="仿宋_GB2312"/>
          <w:sz w:val="32"/>
          <w:szCs w:val="32"/>
        </w:rPr>
      </w:pPr>
      <w:r>
        <w:rPr>
          <w:rFonts w:hint="eastAsia" w:ascii="仿宋_GB2312" w:hAnsi="黑体" w:eastAsia="仿宋_GB2312" w:cs="仿宋_GB2312"/>
          <w:sz w:val="32"/>
          <w:szCs w:val="32"/>
        </w:rPr>
        <w:t>珠晖区科技和工业信息化局设下列内设机构</w:t>
      </w:r>
      <w:r>
        <w:rPr>
          <w:rFonts w:ascii="仿宋_GB2312" w:hAnsi="黑体" w:eastAsia="仿宋_GB2312" w:cs="仿宋_GB2312"/>
          <w:sz w:val="32"/>
          <w:szCs w:val="32"/>
        </w:rPr>
        <w:t>:</w:t>
      </w:r>
      <w:r>
        <w:rPr>
          <w:rFonts w:hint="eastAsia" w:ascii="仿宋_GB2312" w:hAnsi="黑体" w:eastAsia="仿宋_GB2312" w:cs="仿宋"/>
          <w:sz w:val="32"/>
          <w:szCs w:val="32"/>
        </w:rPr>
        <w:t>办公室</w:t>
      </w:r>
      <w:r>
        <w:rPr>
          <w:rFonts w:hint="eastAsia" w:ascii="仿宋_GB2312" w:hAnsi="黑体" w:eastAsia="仿宋_GB2312" w:cs="仿宋"/>
          <w:sz w:val="32"/>
          <w:szCs w:val="32"/>
          <w:lang w:eastAsia="zh-CN"/>
        </w:rPr>
        <w:t>、</w:t>
      </w:r>
      <w:r>
        <w:rPr>
          <w:rFonts w:hint="eastAsia" w:ascii="仿宋_GB2312" w:hAnsi="黑体" w:eastAsia="仿宋_GB2312" w:cs="仿宋"/>
          <w:sz w:val="32"/>
          <w:szCs w:val="32"/>
        </w:rPr>
        <w:t>经济运行股</w:t>
      </w:r>
      <w:r>
        <w:rPr>
          <w:rFonts w:hint="eastAsia" w:ascii="仿宋_GB2312" w:hAnsi="黑体" w:eastAsia="仿宋_GB2312" w:cs="仿宋"/>
          <w:sz w:val="32"/>
          <w:szCs w:val="32"/>
          <w:lang w:eastAsia="zh-CN"/>
        </w:rPr>
        <w:t>、</w:t>
      </w:r>
      <w:r>
        <w:rPr>
          <w:rFonts w:hint="eastAsia" w:ascii="仿宋_GB2312" w:hAnsi="黑体" w:eastAsia="仿宋_GB2312" w:cs="仿宋"/>
          <w:sz w:val="32"/>
          <w:szCs w:val="32"/>
        </w:rPr>
        <w:t>计划与科技成果股</w:t>
      </w:r>
      <w:r>
        <w:rPr>
          <w:rFonts w:hint="eastAsia" w:ascii="仿宋_GB2312" w:hAnsi="黑体" w:eastAsia="仿宋_GB2312" w:cs="仿宋"/>
          <w:sz w:val="32"/>
          <w:szCs w:val="32"/>
          <w:lang w:eastAsia="zh-CN"/>
        </w:rPr>
        <w:t>、</w:t>
      </w:r>
      <w:r>
        <w:rPr>
          <w:rFonts w:hint="eastAsia" w:ascii="仿宋_GB2312" w:hAnsi="黑体" w:eastAsia="仿宋_GB2312" w:cs="仿宋"/>
          <w:sz w:val="32"/>
          <w:szCs w:val="32"/>
        </w:rPr>
        <w:t>经济发展股</w:t>
      </w:r>
      <w:r>
        <w:rPr>
          <w:rFonts w:hint="eastAsia" w:ascii="仿宋_GB2312" w:hAnsi="黑体" w:eastAsia="仿宋_GB2312" w:cs="仿宋"/>
          <w:sz w:val="32"/>
          <w:szCs w:val="32"/>
          <w:lang w:eastAsia="zh-CN"/>
        </w:rPr>
        <w:t>。</w:t>
      </w:r>
      <w:r>
        <w:rPr>
          <w:rFonts w:hint="eastAsia" w:ascii="仿宋_GB2312" w:hAnsi="黑体" w:eastAsia="仿宋_GB2312" w:cs="仿宋_GB2312"/>
          <w:sz w:val="32"/>
          <w:szCs w:val="32"/>
        </w:rPr>
        <w:t>珠晖区科技和工业信息化局行政编制3名。设局长1名，副局长2名。</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color w:val="auto"/>
          <w:sz w:val="28"/>
          <w:szCs w:val="28"/>
          <w:lang w:val="en-US" w:eastAsia="zh-CN"/>
        </w:rPr>
      </w:pPr>
      <w:r>
        <w:rPr>
          <w:rFonts w:hint="eastAsia" w:ascii="仿宋_GB2312" w:hAnsi="仿宋_GB2312" w:eastAsia="仿宋_GB2312" w:cs="仿宋_GB2312"/>
          <w:color w:val="000000"/>
          <w:sz w:val="32"/>
          <w:szCs w:val="32"/>
        </w:rPr>
        <w:t>机关后勤服务全额拨款事业编制暂维持现状，人员只出不进，编制出一减一。</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lang w:eastAsia="zh-CN"/>
        </w:rPr>
        <w:t>二、</w:t>
      </w:r>
      <w:r>
        <w:rPr>
          <w:rStyle w:val="5"/>
          <w:rFonts w:hint="eastAsia" w:ascii="黑体" w:hAnsi="黑体" w:eastAsia="黑体" w:cs="黑体"/>
          <w:color w:val="auto"/>
          <w:sz w:val="32"/>
          <w:szCs w:val="32"/>
        </w:rPr>
        <w:t>部门预算单位构成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珠晖区科技和工业信息化局只有本级，没有其他二级预算单位，因此，纳入2020年部门预算编制范围的只有珠晖区科技和工业信息化局本级。</w:t>
      </w: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3" w:firstLineChars="200"/>
        <w:jc w:val="left"/>
        <w:textAlignment w:val="auto"/>
        <w:rPr>
          <w:rStyle w:val="5"/>
          <w:rFonts w:hint="eastAsia" w:ascii="黑体" w:hAnsi="黑体" w:eastAsia="黑体" w:cs="黑体"/>
          <w:color w:val="auto"/>
          <w:kern w:val="2"/>
          <w:sz w:val="32"/>
          <w:szCs w:val="32"/>
          <w:lang w:val="en-US" w:eastAsia="zh-CN" w:bidi="ar-SA"/>
        </w:rPr>
      </w:pPr>
      <w:r>
        <w:rPr>
          <w:rStyle w:val="5"/>
          <w:rFonts w:hint="eastAsia" w:ascii="黑体" w:hAnsi="黑体" w:eastAsia="黑体" w:cs="黑体"/>
          <w:color w:val="auto"/>
          <w:kern w:val="2"/>
          <w:sz w:val="32"/>
          <w:szCs w:val="32"/>
          <w:lang w:val="en-US" w:eastAsia="zh-CN" w:bidi="ar-SA"/>
        </w:rPr>
        <w:t xml:space="preserve">三、部门收支总体情况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2020年珠晖区科技和工业信息化局收入只安排了一般公共预算收入，未安排政府性基金预算拨款、国有资本经营预算收入和纳入专户管理的非税收入拨款收入，也没有使用政府性基金预算拨款、国有资本经营预算收入和纳入专户管理的非税收入拨款安排的支出。支出既包括保障机关基本运行的经费，也包括业务工作专项支出。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（一）收入预算：2020年年初预算数  173.06 元，其中，一般公共预算拨款   173.06万元。收入较去年增加10.73 万元，主要是人员经费拨款增加 10.73万元。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（二）支出预算：2020年年初预算数 173.06万元，其中，科学技术支出 139.65万元，社会保障和就业支出 9.49 万元，卫生健康支出 14.64 万元，住房保障支出  9.28 万元。支出较去年增加 10.73 万元，主要是基本支出增加10.73万元。</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lang w:val="en-US" w:eastAsia="zh-CN"/>
        </w:rPr>
        <w:t>四</w:t>
      </w:r>
      <w:r>
        <w:rPr>
          <w:rFonts w:hint="eastAsia" w:ascii="仿宋_GB2312" w:hAnsi="黑体" w:eastAsia="仿宋_GB2312"/>
          <w:sz w:val="32"/>
          <w:szCs w:val="32"/>
        </w:rPr>
        <w:t xml:space="preserve">、一般公共预算拨款支出预算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2020年一般公共预算拨款收入 173.06 万元，具体安排情况如下：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（一）基本支出：2020年基本支出年初预算数为   153.06 万元，是指为保障单位机构正常运转、完成日常工作任务而发生的各项支出，包括用于基本工资、津贴补贴等人员经费以及办公费、印刷费、水电费、办公设备购置等日常公用经费。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（二）项目支出：2020年项目支出年初预算数为 20 万元，是指单位为完成特定行政工作任务或事业发展目标而发生的支出，包括业务工作经费和其他事务支出。其中：科技基金项目10万元主要用于科技宣传培训、组织申报高新技术企业、科技项目、科技成果转化等方面支出；区属困难企业扶持金6万元主要用于</w:t>
      </w:r>
      <w:r>
        <w:rPr>
          <w:rFonts w:hint="eastAsia" w:ascii="仿宋_GB2312" w:hAnsi="仿宋_GB2312" w:eastAsia="仿宋_GB2312" w:cs="仿宋_GB2312"/>
          <w:color w:val="333333"/>
          <w:kern w:val="0"/>
          <w:sz w:val="32"/>
          <w:szCs w:val="32"/>
          <w:lang w:eastAsia="zh-CN"/>
        </w:rPr>
        <w:t>属企</w:t>
      </w:r>
      <w:r>
        <w:rPr>
          <w:rFonts w:hint="eastAsia" w:ascii="仿宋_GB2312" w:hAnsi="仿宋_GB2312" w:eastAsia="仿宋_GB2312" w:cs="仿宋_GB2312"/>
          <w:color w:val="auto"/>
          <w:kern w:val="2"/>
          <w:sz w:val="32"/>
          <w:szCs w:val="32"/>
          <w:lang w:val="en-US" w:eastAsia="zh-CN" w:bidi="ar-SA"/>
        </w:rPr>
        <w:t>业因改革改制破产的企业困难职工进行帮扶等方面支出；企业改制经费2万元主要用于</w:t>
      </w:r>
      <w:r>
        <w:rPr>
          <w:rFonts w:hint="eastAsia" w:ascii="仿宋_GB2312" w:hAnsi="仿宋_GB2312" w:eastAsia="仿宋_GB2312" w:cs="仿宋_GB2312"/>
          <w:sz w:val="32"/>
          <w:szCs w:val="32"/>
          <w:lang w:val="en-US" w:eastAsia="zh-CN"/>
        </w:rPr>
        <w:t>组织实施全区集体企业的改革、改制工作等方面的支出；防震减灾项目经费2万元</w:t>
      </w:r>
      <w:r>
        <w:rPr>
          <w:rFonts w:hint="eastAsia" w:ascii="仿宋_GB2312" w:hAnsi="仿宋_GB2312" w:eastAsia="仿宋_GB2312" w:cs="仿宋_GB2312"/>
          <w:color w:val="auto"/>
          <w:kern w:val="2"/>
          <w:sz w:val="32"/>
          <w:szCs w:val="32"/>
          <w:lang w:val="en-US" w:eastAsia="zh-CN" w:bidi="ar-SA"/>
        </w:rPr>
        <w:t>万元，主要用于防震减灾宣传教育等等方面支出。 </w:t>
      </w: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3" w:firstLineChars="200"/>
        <w:jc w:val="left"/>
        <w:textAlignment w:val="auto"/>
        <w:rPr>
          <w:rStyle w:val="5"/>
          <w:rFonts w:hint="eastAsia" w:ascii="仿宋_GB2312" w:hAnsi="仿宋_GB2312" w:eastAsia="仿宋_GB2312" w:cs="仿宋_GB2312"/>
          <w:color w:val="auto"/>
          <w:sz w:val="32"/>
          <w:szCs w:val="32"/>
        </w:rPr>
      </w:pPr>
      <w:r>
        <w:rPr>
          <w:rStyle w:val="5"/>
          <w:rFonts w:hint="eastAsia" w:ascii="仿宋_GB2312" w:hAnsi="仿宋_GB2312" w:eastAsia="仿宋_GB2312" w:cs="仿宋_GB2312"/>
          <w:color w:val="auto"/>
          <w:sz w:val="32"/>
          <w:szCs w:val="32"/>
        </w:rPr>
        <w:t>五、其他重要事项的情况说明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1、机关运行经费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2020年珠晖区科技和工业信息化局机关运行经费一般公共预算拨款 5.4万元，与2019年预算持平。</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2、“三公”经费预算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2020年“三公”经费预算数为 3.7  万元，其中，公务接待费 3.7 万元，公务用车购置及运行费  0 万元（其中，公务用车购置费0万元，公务用车运行费 0  万元），因公出国（境）费   万元。2020年“三公”经费预算较2019年减少  0 万元，主要是公务接待费减少 0 万元，公务用车运行费减少0 万元，因公出国（境）费减少 0 万元。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3、政府采购情况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2020年珠晖区科工信局政府采购预算总额 0万元，其中，政府采购货预算 0 万元；政府采购服务预算 0 万元。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4、国有资产占用使用情况说明：截至2019年12月30日，我单位共有固定资产原值151854元，固定资产净值67113.81元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5、预算绩效目标说明：本部门整体支出和项目支出实行绩效目标管理，纳入2020年部门整体支出绩效目标的金额为 173.06 万元，其中，基本支出 153.06 万元，项目支出 20 万元。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0" w:firstLineChars="200"/>
        <w:jc w:val="both"/>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6、一般性支出情况：2020 年本部门一般性支出情况如下：①30201“办公费”4万元，拟用于购买日常办公用品和支付各部部门要求订阅的书籍报刊杂志等；②30202“印刷费”2万元，拟用于单位在各打印店打印资料宣传栏宣传单等；③30216“培训费”1.9万元，拟用于对全区规上企业举办培训班及参加外出培训等；④30217“公务接待费”3.7万元，拟用于单位日常接待及工业科技招商引资项目接待等；⑤30211“差旅费”1万元，拟用于应上级要求出差等；⑥30215“会议费”0.5万元、拟用于支付组织召开会议产生的各项费用等；⑦30226“劳务费”2万元，拟用于支付临时聘请的专家及其他人员劳务报酬；⑧30227“委托业务费”0.5万元，拟用于支付委托其他机构和人员办理业务产生的各项费用；⑨30239“其他交通费用1.8万元，拟用于支付</w:t>
      </w:r>
      <w:bookmarkStart w:id="0" w:name="_GoBack"/>
      <w:bookmarkEnd w:id="0"/>
      <w:r>
        <w:rPr>
          <w:rFonts w:hint="eastAsia" w:ascii="仿宋_GB2312" w:hAnsi="仿宋_GB2312" w:eastAsia="仿宋_GB2312" w:cs="仿宋_GB2312"/>
          <w:color w:val="auto"/>
          <w:kern w:val="2"/>
          <w:sz w:val="32"/>
          <w:szCs w:val="32"/>
          <w:lang w:val="en-US" w:eastAsia="zh-CN" w:bidi="ar-SA"/>
        </w:rPr>
        <w:t>组织党支部和工会活动等产生的租车费用。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482" w:rightChars="0" w:firstLine="643" w:firstLineChars="200"/>
        <w:jc w:val="both"/>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六、名词解释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2"/>
        <w:keepNext w:val="0"/>
        <w:keepLines w:val="0"/>
        <w:widowControl/>
        <w:suppressLineNumbers w:val="0"/>
        <w:pBdr>
          <w:bottom w:val="none" w:color="auto" w:sz="0" w:space="0"/>
        </w:pBdr>
        <w:spacing w:before="0" w:beforeAutospacing="0" w:after="0" w:afterAutospacing="0" w:line="384" w:lineRule="atLeast"/>
        <w:ind w:right="0"/>
        <w:jc w:val="center"/>
        <w:rPr>
          <w:rStyle w:val="5"/>
          <w:rFonts w:hint="eastAsia" w:ascii="宋体" w:hAnsi="宋体" w:eastAsia="宋体" w:cs="宋体"/>
          <w:color w:val="auto"/>
          <w:sz w:val="28"/>
          <w:szCs w:val="28"/>
        </w:rPr>
      </w:pPr>
    </w:p>
    <w:p>
      <w:pPr>
        <w:pStyle w:val="2"/>
        <w:keepNext w:val="0"/>
        <w:keepLines w:val="0"/>
        <w:widowControl/>
        <w:suppressLineNumbers w:val="0"/>
        <w:pBdr>
          <w:bottom w:val="none" w:color="auto" w:sz="0" w:space="0"/>
        </w:pBdr>
        <w:spacing w:before="0" w:beforeAutospacing="0" w:after="0" w:afterAutospacing="0" w:line="384" w:lineRule="atLeast"/>
        <w:ind w:right="0"/>
        <w:jc w:val="center"/>
        <w:rPr>
          <w:rStyle w:val="5"/>
          <w:rFonts w:hint="eastAsia" w:ascii="方正小标宋简体" w:hAnsi="方正小标宋简体" w:eastAsia="方正小标宋简体" w:cs="方正小标宋简体"/>
          <w:color w:val="auto"/>
          <w:sz w:val="44"/>
          <w:szCs w:val="44"/>
        </w:rPr>
      </w:pPr>
      <w:r>
        <w:rPr>
          <w:rStyle w:val="5"/>
          <w:rFonts w:hint="eastAsia" w:ascii="方正小标宋简体" w:hAnsi="方正小标宋简体" w:eastAsia="方正小标宋简体" w:cs="方正小标宋简体"/>
          <w:color w:val="auto"/>
          <w:sz w:val="44"/>
          <w:szCs w:val="44"/>
        </w:rPr>
        <w:t>第二部分 2020年部门预算表</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Style w:val="5"/>
          <w:rFonts w:hint="eastAsia" w:ascii="黑体" w:hAnsi="黑体" w:eastAsia="黑体" w:cs="黑体"/>
          <w:color w:val="auto"/>
          <w:sz w:val="32"/>
          <w:szCs w:val="32"/>
        </w:rPr>
      </w:pPr>
      <w:r>
        <w:rPr>
          <w:rStyle w:val="5"/>
          <w:rFonts w:hint="eastAsia" w:ascii="黑体" w:hAnsi="黑体" w:eastAsia="黑体" w:cs="黑体"/>
          <w:color w:val="auto"/>
          <w:sz w:val="32"/>
          <w:szCs w:val="32"/>
          <w:lang w:val="en-US" w:eastAsia="zh-CN"/>
        </w:rPr>
        <w:t>1、</w:t>
      </w:r>
      <w:r>
        <w:rPr>
          <w:rStyle w:val="5"/>
          <w:rFonts w:hint="eastAsia" w:ascii="黑体" w:hAnsi="黑体" w:eastAsia="黑体" w:cs="黑体"/>
          <w:color w:val="auto"/>
          <w:sz w:val="32"/>
          <w:szCs w:val="32"/>
        </w:rPr>
        <w:t>部门预算公开及三公经费预算</w:t>
      </w:r>
    </w:p>
    <w:p>
      <w:pPr>
        <w:pStyle w:val="2"/>
        <w:keepNext w:val="0"/>
        <w:keepLines w:val="0"/>
        <w:widowControl/>
        <w:suppressLineNumbers w:val="0"/>
        <w:pBdr>
          <w:bottom w:val="none" w:color="auto" w:sz="0" w:space="0"/>
        </w:pBdr>
        <w:spacing w:before="0" w:beforeAutospacing="0" w:after="0" w:afterAutospacing="0" w:line="384" w:lineRule="atLeast"/>
        <w:ind w:left="0" w:right="0"/>
        <w:jc w:val="left"/>
        <w:rPr>
          <w:rFonts w:hint="eastAsia" w:ascii="黑体" w:hAnsi="黑体" w:eastAsia="黑体" w:cs="黑体"/>
          <w:color w:val="auto"/>
          <w:kern w:val="2"/>
          <w:sz w:val="32"/>
          <w:szCs w:val="32"/>
          <w:lang w:val="en-US" w:eastAsia="zh-CN" w:bidi="ar-SA"/>
        </w:rPr>
      </w:pPr>
      <w:r>
        <w:rPr>
          <w:rStyle w:val="5"/>
          <w:rFonts w:hint="eastAsia" w:ascii="黑体" w:hAnsi="黑体" w:eastAsia="黑体" w:cs="黑体"/>
          <w:color w:val="auto"/>
          <w:sz w:val="32"/>
          <w:szCs w:val="32"/>
          <w:lang w:val="en-US" w:eastAsia="zh-CN"/>
        </w:rPr>
        <w:t>2、</w:t>
      </w:r>
      <w:r>
        <w:rPr>
          <w:rStyle w:val="5"/>
          <w:rFonts w:hint="eastAsia" w:ascii="黑体" w:hAnsi="黑体" w:eastAsia="黑体" w:cs="黑体"/>
          <w:color w:val="auto"/>
          <w:sz w:val="32"/>
          <w:szCs w:val="32"/>
        </w:rPr>
        <w:t>整体支出</w:t>
      </w:r>
      <w:r>
        <w:rPr>
          <w:rStyle w:val="5"/>
          <w:rFonts w:hint="eastAsia" w:ascii="黑体" w:hAnsi="黑体" w:eastAsia="黑体" w:cs="黑体"/>
          <w:color w:val="auto"/>
          <w:sz w:val="32"/>
          <w:szCs w:val="32"/>
          <w:lang w:eastAsia="zh-CN"/>
        </w:rPr>
        <w:t>及</w:t>
      </w:r>
      <w:r>
        <w:rPr>
          <w:rStyle w:val="5"/>
          <w:rFonts w:hint="eastAsia" w:ascii="黑体" w:hAnsi="黑体" w:eastAsia="黑体" w:cs="黑体"/>
          <w:color w:val="auto"/>
          <w:sz w:val="32"/>
          <w:szCs w:val="32"/>
        </w:rPr>
        <w:t>项目支出绩效目标表</w:t>
      </w:r>
    </w:p>
    <w:p>
      <w:pPr>
        <w:pStyle w:val="2"/>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540" w:lineRule="exact"/>
        <w:ind w:left="0" w:right="0" w:firstLine="1120" w:firstLineChars="400"/>
        <w:jc w:val="left"/>
        <w:textAlignment w:val="auto"/>
        <w:rPr>
          <w:rFonts w:hint="default" w:ascii="宋体" w:hAnsi="宋体" w:eastAsia="宋体" w:cs="宋体"/>
          <w:color w:val="auto"/>
          <w:kern w:val="2"/>
          <w:sz w:val="28"/>
          <w:szCs w:val="28"/>
          <w:lang w:val="en-US" w:eastAsia="zh-CN" w:bidi="ar-SA"/>
        </w:rPr>
      </w:pPr>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C6E755"/>
    <w:multiLevelType w:val="singleLevel"/>
    <w:tmpl w:val="9DC6E755"/>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91DDC"/>
    <w:rsid w:val="005F69D6"/>
    <w:rsid w:val="10C15F42"/>
    <w:rsid w:val="16D43D03"/>
    <w:rsid w:val="19114A6D"/>
    <w:rsid w:val="1CCF021F"/>
    <w:rsid w:val="1E340F26"/>
    <w:rsid w:val="1EBE276A"/>
    <w:rsid w:val="24E834E5"/>
    <w:rsid w:val="27691DDC"/>
    <w:rsid w:val="299E3ADE"/>
    <w:rsid w:val="2BB774E1"/>
    <w:rsid w:val="2F707D00"/>
    <w:rsid w:val="3067595C"/>
    <w:rsid w:val="34201381"/>
    <w:rsid w:val="346B729F"/>
    <w:rsid w:val="3B590DDC"/>
    <w:rsid w:val="3C29683F"/>
    <w:rsid w:val="43EB3D74"/>
    <w:rsid w:val="461940A1"/>
    <w:rsid w:val="4A946DAA"/>
    <w:rsid w:val="4DCC2DD5"/>
    <w:rsid w:val="4EF36C59"/>
    <w:rsid w:val="503A61CA"/>
    <w:rsid w:val="585C152B"/>
    <w:rsid w:val="5C1C1902"/>
    <w:rsid w:val="607B7D4C"/>
    <w:rsid w:val="60D92E73"/>
    <w:rsid w:val="61A10B7A"/>
    <w:rsid w:val="68D40935"/>
    <w:rsid w:val="6CA664F6"/>
    <w:rsid w:val="6FDE07D0"/>
    <w:rsid w:val="703D14BE"/>
    <w:rsid w:val="7530100E"/>
    <w:rsid w:val="7E71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u w:val="none"/>
    </w:rPr>
  </w:style>
  <w:style w:type="character" w:styleId="7">
    <w:name w:val="Emphasis"/>
    <w:basedOn w:val="4"/>
    <w:qFormat/>
    <w:uiPriority w:val="0"/>
  </w:style>
  <w:style w:type="character" w:styleId="8">
    <w:name w:val="HTML Definition"/>
    <w:basedOn w:val="4"/>
    <w:qFormat/>
    <w:uiPriority w:val="0"/>
  </w:style>
  <w:style w:type="character" w:styleId="9">
    <w:name w:val="HTML Acronym"/>
    <w:basedOn w:val="4"/>
    <w:qFormat/>
    <w:uiPriority w:val="0"/>
  </w:style>
  <w:style w:type="character" w:styleId="10">
    <w:name w:val="HTML Variable"/>
    <w:basedOn w:val="4"/>
    <w:qFormat/>
    <w:uiPriority w:val="0"/>
  </w:style>
  <w:style w:type="character" w:styleId="11">
    <w:name w:val="Hyperlink"/>
    <w:basedOn w:val="4"/>
    <w:qFormat/>
    <w:uiPriority w:val="0"/>
    <w:rPr>
      <w:color w:val="CC0000"/>
      <w:u w:val="single"/>
    </w:rPr>
  </w:style>
  <w:style w:type="character" w:styleId="12">
    <w:name w:val="HTML Code"/>
    <w:basedOn w:val="4"/>
    <w:qFormat/>
    <w:uiPriority w:val="0"/>
    <w:rPr>
      <w:rFonts w:hint="eastAsia" w:ascii="微软雅黑" w:hAnsi="微软雅黑" w:eastAsia="微软雅黑" w:cs="微软雅黑"/>
      <w:sz w:val="16"/>
      <w:szCs w:val="16"/>
    </w:rPr>
  </w:style>
  <w:style w:type="character" w:styleId="13">
    <w:name w:val="HTML Cite"/>
    <w:basedOn w:val="4"/>
    <w:qFormat/>
    <w:uiPriority w:val="0"/>
  </w:style>
  <w:style w:type="character" w:customStyle="1" w:styleId="14">
    <w:name w:val="bd-2red"/>
    <w:basedOn w:val="4"/>
    <w:qFormat/>
    <w:uiPriority w:val="0"/>
  </w:style>
  <w:style w:type="character" w:customStyle="1" w:styleId="15">
    <w:name w:val="bd-2red1"/>
    <w:basedOn w:val="4"/>
    <w:qFormat/>
    <w:uiPriority w:val="0"/>
  </w:style>
  <w:style w:type="character" w:customStyle="1" w:styleId="16">
    <w:name w:val="bd-2red2"/>
    <w:basedOn w:val="4"/>
    <w:qFormat/>
    <w:uiPriority w:val="0"/>
  </w:style>
  <w:style w:type="character" w:customStyle="1" w:styleId="17">
    <w:name w:val="bd-1red"/>
    <w:basedOn w:val="4"/>
    <w:qFormat/>
    <w:uiPriority w:val="0"/>
  </w:style>
  <w:style w:type="character" w:customStyle="1" w:styleId="18">
    <w:name w:val="bd-1red1"/>
    <w:basedOn w:val="4"/>
    <w:qFormat/>
    <w:uiPriority w:val="0"/>
  </w:style>
  <w:style w:type="character" w:customStyle="1" w:styleId="19">
    <w:name w:val="bd-1red2"/>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2020-06-01T10:11:00Z</dcterms:created>
  <dc:creator></dc:creator>
  <cp:lastModifiedBy>流年</cp:lastModifiedBy>
  <dcterms:modified xsi:type="dcterms:W3CDTF">2020-06-17T01:36:17Z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