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方正小标宋简体"/>
          <w:sz w:val="44"/>
          <w:szCs w:val="44"/>
        </w:rPr>
      </w:pPr>
    </w:p>
    <w:p>
      <w:pPr>
        <w:jc w:val="both"/>
        <w:rPr>
          <w:rFonts w:hint="eastAsia" w:ascii="Calibri" w:hAnsi="Calibri" w:eastAsia="方正小标宋简体" w:cs="Times New Roman"/>
          <w:color w:val="FF0000"/>
          <w:w w:val="51"/>
          <w:sz w:val="96"/>
          <w:szCs w:val="96"/>
          <w:lang w:eastAsia="zh-CN"/>
        </w:rPr>
      </w:pPr>
      <w:r>
        <w:rPr>
          <w:rFonts w:hint="eastAsia" w:ascii="Calibri" w:hAnsi="Calibri" w:eastAsia="方正小标宋简体" w:cs="Times New Roman"/>
          <w:color w:val="FF0000"/>
          <w:w w:val="51"/>
          <w:sz w:val="96"/>
          <w:szCs w:val="96"/>
          <w:lang w:eastAsia="zh-CN"/>
        </w:rPr>
        <w:t>中共珠晖区委农村工作领导小组办公室</w:t>
      </w:r>
    </w:p>
    <w:p>
      <w:pPr>
        <w:spacing w:line="260" w:lineRule="exact"/>
        <w:jc w:val="center"/>
        <w:rPr>
          <w:rFonts w:eastAsia="方正小标宋简体"/>
          <w:w w:val="43"/>
          <w:sz w:val="32"/>
          <w:szCs w:val="32"/>
        </w:rPr>
      </w:pPr>
    </w:p>
    <w:p>
      <w:pPr>
        <w:spacing w:line="590" w:lineRule="exact"/>
        <w:jc w:val="center"/>
        <w:rPr>
          <w:rFonts w:hint="eastAsia" w:ascii="仿宋_GB2312" w:hAnsi="仿宋_GB2312" w:eastAsia="仿宋_GB2312" w:cs="仿宋_GB2312"/>
          <w:w w:val="55"/>
          <w:sz w:val="32"/>
          <w:szCs w:val="32"/>
        </w:rPr>
      </w:pPr>
      <w:r>
        <w:rPr>
          <w:rFonts w:hint="eastAsia" w:ascii="仿宋_GB2312" w:hAnsi="仿宋_GB2312" w:eastAsia="仿宋_GB2312" w:cs="仿宋_GB2312"/>
          <w:sz w:val="32"/>
          <w:szCs w:val="32"/>
          <w:lang w:eastAsia="zh-CN"/>
        </w:rPr>
        <w:t>珠</w:t>
      </w:r>
      <w:r>
        <w:rPr>
          <w:rFonts w:hint="eastAsia" w:ascii="仿宋_GB2312" w:hAnsi="仿宋_GB2312" w:eastAsia="仿宋_GB2312" w:cs="仿宋_GB2312"/>
          <w:sz w:val="32"/>
          <w:szCs w:val="32"/>
        </w:rPr>
        <w:t>委农办发〔20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jc w:val="center"/>
      </w:pPr>
      <w:r>
        <mc:AlternateContent>
          <mc:Choice Requires="wps">
            <w:drawing>
              <wp:anchor distT="0" distB="0" distL="114300" distR="114300" simplePos="0" relativeHeight="251661312" behindDoc="0" locked="0" layoutInCell="1" allowOverlap="1">
                <wp:simplePos x="0" y="0"/>
                <wp:positionH relativeFrom="column">
                  <wp:posOffset>2661920</wp:posOffset>
                </wp:positionH>
                <wp:positionV relativeFrom="paragraph">
                  <wp:posOffset>100965</wp:posOffset>
                </wp:positionV>
                <wp:extent cx="228600" cy="198120"/>
                <wp:effectExtent l="15875" t="13970" r="22225" b="16510"/>
                <wp:wrapNone/>
                <wp:docPr id="3" name="五角星 3"/>
                <wp:cNvGraphicFramePr/>
                <a:graphic xmlns:a="http://schemas.openxmlformats.org/drawingml/2006/main">
                  <a:graphicData uri="http://schemas.microsoft.com/office/word/2010/wordprocessingShape">
                    <wps:wsp>
                      <wps:cNvSpPr/>
                      <wps:spPr>
                        <a:xfrm>
                          <a:off x="0" y="0"/>
                          <a:ext cx="228600" cy="19812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209.6pt;margin-top:7.95pt;height:15.6pt;width:18pt;z-index:251661312;mso-width-relative:page;mso-height-relative:page;" fillcolor="#FF0000" filled="t" stroked="t" coordsize="228600,198120" o:gfxdata="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Jiww2AAAAAkBAAAPAAAAAAAAAAEAIAAAACIAAABkcnMvZG93&#10;bnJldi54bWxQSwECFAAUAAAACACHTuJA7y5+YgACAAAhBAAADgAAAAAAAAABACAAAAAnAQAAZHJz&#10;L2Uyb0RvYy54bWxQSwUGAAAAAAYABgBZAQAAmQUAAAAA&#10;" path="m0,75674l87317,75675,114300,0,141282,75675,228599,75674,157957,122444,184941,198119,114300,151349,43658,198119,70642,122444xe">
                <v:path o:connectlocs="114300,0;0,75674;43658,198119;184941,198119;228599,75674"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3169285</wp:posOffset>
                </wp:positionH>
                <wp:positionV relativeFrom="paragraph">
                  <wp:posOffset>224790</wp:posOffset>
                </wp:positionV>
                <wp:extent cx="2400300" cy="0"/>
                <wp:effectExtent l="0" t="12700" r="0" b="15875"/>
                <wp:wrapNone/>
                <wp:docPr id="4" name="直接连接符 4"/>
                <wp:cNvGraphicFramePr/>
                <a:graphic xmlns:a="http://schemas.openxmlformats.org/drawingml/2006/main">
                  <a:graphicData uri="http://schemas.microsoft.com/office/word/2010/wordprocessingShape">
                    <wps:wsp>
                      <wps:cNvCnPr/>
                      <wps:spPr>
                        <a:xfrm>
                          <a:off x="0" y="0"/>
                          <a:ext cx="24003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9.55pt;margin-top:17.7pt;height:0pt;width:189pt;z-index:251660288;mso-width-relative:page;mso-height-relative:page;" filled="f" stroked="t" coordsize="21600,21600" o:gfxdata="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jROs1wAAAAkBAAAPAAAAAAAAAAEAIAAAACIAAABkcnMvZG93bnJldi54bWxQSwEC&#10;FAAUAAAACACHTuJANnZ8N/UBAADlAwAADgAAAAAAAAABACAAAAAmAQAAZHJzL2Uyb0RvYy54bWxQ&#10;SwUGAAAAAAYABgBZAQAAjQUAAAAA&#10;">
                <v:fill on="f" focussize="0,0"/>
                <v:stroke weight="2pt" color="#FF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198120</wp:posOffset>
                </wp:positionV>
                <wp:extent cx="2400300" cy="0"/>
                <wp:effectExtent l="0" t="12700" r="0" b="15875"/>
                <wp:wrapNone/>
                <wp:docPr id="5" name="直接连接符 5"/>
                <wp:cNvGraphicFramePr/>
                <a:graphic xmlns:a="http://schemas.openxmlformats.org/drawingml/2006/main">
                  <a:graphicData uri="http://schemas.microsoft.com/office/word/2010/wordprocessingShape">
                    <wps:wsp>
                      <wps:cNvCnPr/>
                      <wps:spPr>
                        <a:xfrm>
                          <a:off x="0" y="0"/>
                          <a:ext cx="24003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6pt;height:0pt;width:189pt;z-index:251659264;mso-width-relative:page;mso-height-relative:page;" filled="f" stroked="t" coordsize="21600,21600" o:gfxdata="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G2TX1AAAAAYBAAAPAAAAAAAAAAEAIAAAACIAAABkcnMvZG93bnJldi54bWxQSwECFAAU&#10;AAAACACHTuJArzKhXfUBAADlAwAADgAAAAAAAAABACAAAAAjAQAAZHJzL2Uyb0RvYy54bWxQSwUG&#10;AAAAAAYABgBZAQAAigUAAAAA&#10;">
                <v:fill on="f" focussize="0,0"/>
                <v:stroke weight="2pt" color="#FF0000" joinstyle="round"/>
                <v:imagedata o:title=""/>
                <o:lock v:ext="edit" aspectratio="f"/>
              </v:line>
            </w:pict>
          </mc:Fallback>
        </mc:AlternateContent>
      </w:r>
    </w:p>
    <w:p>
      <w:pPr>
        <w:spacing w:line="600" w:lineRule="exact"/>
        <w:jc w:val="both"/>
        <w:rPr>
          <w:rFonts w:hint="eastAsia" w:ascii="方正小标宋_GBK" w:hAnsi="方正小标宋_GBK" w:eastAsia="方正小标宋_GBK" w:cs="方正小标宋_GBK"/>
          <w:sz w:val="44"/>
          <w:szCs w:val="44"/>
          <w:lang w:val="en-US" w:eastAsia="zh-CN"/>
        </w:rPr>
      </w:pPr>
    </w:p>
    <w:p>
      <w:pPr>
        <w:spacing w:line="60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关于调整2025年珠晖区中央第一批财政衔接资金分配计划的通知</w:t>
      </w:r>
    </w:p>
    <w:p>
      <w:pPr>
        <w:keepNext w:val="0"/>
        <w:keepLines w:val="0"/>
        <w:pageBreakBefore w:val="0"/>
        <w:widowControl w:val="0"/>
        <w:kinsoku/>
        <w:wordWrap/>
        <w:overflowPunct/>
        <w:topLinePunct w:val="0"/>
        <w:autoSpaceDE/>
        <w:autoSpaceDN/>
        <w:bidi w:val="0"/>
        <w:adjustRightInd/>
        <w:snapToGrid/>
        <w:spacing w:before="157" w:beforeLines="50" w:line="560" w:lineRule="exact"/>
        <w:textAlignment w:val="auto"/>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eastAsia="zh-CN"/>
        </w:rPr>
        <w:t>各乡镇（涉农街道）、相关行业部门：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val="0"/>
          <w:sz w:val="32"/>
          <w:szCs w:val="32"/>
        </w:rPr>
        <w:t>为认真贯彻落实中央、省、市关于</w:t>
      </w:r>
      <w:bookmarkStart w:id="0" w:name="_GoBack"/>
      <w:bookmarkEnd w:id="0"/>
      <w:r>
        <w:rPr>
          <w:rFonts w:hint="eastAsia" w:ascii="方正仿宋_GB2312" w:hAnsi="方正仿宋_GB2312" w:eastAsia="方正仿宋_GB2312" w:cs="方正仿宋_GB2312"/>
          <w:b w:val="0"/>
          <w:bCs w:val="0"/>
          <w:sz w:val="32"/>
          <w:szCs w:val="32"/>
          <w:lang w:eastAsia="zh-CN"/>
        </w:rPr>
        <w:t>做好巩固拓展脱贫攻坚成果同乡村振兴有效衔接工作的</w:t>
      </w:r>
      <w:r>
        <w:rPr>
          <w:rFonts w:hint="eastAsia" w:ascii="方正仿宋_GB2312" w:hAnsi="方正仿宋_GB2312" w:eastAsia="方正仿宋_GB2312" w:cs="方正仿宋_GB2312"/>
          <w:b w:val="0"/>
          <w:bCs w:val="0"/>
          <w:sz w:val="32"/>
          <w:szCs w:val="32"/>
        </w:rPr>
        <w:t>决策部署</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全面加强财政</w:t>
      </w:r>
      <w:r>
        <w:rPr>
          <w:rFonts w:hint="eastAsia" w:ascii="方正仿宋_GB2312" w:hAnsi="方正仿宋_GB2312" w:eastAsia="方正仿宋_GB2312" w:cs="方正仿宋_GB2312"/>
          <w:b w:val="0"/>
          <w:bCs w:val="0"/>
          <w:sz w:val="32"/>
          <w:szCs w:val="32"/>
          <w:lang w:eastAsia="zh-CN"/>
        </w:rPr>
        <w:t>衔接推进乡村振兴补助</w:t>
      </w:r>
      <w:r>
        <w:rPr>
          <w:rFonts w:hint="eastAsia" w:ascii="方正仿宋_GB2312" w:hAnsi="方正仿宋_GB2312" w:eastAsia="方正仿宋_GB2312" w:cs="方正仿宋_GB2312"/>
          <w:b w:val="0"/>
          <w:bCs w:val="0"/>
          <w:sz w:val="32"/>
          <w:szCs w:val="32"/>
        </w:rPr>
        <w:t>资金监管</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sz w:val="32"/>
          <w:szCs w:val="32"/>
          <w:lang w:val="en-US" w:eastAsia="zh-CN"/>
        </w:rPr>
        <w:t>根据</w:t>
      </w:r>
      <w:r>
        <w:rPr>
          <w:rFonts w:hint="eastAsia" w:ascii="方正仿宋_GB2312" w:hAnsi="方正仿宋_GB2312" w:eastAsia="方正仿宋_GB2312" w:cs="方正仿宋_GB2312"/>
          <w:b w:val="0"/>
          <w:bCs w:val="0"/>
          <w:sz w:val="32"/>
          <w:szCs w:val="32"/>
        </w:rPr>
        <w:t>《湖南省</w:t>
      </w:r>
      <w:r>
        <w:rPr>
          <w:rFonts w:hint="eastAsia" w:ascii="方正仿宋_GB2312" w:hAnsi="方正仿宋_GB2312" w:eastAsia="方正仿宋_GB2312" w:cs="方正仿宋_GB2312"/>
          <w:b w:val="0"/>
          <w:bCs w:val="0"/>
          <w:sz w:val="32"/>
          <w:szCs w:val="32"/>
          <w:lang w:eastAsia="zh-CN"/>
        </w:rPr>
        <w:t>财政衔接推进乡村振兴补助</w:t>
      </w:r>
      <w:r>
        <w:rPr>
          <w:rFonts w:hint="eastAsia" w:ascii="方正仿宋_GB2312" w:hAnsi="方正仿宋_GB2312" w:eastAsia="方正仿宋_GB2312" w:cs="方正仿宋_GB2312"/>
          <w:b w:val="0"/>
          <w:bCs w:val="0"/>
          <w:sz w:val="32"/>
          <w:szCs w:val="32"/>
        </w:rPr>
        <w:t>资金管理办法》（湘财农〔</w:t>
      </w:r>
      <w:r>
        <w:rPr>
          <w:rFonts w:hint="eastAsia" w:ascii="方正仿宋_GB2312" w:hAnsi="方正仿宋_GB2312" w:eastAsia="方正仿宋_GB2312" w:cs="方正仿宋_GB2312"/>
          <w:b w:val="0"/>
          <w:bCs w:val="0"/>
          <w:sz w:val="32"/>
          <w:szCs w:val="32"/>
          <w:lang w:val="en-US" w:eastAsia="zh-CN"/>
        </w:rPr>
        <w:t>2021</w:t>
      </w: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val="en-US" w:eastAsia="zh-CN"/>
        </w:rPr>
        <w:t>10</w:t>
      </w:r>
      <w:r>
        <w:rPr>
          <w:rFonts w:hint="eastAsia" w:ascii="方正仿宋_GB2312" w:hAnsi="方正仿宋_GB2312" w:eastAsia="方正仿宋_GB2312" w:cs="方正仿宋_GB2312"/>
          <w:b w:val="0"/>
          <w:bCs w:val="0"/>
          <w:sz w:val="32"/>
          <w:szCs w:val="32"/>
        </w:rPr>
        <w:t>号）</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sz w:val="32"/>
          <w:szCs w:val="32"/>
          <w:lang w:val="en-US" w:eastAsia="zh-CN"/>
        </w:rPr>
        <w:t>《珠晖区财政衔接推进乡村振兴补助资金管理办法》（</w:t>
      </w:r>
      <w:r>
        <w:rPr>
          <w:rFonts w:hint="eastAsia" w:ascii="方正仿宋_GB2312" w:hAnsi="方正仿宋_GB2312" w:eastAsia="方正仿宋_GB2312" w:cs="方正仿宋_GB2312"/>
          <w:b w:val="0"/>
          <w:bCs w:val="0"/>
          <w:sz w:val="32"/>
          <w:szCs w:val="32"/>
          <w:lang w:val="en-US" w:eastAsia="zh-CN"/>
        </w:rPr>
        <w:t>珠财农〔2021〕1号</w:t>
      </w:r>
      <w:r>
        <w:rPr>
          <w:rFonts w:hint="eastAsia" w:ascii="方正仿宋_GB2312" w:hAnsi="方正仿宋_GB2312" w:eastAsia="方正仿宋_GB2312" w:cs="方正仿宋_GB2312"/>
          <w:sz w:val="32"/>
          <w:szCs w:val="32"/>
          <w:lang w:val="en-US" w:eastAsia="zh-CN"/>
        </w:rPr>
        <w:t>）文件精神，现将</w:t>
      </w:r>
      <w:r>
        <w:rPr>
          <w:rFonts w:hint="eastAsia" w:ascii="方正仿宋_GB2312" w:hAnsi="方正仿宋_GB2312" w:eastAsia="方正仿宋_GB2312" w:cs="方正仿宋_GB2312"/>
          <w:b w:val="0"/>
          <w:bCs w:val="0"/>
          <w:sz w:val="32"/>
          <w:szCs w:val="32"/>
          <w:lang w:val="en-US" w:eastAsia="zh-CN"/>
        </w:rPr>
        <w:t>2025年珠晖区调整中央第一批财政衔接推进乡村振兴补助资金1435万元（衡财预〔2025〕257号）分配如下，</w:t>
      </w:r>
      <w:r>
        <w:rPr>
          <w:rFonts w:hint="eastAsia" w:ascii="方正仿宋_GB2312" w:hAnsi="方正仿宋_GB2312" w:eastAsia="方正仿宋_GB2312" w:cs="方正仿宋_GB2312"/>
          <w:sz w:val="32"/>
          <w:szCs w:val="32"/>
          <w:lang w:val="en-US" w:eastAsia="zh-CN"/>
        </w:rPr>
        <w:t>具体分配计划见附表。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sz w:val="32"/>
          <w:szCs w:val="32"/>
          <w:lang w:val="en-US" w:eastAsia="zh-CN"/>
        </w:rPr>
        <w:t>附：</w:t>
      </w:r>
      <w:r>
        <w:rPr>
          <w:rFonts w:hint="eastAsia" w:ascii="方正仿宋_GB2312" w:hAnsi="方正仿宋_GB2312" w:eastAsia="方正仿宋_GB2312" w:cs="方正仿宋_GB2312"/>
          <w:b w:val="0"/>
          <w:bCs w:val="0"/>
          <w:sz w:val="32"/>
          <w:szCs w:val="32"/>
          <w:lang w:val="en-US" w:eastAsia="zh-CN"/>
        </w:rPr>
        <w:t>2025年珠晖区调整中央第一批财政衔接推进乡村振兴补助资金分配计划表</w:t>
      </w:r>
    </w:p>
    <w:p>
      <w:pPr>
        <w:keepNext w:val="0"/>
        <w:keepLines w:val="0"/>
        <w:pageBreakBefore w:val="0"/>
        <w:tabs>
          <w:tab w:val="left" w:pos="1680"/>
        </w:tabs>
        <w:kinsoku/>
        <w:wordWrap/>
        <w:overflowPunct/>
        <w:topLinePunct w:val="0"/>
        <w:autoSpaceDE/>
        <w:autoSpaceDN/>
        <w:bidi w:val="0"/>
        <w:spacing w:line="560" w:lineRule="exac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tabs>
          <w:tab w:val="left" w:pos="1446"/>
          <w:tab w:val="left" w:pos="1680"/>
        </w:tabs>
        <w:kinsoku/>
        <w:wordWrap/>
        <w:overflowPunct/>
        <w:topLinePunct w:val="0"/>
        <w:autoSpaceDE/>
        <w:autoSpaceDN/>
        <w:bidi w:val="0"/>
        <w:spacing w:line="560" w:lineRule="exact"/>
        <w:ind w:left="0" w:leftChars="0" w:firstLine="1478" w:firstLineChars="462"/>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ab/>
      </w:r>
      <w:r>
        <w:rPr>
          <w:rFonts w:hint="eastAsia" w:ascii="方正仿宋_GB2312" w:hAnsi="方正仿宋_GB2312" w:eastAsia="方正仿宋_GB2312" w:cs="方正仿宋_GB2312"/>
          <w:sz w:val="32"/>
          <w:szCs w:val="32"/>
          <w:lang w:val="en-US" w:eastAsia="zh-CN"/>
        </w:rPr>
        <w:t xml:space="preserve">     中共珠晖区委农村工作领导小组办公室</w:t>
      </w:r>
    </w:p>
    <w:p>
      <w:pPr>
        <w:pStyle w:val="6"/>
        <w:keepNext w:val="0"/>
        <w:keepLines w:val="0"/>
        <w:pageBreakBefore w:val="0"/>
        <w:kinsoku/>
        <w:wordWrap/>
        <w:overflowPunct/>
        <w:topLinePunct w:val="0"/>
        <w:autoSpaceDE/>
        <w:autoSpaceDN/>
        <w:bidi w:val="0"/>
        <w:spacing w:line="560" w:lineRule="exact"/>
        <w:textAlignment w:val="auto"/>
        <w:rPr>
          <w:rFonts w:hint="eastAsia" w:ascii="方正仿宋_GB2312" w:hAnsi="方正仿宋_GB2312" w:eastAsia="方正仿宋_GB2312" w:cs="方正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 xml:space="preserve">                                           </w:t>
      </w:r>
      <w:r>
        <w:rPr>
          <w:rFonts w:hint="eastAsia" w:ascii="方正仿宋_GB2312" w:hAnsi="方正仿宋_GB2312" w:eastAsia="方正仿宋_GB2312" w:cs="方正仿宋_GB2312"/>
          <w:sz w:val="32"/>
          <w:szCs w:val="32"/>
          <w:lang w:val="en-US" w:eastAsia="zh-CN"/>
        </w:rPr>
        <w:t xml:space="preserve">     2025年6月13日</w:t>
      </w:r>
    </w:p>
    <w:p>
      <w:pPr>
        <w:pStyle w:val="4"/>
        <w:jc w:val="both"/>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附件</w:t>
      </w:r>
    </w:p>
    <w:p>
      <w:pPr>
        <w:pStyle w:val="4"/>
        <w:jc w:val="center"/>
        <w:rPr>
          <w:rFonts w:hint="eastAsia" w:ascii="仿宋" w:hAnsi="仿宋" w:eastAsia="仿宋" w:cs="仿宋"/>
          <w:b w:val="0"/>
          <w:bCs w:val="0"/>
          <w:sz w:val="24"/>
          <w:szCs w:val="32"/>
          <w:lang w:val="en-US" w:eastAsia="zh-CN"/>
        </w:rPr>
      </w:pPr>
      <w:r>
        <w:rPr>
          <w:rFonts w:hint="eastAsia" w:ascii="黑体" w:hAnsi="黑体" w:eastAsia="黑体" w:cs="黑体"/>
          <w:b w:val="0"/>
          <w:bCs w:val="0"/>
          <w:sz w:val="36"/>
          <w:szCs w:val="36"/>
          <w:lang w:val="en-US" w:eastAsia="zh-CN"/>
        </w:rPr>
        <w:t>2025年珠晖区调整中央第一批财政衔接推进乡村振兴补助资金分配计划表</w:t>
      </w:r>
    </w:p>
    <w:tbl>
      <w:tblPr>
        <w:tblStyle w:val="8"/>
        <w:tblpPr w:leftFromText="180" w:rightFromText="180" w:vertAnchor="text" w:horzAnchor="page" w:tblpX="1446" w:tblpY="432"/>
        <w:tblOverlap w:val="never"/>
        <w:tblW w:w="13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55"/>
        <w:gridCol w:w="1355"/>
        <w:gridCol w:w="5459"/>
        <w:gridCol w:w="1719"/>
        <w:gridCol w:w="222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w:t>
            </w:r>
          </w:p>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来源</w:t>
            </w:r>
          </w:p>
        </w:tc>
        <w:tc>
          <w:tcPr>
            <w:tcW w:w="135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指标文号</w:t>
            </w:r>
          </w:p>
        </w:tc>
        <w:tc>
          <w:tcPr>
            <w:tcW w:w="135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金额</w:t>
            </w:r>
          </w:p>
        </w:tc>
        <w:tc>
          <w:tcPr>
            <w:tcW w:w="5459"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kern w:val="2"/>
                <w:sz w:val="22"/>
                <w:szCs w:val="22"/>
                <w:u w:val="none"/>
                <w:lang w:val="en-US" w:eastAsia="zh-CN" w:bidi="ar-SA"/>
              </w:rPr>
              <w:t>项目内容</w:t>
            </w:r>
          </w:p>
        </w:tc>
        <w:tc>
          <w:tcPr>
            <w:tcW w:w="1719" w:type="dxa"/>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拨付金额</w:t>
            </w:r>
          </w:p>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（万元）</w:t>
            </w:r>
          </w:p>
        </w:tc>
        <w:tc>
          <w:tcPr>
            <w:tcW w:w="2222"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拨付单位</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60" w:type="dxa"/>
            <w:vMerge w:val="restart"/>
            <w:noWrap w:val="0"/>
            <w:vAlign w:val="center"/>
          </w:tcPr>
          <w:p>
            <w:pPr>
              <w:pStyle w:val="5"/>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中央</w:t>
            </w:r>
          </w:p>
        </w:tc>
        <w:tc>
          <w:tcPr>
            <w:tcW w:w="1355" w:type="dxa"/>
            <w:vMerge w:val="restart"/>
            <w:noWrap w:val="0"/>
            <w:vAlign w:val="center"/>
          </w:tcPr>
          <w:p>
            <w:pPr>
              <w:pStyle w:val="5"/>
              <w:ind w:left="0" w:leftChars="0" w:firstLine="0" w:firstLineChars="0"/>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衡财预〔2025〕257号</w:t>
            </w:r>
          </w:p>
        </w:tc>
        <w:tc>
          <w:tcPr>
            <w:tcW w:w="1355" w:type="dxa"/>
            <w:vMerge w:val="restart"/>
            <w:noWrap w:val="0"/>
            <w:vAlign w:val="center"/>
          </w:tcPr>
          <w:p>
            <w:pPr>
              <w:pStyle w:val="5"/>
              <w:ind w:left="0" w:leftChars="0" w:firstLine="0" w:firstLineChars="0"/>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1435</w:t>
            </w:r>
          </w:p>
        </w:tc>
        <w:tc>
          <w:tcPr>
            <w:tcW w:w="5459" w:type="dxa"/>
            <w:noWrap w:val="0"/>
            <w:vAlign w:val="center"/>
          </w:tcPr>
          <w:p>
            <w:pPr>
              <w:pStyle w:val="5"/>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支持产业发展</w:t>
            </w:r>
          </w:p>
        </w:tc>
        <w:tc>
          <w:tcPr>
            <w:tcW w:w="1719" w:type="dxa"/>
            <w:noWrap w:val="0"/>
            <w:vAlign w:val="center"/>
          </w:tcPr>
          <w:p>
            <w:pPr>
              <w:pStyle w:val="5"/>
              <w:ind w:left="0" w:leftChars="0" w:firstLine="0" w:firstLineChars="0"/>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928</w:t>
            </w:r>
          </w:p>
        </w:tc>
        <w:tc>
          <w:tcPr>
            <w:tcW w:w="2222" w:type="dxa"/>
            <w:noWrap w:val="0"/>
            <w:vAlign w:val="center"/>
          </w:tcPr>
          <w:p>
            <w:pPr>
              <w:pStyle w:val="5"/>
              <w:tabs>
                <w:tab w:val="left" w:pos="597"/>
              </w:tabs>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区农业农村局</w:t>
            </w:r>
          </w:p>
        </w:tc>
        <w:tc>
          <w:tcPr>
            <w:tcW w:w="820" w:type="dxa"/>
            <w:noWrap w:val="0"/>
            <w:vAlign w:val="top"/>
          </w:tcPr>
          <w:p>
            <w:pPr>
              <w:pStyle w:val="5"/>
              <w:jc w:val="center"/>
              <w:rPr>
                <w:rFonts w:hint="eastAsia" w:ascii="仿宋" w:hAnsi="仿宋" w:eastAsia="仿宋" w:cs="仿宋"/>
                <w:b w:val="0"/>
                <w:b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60" w:type="dxa"/>
            <w:vMerge w:val="continue"/>
            <w:noWrap w:val="0"/>
            <w:vAlign w:val="center"/>
          </w:tcPr>
          <w:p>
            <w:pPr>
              <w:pStyle w:val="5"/>
              <w:ind w:left="0" w:leftChars="0" w:firstLine="0" w:firstLineChars="0"/>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center"/>
          </w:tcPr>
          <w:p>
            <w:pPr>
              <w:pStyle w:val="5"/>
              <w:ind w:left="0" w:leftChars="0" w:firstLine="0" w:firstLineChars="0"/>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center"/>
          </w:tcPr>
          <w:p>
            <w:pPr>
              <w:pStyle w:val="5"/>
              <w:ind w:left="0" w:leftChars="0" w:firstLine="0" w:firstLineChars="0"/>
              <w:jc w:val="center"/>
              <w:rPr>
                <w:rFonts w:hint="eastAsia" w:ascii="仿宋" w:hAnsi="仿宋" w:eastAsia="仿宋" w:cs="仿宋"/>
                <w:b w:val="0"/>
                <w:bCs w:val="0"/>
                <w:sz w:val="24"/>
                <w:szCs w:val="32"/>
                <w:vertAlign w:val="baseline"/>
                <w:lang w:val="en-US" w:eastAsia="zh-CN"/>
              </w:rPr>
            </w:pPr>
          </w:p>
        </w:tc>
        <w:tc>
          <w:tcPr>
            <w:tcW w:w="5459" w:type="dxa"/>
            <w:noWrap w:val="0"/>
            <w:vAlign w:val="center"/>
          </w:tcPr>
          <w:p>
            <w:pPr>
              <w:pStyle w:val="5"/>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小额信贷贴息</w:t>
            </w:r>
          </w:p>
        </w:tc>
        <w:tc>
          <w:tcPr>
            <w:tcW w:w="1719" w:type="dxa"/>
            <w:noWrap w:val="0"/>
            <w:vAlign w:val="center"/>
          </w:tcPr>
          <w:p>
            <w:pPr>
              <w:pStyle w:val="5"/>
              <w:ind w:left="0" w:leftChars="0" w:firstLine="0" w:firstLineChars="0"/>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7</w:t>
            </w:r>
          </w:p>
        </w:tc>
        <w:tc>
          <w:tcPr>
            <w:tcW w:w="2222" w:type="dxa"/>
            <w:noWrap w:val="0"/>
            <w:vAlign w:val="center"/>
          </w:tcPr>
          <w:p>
            <w:pPr>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区农业农村局</w:t>
            </w:r>
          </w:p>
        </w:tc>
        <w:tc>
          <w:tcPr>
            <w:tcW w:w="820" w:type="dxa"/>
            <w:noWrap w:val="0"/>
            <w:vAlign w:val="top"/>
          </w:tcPr>
          <w:p>
            <w:pPr>
              <w:pStyle w:val="5"/>
              <w:jc w:val="center"/>
              <w:rPr>
                <w:rFonts w:hint="eastAsia" w:ascii="仿宋" w:hAnsi="仿宋" w:eastAsia="仿宋" w:cs="仿宋"/>
                <w:b w:val="0"/>
                <w:b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60" w:type="dxa"/>
            <w:vMerge w:val="continue"/>
            <w:noWrap w:val="0"/>
            <w:vAlign w:val="top"/>
          </w:tcPr>
          <w:p>
            <w:pPr>
              <w:pStyle w:val="5"/>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top"/>
          </w:tcPr>
          <w:p>
            <w:pPr>
              <w:pStyle w:val="5"/>
              <w:jc w:val="center"/>
              <w:rPr>
                <w:rFonts w:hint="eastAsia" w:ascii="仿宋" w:hAnsi="仿宋" w:eastAsia="仿宋" w:cs="仿宋"/>
                <w:b w:val="0"/>
                <w:bCs w:val="0"/>
                <w:sz w:val="24"/>
                <w:szCs w:val="32"/>
                <w:vertAlign w:val="baseline"/>
                <w:lang w:val="en-US" w:eastAsia="zh-CN"/>
              </w:rPr>
            </w:pPr>
          </w:p>
        </w:tc>
        <w:tc>
          <w:tcPr>
            <w:tcW w:w="1355" w:type="dxa"/>
            <w:vMerge w:val="continue"/>
            <w:noWrap w:val="0"/>
            <w:vAlign w:val="center"/>
          </w:tcPr>
          <w:p>
            <w:pPr>
              <w:pStyle w:val="5"/>
              <w:jc w:val="center"/>
              <w:rPr>
                <w:rFonts w:hint="eastAsia" w:ascii="仿宋" w:hAnsi="仿宋" w:eastAsia="仿宋" w:cs="仿宋"/>
                <w:b w:val="0"/>
                <w:bCs w:val="0"/>
                <w:sz w:val="24"/>
                <w:szCs w:val="32"/>
                <w:vertAlign w:val="baseline"/>
                <w:lang w:val="en-US" w:eastAsia="zh-CN"/>
              </w:rPr>
            </w:pPr>
          </w:p>
        </w:tc>
        <w:tc>
          <w:tcPr>
            <w:tcW w:w="5459" w:type="dxa"/>
            <w:noWrap w:val="0"/>
            <w:vAlign w:val="center"/>
          </w:tcPr>
          <w:p>
            <w:pPr>
              <w:pStyle w:val="5"/>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补齐农村人居环境整治、农业公共基础设施等短板</w:t>
            </w:r>
          </w:p>
        </w:tc>
        <w:tc>
          <w:tcPr>
            <w:tcW w:w="1719" w:type="dxa"/>
            <w:noWrap w:val="0"/>
            <w:vAlign w:val="center"/>
          </w:tcPr>
          <w:p>
            <w:pPr>
              <w:pStyle w:val="5"/>
              <w:ind w:left="0" w:leftChars="0" w:firstLine="0" w:firstLineChars="0"/>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485</w:t>
            </w:r>
          </w:p>
        </w:tc>
        <w:tc>
          <w:tcPr>
            <w:tcW w:w="2222" w:type="dxa"/>
            <w:noWrap w:val="0"/>
            <w:vAlign w:val="center"/>
          </w:tcPr>
          <w:p>
            <w:pPr>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区农业农村局</w:t>
            </w:r>
          </w:p>
        </w:tc>
        <w:tc>
          <w:tcPr>
            <w:tcW w:w="820" w:type="dxa"/>
            <w:noWrap w:val="0"/>
            <w:vAlign w:val="top"/>
          </w:tcPr>
          <w:p>
            <w:pPr>
              <w:pStyle w:val="5"/>
              <w:jc w:val="center"/>
              <w:rPr>
                <w:rFonts w:hint="eastAsia" w:ascii="仿宋" w:hAnsi="仿宋" w:eastAsia="仿宋" w:cs="仿宋"/>
                <w:b w:val="0"/>
                <w:bCs w:val="0"/>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0" w:type="dxa"/>
            <w:vMerge w:val="continue"/>
            <w:tcBorders>
              <w:bottom w:val="single" w:color="auto" w:sz="4" w:space="0"/>
            </w:tcBorders>
            <w:noWrap w:val="0"/>
            <w:vAlign w:val="top"/>
          </w:tcPr>
          <w:p>
            <w:pPr>
              <w:pStyle w:val="5"/>
              <w:rPr>
                <w:rFonts w:hint="eastAsia" w:ascii="仿宋" w:hAnsi="仿宋" w:eastAsia="仿宋" w:cs="仿宋"/>
                <w:b w:val="0"/>
                <w:bCs w:val="0"/>
                <w:sz w:val="24"/>
                <w:szCs w:val="32"/>
                <w:vertAlign w:val="baseline"/>
                <w:lang w:val="en-US" w:eastAsia="zh-CN"/>
              </w:rPr>
            </w:pPr>
          </w:p>
        </w:tc>
        <w:tc>
          <w:tcPr>
            <w:tcW w:w="1355" w:type="dxa"/>
            <w:vMerge w:val="continue"/>
            <w:tcBorders>
              <w:bottom w:val="single" w:color="auto" w:sz="4" w:space="0"/>
            </w:tcBorders>
            <w:noWrap w:val="0"/>
            <w:vAlign w:val="top"/>
          </w:tcPr>
          <w:p>
            <w:pPr>
              <w:pStyle w:val="5"/>
              <w:rPr>
                <w:rFonts w:hint="eastAsia" w:ascii="仿宋" w:hAnsi="仿宋" w:eastAsia="仿宋" w:cs="仿宋"/>
                <w:b w:val="0"/>
                <w:bCs w:val="0"/>
                <w:sz w:val="24"/>
                <w:szCs w:val="32"/>
                <w:vertAlign w:val="baseline"/>
                <w:lang w:val="en-US" w:eastAsia="zh-CN"/>
              </w:rPr>
            </w:pPr>
          </w:p>
        </w:tc>
        <w:tc>
          <w:tcPr>
            <w:tcW w:w="1355" w:type="dxa"/>
            <w:vMerge w:val="continue"/>
            <w:tcBorders>
              <w:bottom w:val="single" w:color="auto" w:sz="4" w:space="0"/>
            </w:tcBorders>
            <w:noWrap w:val="0"/>
            <w:vAlign w:val="top"/>
          </w:tcPr>
          <w:p>
            <w:pPr>
              <w:pStyle w:val="5"/>
              <w:rPr>
                <w:rFonts w:hint="default" w:ascii="仿宋" w:hAnsi="仿宋" w:eastAsia="仿宋" w:cs="仿宋"/>
                <w:b w:val="0"/>
                <w:bCs w:val="0"/>
                <w:sz w:val="24"/>
                <w:szCs w:val="32"/>
                <w:vertAlign w:val="baseline"/>
                <w:lang w:val="en-US" w:eastAsia="zh-CN"/>
              </w:rPr>
            </w:pPr>
          </w:p>
        </w:tc>
        <w:tc>
          <w:tcPr>
            <w:tcW w:w="5459" w:type="dxa"/>
            <w:tcBorders>
              <w:bottom w:val="single" w:color="auto" w:sz="4" w:space="0"/>
            </w:tcBorders>
            <w:noWrap w:val="0"/>
            <w:vAlign w:val="center"/>
          </w:tcPr>
          <w:p>
            <w:pPr>
              <w:pStyle w:val="5"/>
              <w:ind w:left="0" w:leftChars="0" w:firstLine="0" w:firstLineChars="0"/>
              <w:jc w:val="center"/>
              <w:rPr>
                <w:rFonts w:hint="eastAsia" w:ascii="仿宋" w:hAnsi="仿宋" w:eastAsia="仿宋" w:cs="仿宋"/>
                <w:b w:val="0"/>
                <w:bCs w:val="0"/>
                <w:kern w:val="2"/>
                <w:sz w:val="24"/>
                <w:szCs w:val="32"/>
                <w:vertAlign w:val="baseline"/>
                <w:lang w:val="en-US" w:eastAsia="zh-CN" w:bidi="ar-SA"/>
              </w:rPr>
            </w:pPr>
            <w:r>
              <w:rPr>
                <w:rFonts w:hint="eastAsia" w:ascii="仿宋" w:hAnsi="仿宋" w:eastAsia="仿宋" w:cs="仿宋"/>
                <w:b w:val="0"/>
                <w:bCs w:val="0"/>
                <w:kern w:val="2"/>
                <w:sz w:val="24"/>
                <w:szCs w:val="32"/>
                <w:vertAlign w:val="baseline"/>
                <w:lang w:val="en-US" w:eastAsia="zh-CN" w:bidi="ar-SA"/>
              </w:rPr>
              <w:t>脱贫劳动力（监测对象）一次性交通补助</w:t>
            </w:r>
          </w:p>
        </w:tc>
        <w:tc>
          <w:tcPr>
            <w:tcW w:w="1719" w:type="dxa"/>
            <w:tcBorders>
              <w:bottom w:val="single" w:color="auto" w:sz="4" w:space="0"/>
            </w:tcBorders>
            <w:noWrap w:val="0"/>
            <w:vAlign w:val="top"/>
          </w:tcPr>
          <w:p>
            <w:pPr>
              <w:pStyle w:val="5"/>
              <w:ind w:left="0" w:leftChars="0" w:firstLine="0" w:firstLineChars="0"/>
              <w:jc w:val="center"/>
              <w:rPr>
                <w:rFonts w:hint="default"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15</w:t>
            </w:r>
          </w:p>
        </w:tc>
        <w:tc>
          <w:tcPr>
            <w:tcW w:w="2222" w:type="dxa"/>
            <w:tcBorders>
              <w:bottom w:val="single" w:color="auto" w:sz="4" w:space="0"/>
            </w:tcBorders>
            <w:noWrap w:val="0"/>
            <w:vAlign w:val="center"/>
          </w:tcPr>
          <w:p>
            <w:pPr>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区农业农村局</w:t>
            </w:r>
          </w:p>
        </w:tc>
        <w:tc>
          <w:tcPr>
            <w:tcW w:w="820" w:type="dxa"/>
            <w:tcBorders>
              <w:bottom w:val="single" w:color="auto" w:sz="4" w:space="0"/>
            </w:tcBorders>
            <w:noWrap w:val="0"/>
            <w:vAlign w:val="top"/>
          </w:tcPr>
          <w:p>
            <w:pPr>
              <w:pStyle w:val="5"/>
              <w:ind w:left="0" w:leftChars="0"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省外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15" w:type="dxa"/>
            <w:gridSpan w:val="2"/>
            <w:tcBorders>
              <w:bottom w:val="single" w:color="auto" w:sz="4" w:space="0"/>
            </w:tcBorders>
            <w:noWrap w:val="0"/>
            <w:vAlign w:val="top"/>
          </w:tcPr>
          <w:p>
            <w:pPr>
              <w:pStyle w:val="5"/>
              <w:ind w:left="420" w:leftChars="200"/>
              <w:rPr>
                <w:rFonts w:hint="eastAsia" w:ascii="仿宋" w:hAnsi="仿宋" w:eastAsia="仿宋" w:cs="仿宋"/>
                <w:b w:val="0"/>
                <w:bCs w:val="0"/>
                <w:kern w:val="2"/>
                <w:sz w:val="24"/>
                <w:szCs w:val="32"/>
                <w:vertAlign w:val="baseline"/>
                <w:lang w:val="en-US" w:eastAsia="zh-CN" w:bidi="ar-SA"/>
              </w:rPr>
            </w:pPr>
            <w:r>
              <w:rPr>
                <w:rFonts w:hint="eastAsia" w:ascii="仿宋" w:hAnsi="仿宋" w:eastAsia="仿宋" w:cs="仿宋"/>
                <w:b w:val="0"/>
                <w:bCs w:val="0"/>
                <w:sz w:val="24"/>
                <w:szCs w:val="32"/>
                <w:vertAlign w:val="baseline"/>
                <w:lang w:val="en-US" w:eastAsia="zh-CN"/>
              </w:rPr>
              <w:t>合计</w:t>
            </w:r>
          </w:p>
        </w:tc>
        <w:tc>
          <w:tcPr>
            <w:tcW w:w="1355" w:type="dxa"/>
            <w:tcBorders>
              <w:bottom w:val="single" w:color="auto" w:sz="4" w:space="0"/>
            </w:tcBorders>
            <w:noWrap w:val="0"/>
            <w:vAlign w:val="center"/>
          </w:tcPr>
          <w:p>
            <w:pPr>
              <w:pStyle w:val="5"/>
              <w:ind w:left="0" w:leftChars="0" w:firstLine="0" w:firstLineChars="0"/>
              <w:jc w:val="center"/>
              <w:rPr>
                <w:rFonts w:hint="default" w:ascii="仿宋" w:hAnsi="仿宋" w:eastAsia="仿宋" w:cs="仿宋"/>
                <w:b w:val="0"/>
                <w:bCs w:val="0"/>
                <w:kern w:val="2"/>
                <w:sz w:val="24"/>
                <w:szCs w:val="32"/>
                <w:vertAlign w:val="baseline"/>
                <w:lang w:val="en-US" w:eastAsia="zh-CN" w:bidi="ar-SA"/>
              </w:rPr>
            </w:pPr>
            <w:r>
              <w:rPr>
                <w:rFonts w:hint="eastAsia" w:ascii="仿宋" w:hAnsi="仿宋" w:eastAsia="仿宋" w:cs="仿宋"/>
                <w:b w:val="0"/>
                <w:bCs w:val="0"/>
                <w:sz w:val="24"/>
                <w:szCs w:val="32"/>
                <w:vertAlign w:val="baseline"/>
                <w:lang w:val="en-US" w:eastAsia="zh-CN"/>
              </w:rPr>
              <w:t>1435</w:t>
            </w:r>
          </w:p>
        </w:tc>
        <w:tc>
          <w:tcPr>
            <w:tcW w:w="5459" w:type="dxa"/>
            <w:tcBorders>
              <w:bottom w:val="single" w:color="auto" w:sz="4" w:space="0"/>
            </w:tcBorders>
            <w:noWrap w:val="0"/>
            <w:vAlign w:val="top"/>
          </w:tcPr>
          <w:p>
            <w:pPr>
              <w:pStyle w:val="5"/>
              <w:ind w:left="420" w:leftChars="200"/>
              <w:rPr>
                <w:rFonts w:hint="eastAsia" w:ascii="仿宋" w:hAnsi="仿宋" w:eastAsia="仿宋" w:cs="仿宋"/>
                <w:b w:val="0"/>
                <w:bCs w:val="0"/>
                <w:kern w:val="2"/>
                <w:sz w:val="24"/>
                <w:szCs w:val="32"/>
                <w:vertAlign w:val="baseline"/>
                <w:lang w:val="en-US" w:eastAsia="zh-CN" w:bidi="ar-SA"/>
              </w:rPr>
            </w:pPr>
          </w:p>
        </w:tc>
        <w:tc>
          <w:tcPr>
            <w:tcW w:w="1719" w:type="dxa"/>
            <w:tcBorders>
              <w:bottom w:val="single" w:color="auto" w:sz="4" w:space="0"/>
            </w:tcBorders>
            <w:noWrap w:val="0"/>
            <w:vAlign w:val="center"/>
          </w:tcPr>
          <w:p>
            <w:pPr>
              <w:pStyle w:val="5"/>
              <w:ind w:left="0" w:leftChars="0" w:firstLine="0" w:firstLineChars="0"/>
              <w:jc w:val="center"/>
              <w:rPr>
                <w:rFonts w:hint="default" w:ascii="仿宋" w:hAnsi="仿宋" w:eastAsia="仿宋" w:cs="仿宋"/>
                <w:b w:val="0"/>
                <w:bCs w:val="0"/>
                <w:kern w:val="2"/>
                <w:sz w:val="24"/>
                <w:szCs w:val="32"/>
                <w:vertAlign w:val="baseline"/>
                <w:lang w:val="en-US" w:eastAsia="zh-CN" w:bidi="ar-SA"/>
              </w:rPr>
            </w:pPr>
            <w:r>
              <w:rPr>
                <w:rFonts w:hint="eastAsia" w:ascii="仿宋" w:hAnsi="仿宋" w:eastAsia="仿宋" w:cs="仿宋"/>
                <w:b w:val="0"/>
                <w:bCs w:val="0"/>
                <w:sz w:val="24"/>
                <w:szCs w:val="32"/>
                <w:vertAlign w:val="baseline"/>
                <w:lang w:val="en-US" w:eastAsia="zh-CN"/>
              </w:rPr>
              <w:t>1435</w:t>
            </w:r>
          </w:p>
        </w:tc>
        <w:tc>
          <w:tcPr>
            <w:tcW w:w="2222" w:type="dxa"/>
            <w:tcBorders>
              <w:bottom w:val="single" w:color="auto" w:sz="4" w:space="0"/>
            </w:tcBorders>
            <w:noWrap w:val="0"/>
            <w:vAlign w:val="top"/>
          </w:tcPr>
          <w:p>
            <w:pPr>
              <w:pStyle w:val="5"/>
              <w:ind w:left="420" w:leftChars="200"/>
              <w:rPr>
                <w:rFonts w:hint="eastAsia" w:ascii="仿宋" w:hAnsi="仿宋" w:eastAsia="仿宋" w:cs="仿宋"/>
                <w:b w:val="0"/>
                <w:bCs w:val="0"/>
                <w:kern w:val="2"/>
                <w:sz w:val="24"/>
                <w:szCs w:val="32"/>
                <w:vertAlign w:val="baseline"/>
                <w:lang w:val="en-US" w:eastAsia="zh-CN" w:bidi="ar-SA"/>
              </w:rPr>
            </w:pPr>
          </w:p>
        </w:tc>
        <w:tc>
          <w:tcPr>
            <w:tcW w:w="820" w:type="dxa"/>
            <w:tcBorders>
              <w:bottom w:val="single" w:color="auto" w:sz="4" w:space="0"/>
            </w:tcBorders>
            <w:noWrap w:val="0"/>
            <w:vAlign w:val="top"/>
          </w:tcPr>
          <w:p>
            <w:pPr>
              <w:pStyle w:val="5"/>
              <w:ind w:left="420" w:leftChars="200"/>
              <w:rPr>
                <w:rFonts w:hint="eastAsia" w:ascii="仿宋" w:hAnsi="仿宋" w:eastAsia="仿宋" w:cs="仿宋"/>
                <w:b w:val="0"/>
                <w:bCs w:val="0"/>
                <w:kern w:val="2"/>
                <w:sz w:val="24"/>
                <w:szCs w:val="32"/>
                <w:vertAlign w:val="baseline"/>
                <w:lang w:val="en-US" w:eastAsia="zh-CN" w:bidi="ar-SA"/>
              </w:rPr>
            </w:pPr>
          </w:p>
        </w:tc>
      </w:tr>
    </w:tbl>
    <w:p/>
    <w:p>
      <w:pPr>
        <w:pStyle w:val="6"/>
        <w:rPr>
          <w:rFonts w:hint="eastAsia" w:ascii="方正仿宋_GB2312" w:hAnsi="方正仿宋_GB2312" w:eastAsia="方正仿宋_GB2312" w:cs="方正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B7BC7E-15CC-4DA3-9C8B-5E3870D8CF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D210E85-52F7-46E7-AB42-72C0B8132FCB}"/>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3" w:fontKey="{B7E7C189-4D6C-4338-B44C-5BD2EA588F42}"/>
  </w:font>
  <w:font w:name="方正小标宋简体">
    <w:panose1 w:val="03000509000000000000"/>
    <w:charset w:val="86"/>
    <w:family w:val="auto"/>
    <w:pitch w:val="default"/>
    <w:sig w:usb0="00000001" w:usb1="080E0000" w:usb2="00000000" w:usb3="00000000" w:csb0="00040000" w:csb1="00000000"/>
    <w:embedRegular r:id="rId4" w:fontKey="{2A86A836-0CDB-43DB-8C39-C0BAF320946F}"/>
  </w:font>
  <w:font w:name="仿宋_GB2312">
    <w:panose1 w:val="02010609030101010101"/>
    <w:charset w:val="86"/>
    <w:family w:val="modern"/>
    <w:pitch w:val="default"/>
    <w:sig w:usb0="00000001" w:usb1="080E0000" w:usb2="00000000" w:usb3="00000000" w:csb0="00040000" w:csb1="00000000"/>
    <w:embedRegular r:id="rId5" w:fontKey="{867BFA54-A005-44A3-A97B-3FA2B9F28225}"/>
  </w:font>
  <w:font w:name="方正小标宋_GBK">
    <w:panose1 w:val="02000000000000000000"/>
    <w:charset w:val="86"/>
    <w:family w:val="auto"/>
    <w:pitch w:val="default"/>
    <w:sig w:usb0="A00002BF" w:usb1="38CF7CFA" w:usb2="00082016" w:usb3="00000000" w:csb0="00040001" w:csb1="00000000"/>
    <w:embedRegular r:id="rId6" w:fontKey="{13307374-86AC-48D6-90D3-C82654CCD6A1}"/>
  </w:font>
  <w:font w:name="方正仿宋_GB2312">
    <w:panose1 w:val="02000000000000000000"/>
    <w:charset w:val="86"/>
    <w:family w:val="auto"/>
    <w:pitch w:val="default"/>
    <w:sig w:usb0="A00002BF" w:usb1="184F6CFA" w:usb2="00000012" w:usb3="00000000" w:csb0="00040001" w:csb1="00000000"/>
    <w:embedRegular r:id="rId7" w:fontKey="{0E2F422B-4728-4983-A0C4-4C5D8A462E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NTUyOWQzNjUwZDMyMDFkN2Q3YmE4Nzg2MGUxNDYifQ=="/>
    <w:docVar w:name="KSO_WPS_MARK_KEY" w:val="7d8fba43-bc9e-43ca-9625-844544eeecb1"/>
  </w:docVars>
  <w:rsids>
    <w:rsidRoot w:val="3F452061"/>
    <w:rsid w:val="06F23100"/>
    <w:rsid w:val="08A22FB0"/>
    <w:rsid w:val="189F1804"/>
    <w:rsid w:val="1AB96C13"/>
    <w:rsid w:val="25A16BBC"/>
    <w:rsid w:val="34FF56AD"/>
    <w:rsid w:val="3F452061"/>
    <w:rsid w:val="440E1469"/>
    <w:rsid w:val="441F5424"/>
    <w:rsid w:val="4EA65F24"/>
    <w:rsid w:val="51D70532"/>
    <w:rsid w:val="5EF839C2"/>
    <w:rsid w:val="64B528A6"/>
    <w:rsid w:val="7A4A100A"/>
    <w:rsid w:val="7ACF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 Spacing"/>
    <w:next w:val="1"/>
    <w:qFormat/>
    <w:uiPriority w:val="1"/>
    <w:pPr>
      <w:adjustRightInd w:val="0"/>
      <w:snapToGrid w:val="0"/>
      <w:jc w:val="both"/>
    </w:pPr>
    <w:rPr>
      <w:rFonts w:ascii="Tahoma" w:hAnsi="Tahoma" w:eastAsia="仿宋" w:cs="Times New Roman"/>
      <w:sz w:val="32"/>
      <w:szCs w:val="22"/>
      <w:lang w:val="en-US" w:eastAsia="zh-CN" w:bidi="ar-SA"/>
    </w:rPr>
  </w:style>
  <w:style w:type="paragraph" w:styleId="4">
    <w:name w:val="Body Text"/>
    <w:basedOn w:val="1"/>
    <w:next w:val="5"/>
    <w:qFormat/>
    <w:uiPriority w:val="1"/>
    <w:pPr>
      <w:spacing w:before="26"/>
      <w:ind w:left="120"/>
    </w:pPr>
    <w:rPr>
      <w:rFonts w:ascii="宋体" w:hAnsi="宋体" w:eastAsia="宋体" w:cs="宋体"/>
      <w:sz w:val="32"/>
      <w:szCs w:val="32"/>
      <w:lang w:val="zh-CN" w:eastAsia="zh-CN" w:bidi="zh-CN"/>
    </w:rPr>
  </w:style>
  <w:style w:type="paragraph" w:styleId="5">
    <w:name w:val="Body Text Indent 2"/>
    <w:basedOn w:val="1"/>
    <w:qFormat/>
    <w:uiPriority w:val="0"/>
    <w:pPr>
      <w:tabs>
        <w:tab w:val="left" w:pos="8085"/>
      </w:tabs>
      <w:spacing w:line="480" w:lineRule="auto"/>
      <w:ind w:left="200" w:leftChars="200"/>
    </w:pPr>
  </w:style>
  <w:style w:type="paragraph" w:styleId="6">
    <w:name w:val="footnote text"/>
    <w:basedOn w:val="1"/>
    <w:qFormat/>
    <w:uiPriority w:val="0"/>
    <w:pPr>
      <w:snapToGrid w:val="0"/>
      <w:jc w:val="left"/>
    </w:pPr>
    <w:rPr>
      <w:sz w:val="18"/>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479</Words>
  <Characters>532</Characters>
  <Lines>0</Lines>
  <Paragraphs>0</Paragraphs>
  <TotalTime>1</TotalTime>
  <ScaleCrop>false</ScaleCrop>
  <LinksUpToDate>false</LinksUpToDate>
  <CharactersWithSpaces>587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2025-01-13T07:17:00Z</dcterms:created>
  <dc:creator>Sha.n</dc:creator>
  <cp:lastModifiedBy>ZYYYY</cp:lastModifiedBy>
  <cp:lastPrinted>2025-06-24T03:40:00Z</cp:lastPrinted>
  <dcterms:modified xsi:type="dcterms:W3CDTF">2025-06-27T01:09:09Z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0F4E644BEEB34F96AAA09FAB3A108FE8_11</vt:lpwstr>
  </property>
  <property fmtid="{D5CDD505-2E9C-101B-9397-08002B2CF9AE}" pid="4" name="KSOTemplateDocerSaveRecord">
    <vt:lpwstr>eyJoZGlkIjoiMjBiZmM3MmYzMWVlMzFhOTE1ODMxMjMzZmZkN2M1Y2UiLCJ1c2VySWQiOiIxMDIxNTU5OTQzIn0=</vt:lpwstr>
  </property>
</Properties>
</file>