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2C8F3">
      <w:pPr>
        <w:pStyle w:val="6"/>
        <w:spacing w:before="49"/>
        <w:ind w:left="0" w:leftChars="0" w:firstLine="0" w:firstLineChars="0"/>
        <w:rPr>
          <w:rFonts w:ascii="黑体" w:hAnsi="黑体" w:eastAsia="黑体" w:cs="黑体"/>
          <w:b w:val="0"/>
          <w:bCs w:val="0"/>
          <w:color w:val="000000" w:themeColor="text1"/>
          <w14:textFill>
            <w14:solidFill>
              <w14:schemeClr w14:val="tx1"/>
            </w14:solidFill>
          </w14:textFill>
        </w:rPr>
      </w:pPr>
      <w:r>
        <w:rPr>
          <w:rFonts w:hint="eastAsia" w:ascii="黑体" w:hAnsi="黑体" w:eastAsia="黑体" w:cs="黑体"/>
          <w:b w:val="0"/>
          <w:bCs w:val="0"/>
          <w:color w:val="000000" w:themeColor="text1"/>
          <w:w w:val="95"/>
          <w14:textFill>
            <w14:solidFill>
              <w14:schemeClr w14:val="tx1"/>
            </w14:solidFill>
          </w14:textFill>
        </w:rPr>
        <w:t>附件</w:t>
      </w:r>
      <w:r>
        <w:rPr>
          <w:rFonts w:hint="eastAsia" w:ascii="黑体" w:hAnsi="黑体" w:eastAsia="黑体" w:cs="黑体"/>
          <w:b w:val="0"/>
          <w:bCs w:val="0"/>
          <w:color w:val="000000" w:themeColor="text1"/>
          <w:spacing w:val="-10"/>
          <w:w w:val="95"/>
          <w14:textFill>
            <w14:solidFill>
              <w14:schemeClr w14:val="tx1"/>
            </w14:solidFill>
          </w14:textFill>
        </w:rPr>
        <w:t>2</w:t>
      </w:r>
    </w:p>
    <w:p w14:paraId="33FC6BD4">
      <w:pPr>
        <w:pStyle w:val="6"/>
        <w:spacing w:before="4"/>
        <w:ind w:left="0" w:leftChars="0" w:firstLine="0" w:firstLineChars="0"/>
        <w:rPr>
          <w:rFonts w:ascii="Times New Roman"/>
          <w:color w:val="000000" w:themeColor="text1"/>
          <w:sz w:val="21"/>
          <w14:textFill>
            <w14:solidFill>
              <w14:schemeClr w14:val="tx1"/>
            </w14:solidFill>
          </w14:textFill>
        </w:rPr>
      </w:pPr>
    </w:p>
    <w:p w14:paraId="771D19B4">
      <w:pPr>
        <w:pStyle w:val="3"/>
        <w:rPr>
          <w:rFonts w:ascii="方正小标宋简体" w:hAnsi="方正小标宋简体" w:eastAsia="方正小标宋简体" w:cs="方正小标宋简体"/>
          <w:b/>
          <w:bCs/>
          <w:color w:val="000000" w:themeColor="text1"/>
          <w:kern w:val="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14:textFill>
            <w14:solidFill>
              <w14:schemeClr w14:val="tx1"/>
            </w14:solidFill>
          </w14:textFill>
        </w:rPr>
        <w:t>部门整体支出绩效自评报告</w:t>
      </w:r>
    </w:p>
    <w:p w14:paraId="21E1081D">
      <w:pPr>
        <w:pStyle w:val="5"/>
        <w:spacing w:before="66"/>
        <w:ind w:right="27"/>
        <w:rPr>
          <w:rFonts w:ascii="PMingLiU" w:eastAsia="PMingLiU"/>
          <w:color w:val="000000" w:themeColor="text1"/>
          <w14:textFill>
            <w14:solidFill>
              <w14:schemeClr w14:val="tx1"/>
            </w14:solidFill>
          </w14:textFill>
        </w:rPr>
      </w:pPr>
      <w:r>
        <w:rPr>
          <w:rFonts w:hint="eastAsia" w:ascii="PMingLiU" w:eastAsia="PMingLiU"/>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2023</w:t>
      </w:r>
      <w:r>
        <w:rPr>
          <w:rFonts w:hint="eastAsia" w:ascii="PMingLiU" w:eastAsia="PMingLiU"/>
          <w:color w:val="000000" w:themeColor="text1"/>
          <w14:textFill>
            <w14:solidFill>
              <w14:schemeClr w14:val="tx1"/>
            </w14:solidFill>
          </w14:textFill>
        </w:rPr>
        <w:t>年度</w:t>
      </w:r>
      <w:r>
        <w:rPr>
          <w:rFonts w:hint="eastAsia" w:ascii="PMingLiU" w:eastAsia="PMingLiU"/>
          <w:color w:val="000000" w:themeColor="text1"/>
          <w:spacing w:val="-10"/>
          <w14:textFill>
            <w14:solidFill>
              <w14:schemeClr w14:val="tx1"/>
            </w14:solidFill>
          </w14:textFill>
        </w:rPr>
        <w:t>）</w:t>
      </w:r>
    </w:p>
    <w:p w14:paraId="2F12674B">
      <w:pPr>
        <w:pStyle w:val="6"/>
        <w:rPr>
          <w:rFonts w:ascii="PMingLiU"/>
          <w:color w:val="000000" w:themeColor="text1"/>
          <w:sz w:val="42"/>
          <w14:textFill>
            <w14:solidFill>
              <w14:schemeClr w14:val="tx1"/>
            </w14:solidFill>
          </w14:textFill>
        </w:rPr>
      </w:pPr>
    </w:p>
    <w:p w14:paraId="751418BA">
      <w:pPr>
        <w:pStyle w:val="6"/>
        <w:rPr>
          <w:rFonts w:ascii="PMingLiU"/>
          <w:color w:val="000000" w:themeColor="text1"/>
          <w:sz w:val="42"/>
          <w14:textFill>
            <w14:solidFill>
              <w14:schemeClr w14:val="tx1"/>
            </w14:solidFill>
          </w14:textFill>
        </w:rPr>
      </w:pPr>
    </w:p>
    <w:p w14:paraId="35AC1C12">
      <w:pPr>
        <w:pStyle w:val="6"/>
        <w:rPr>
          <w:rFonts w:ascii="PMingLiU"/>
          <w:color w:val="000000" w:themeColor="text1"/>
          <w:sz w:val="42"/>
          <w14:textFill>
            <w14:solidFill>
              <w14:schemeClr w14:val="tx1"/>
            </w14:solidFill>
          </w14:textFill>
        </w:rPr>
      </w:pPr>
    </w:p>
    <w:p w14:paraId="11C3E7BD">
      <w:pPr>
        <w:pStyle w:val="6"/>
        <w:rPr>
          <w:rFonts w:ascii="PMingLiU"/>
          <w:color w:val="000000" w:themeColor="text1"/>
          <w:sz w:val="42"/>
          <w14:textFill>
            <w14:solidFill>
              <w14:schemeClr w14:val="tx1"/>
            </w14:solidFill>
          </w14:textFill>
        </w:rPr>
      </w:pPr>
    </w:p>
    <w:p w14:paraId="6047DCC3">
      <w:pPr>
        <w:pStyle w:val="6"/>
        <w:spacing w:before="6"/>
        <w:rPr>
          <w:rFonts w:ascii="PMingLiU"/>
          <w:color w:val="000000" w:themeColor="text1"/>
          <w:sz w:val="54"/>
          <w14:textFill>
            <w14:solidFill>
              <w14:schemeClr w14:val="tx1"/>
            </w14:solidFill>
          </w14:textFill>
        </w:rPr>
      </w:pPr>
    </w:p>
    <w:p w14:paraId="0E5EA5F3">
      <w:pPr>
        <w:pStyle w:val="6"/>
        <w:spacing w:before="6"/>
        <w:rPr>
          <w:rFonts w:ascii="PMingLiU"/>
          <w:color w:val="000000" w:themeColor="text1"/>
          <w:sz w:val="54"/>
          <w14:textFill>
            <w14:solidFill>
              <w14:schemeClr w14:val="tx1"/>
            </w14:solidFill>
          </w14:textFill>
        </w:rPr>
      </w:pPr>
    </w:p>
    <w:p w14:paraId="0AE3EF62">
      <w:pPr>
        <w:pStyle w:val="6"/>
        <w:spacing w:before="6"/>
        <w:rPr>
          <w:rFonts w:ascii="PMingLiU"/>
          <w:color w:val="000000" w:themeColor="text1"/>
          <w:sz w:val="54"/>
          <w14:textFill>
            <w14:solidFill>
              <w14:schemeClr w14:val="tx1"/>
            </w14:solidFill>
          </w14:textFill>
        </w:rPr>
      </w:pPr>
    </w:p>
    <w:p w14:paraId="7AF91EC6">
      <w:pPr>
        <w:pStyle w:val="6"/>
        <w:spacing w:before="6"/>
        <w:rPr>
          <w:rFonts w:ascii="PMingLiU"/>
          <w:color w:val="000000" w:themeColor="text1"/>
          <w:sz w:val="54"/>
          <w14:textFill>
            <w14:solidFill>
              <w14:schemeClr w14:val="tx1"/>
            </w14:solidFill>
          </w14:textFill>
        </w:rPr>
      </w:pPr>
    </w:p>
    <w:p w14:paraId="29665FC7">
      <w:pPr>
        <w:pStyle w:val="6"/>
        <w:spacing w:before="6"/>
        <w:rPr>
          <w:rFonts w:ascii="PMingLiU"/>
          <w:color w:val="000000" w:themeColor="text1"/>
          <w:sz w:val="54"/>
          <w14:textFill>
            <w14:solidFill>
              <w14:schemeClr w14:val="tx1"/>
            </w14:solidFill>
          </w14:textFill>
        </w:rPr>
      </w:pPr>
    </w:p>
    <w:p w14:paraId="1EC6B5A0">
      <w:pPr>
        <w:pStyle w:val="6"/>
        <w:spacing w:before="6"/>
        <w:rPr>
          <w:rFonts w:ascii="PMingLiU"/>
          <w:color w:val="000000" w:themeColor="text1"/>
          <w:sz w:val="54"/>
          <w14:textFill>
            <w14:solidFill>
              <w14:schemeClr w14:val="tx1"/>
            </w14:solidFill>
          </w14:textFill>
        </w:rPr>
      </w:pPr>
    </w:p>
    <w:p w14:paraId="144D7A37">
      <w:pPr>
        <w:pStyle w:val="6"/>
        <w:spacing w:before="6"/>
        <w:rPr>
          <w:rFonts w:ascii="PMingLiU"/>
          <w:color w:val="000000" w:themeColor="text1"/>
          <w:sz w:val="54"/>
          <w14:textFill>
            <w14:solidFill>
              <w14:schemeClr w14:val="tx1"/>
            </w14:solidFill>
          </w14:textFill>
        </w:rPr>
      </w:pPr>
    </w:p>
    <w:p w14:paraId="49C662CE">
      <w:pPr>
        <w:pStyle w:val="6"/>
        <w:spacing w:before="6"/>
        <w:rPr>
          <w:rFonts w:ascii="PMingLiU"/>
          <w:color w:val="000000" w:themeColor="text1"/>
          <w:sz w:val="54"/>
          <w14:textFill>
            <w14:solidFill>
              <w14:schemeClr w14:val="tx1"/>
            </w14:solidFill>
          </w14:textFill>
        </w:rPr>
      </w:pPr>
    </w:p>
    <w:p w14:paraId="0751BC58">
      <w:pPr>
        <w:pStyle w:val="6"/>
        <w:spacing w:before="6"/>
        <w:rPr>
          <w:rFonts w:ascii="PMingLiU"/>
          <w:color w:val="000000" w:themeColor="text1"/>
          <w:sz w:val="54"/>
          <w14:textFill>
            <w14:solidFill>
              <w14:schemeClr w14:val="tx1"/>
            </w14:solidFill>
          </w14:textFill>
        </w:rPr>
      </w:pPr>
    </w:p>
    <w:p w14:paraId="5CF685BA">
      <w:pPr>
        <w:pStyle w:val="6"/>
        <w:spacing w:before="6"/>
        <w:rPr>
          <w:rFonts w:ascii="PMingLiU"/>
          <w:color w:val="000000" w:themeColor="text1"/>
          <w:sz w:val="54"/>
          <w14:textFill>
            <w14:solidFill>
              <w14:schemeClr w14:val="tx1"/>
            </w14:solidFill>
          </w14:textFill>
        </w:rPr>
      </w:pPr>
    </w:p>
    <w:p w14:paraId="6F0B01FA">
      <w:pPr>
        <w:pStyle w:val="6"/>
        <w:spacing w:before="6"/>
        <w:ind w:left="0" w:leftChars="0" w:firstLine="0" w:firstLineChars="0"/>
        <w:rPr>
          <w:rFonts w:ascii="PMingLiU"/>
          <w:color w:val="000000" w:themeColor="text1"/>
          <w:sz w:val="54"/>
          <w14:textFill>
            <w14:solidFill>
              <w14:schemeClr w14:val="tx1"/>
            </w14:solidFill>
          </w14:textFill>
        </w:rPr>
      </w:pPr>
    </w:p>
    <w:p w14:paraId="70778124">
      <w:pPr>
        <w:spacing w:line="580" w:lineRule="exact"/>
        <w:ind w:right="3577" w:firstLine="1872" w:firstLineChars="600"/>
        <w:jc w:val="both"/>
        <w:rPr>
          <w:rFonts w:hint="eastAsia"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单位名称：</w:t>
      </w:r>
    </w:p>
    <w:p w14:paraId="4D6B4E33">
      <w:pPr>
        <w:spacing w:line="580" w:lineRule="exact"/>
        <w:ind w:right="3577" w:firstLine="2184" w:firstLineChars="700"/>
        <w:jc w:val="both"/>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cs="Times New Roman"/>
          <w:color w:val="000000" w:themeColor="text1"/>
          <w:kern w:val="2"/>
          <w:sz w:val="32"/>
          <w:szCs w:val="32"/>
          <w14:textFill>
            <w14:solidFill>
              <w14:schemeClr w14:val="tx1"/>
            </w14:solidFill>
          </w14:textFill>
        </w:rPr>
        <w:t>主要负责人签字：</w:t>
      </w:r>
    </w:p>
    <w:p w14:paraId="2A4BE58D">
      <w:pPr>
        <w:pStyle w:val="6"/>
        <w:spacing w:before="6"/>
        <w:rPr>
          <w:color w:val="000000" w:themeColor="text1"/>
          <w14:textFill>
            <w14:solidFill>
              <w14:schemeClr w14:val="tx1"/>
            </w14:solidFill>
          </w14:textFill>
        </w:rPr>
      </w:pPr>
    </w:p>
    <w:p w14:paraId="7088ADB2">
      <w:pPr>
        <w:pStyle w:val="6"/>
        <w:tabs>
          <w:tab w:val="left" w:pos="802"/>
        </w:tabs>
        <w:spacing w:line="240" w:lineRule="auto"/>
        <w:ind w:left="1" w:firstLine="0" w:firstLineChars="0"/>
        <w:jc w:val="center"/>
        <w:rPr>
          <w:rFonts w:hint="eastAsia" w:ascii="Times New Roman" w:hAnsi="Times New Roman" w:eastAsia="仿宋_GB2312" w:cs="Times New Roman"/>
          <w:b w:val="0"/>
          <w:bCs w:val="0"/>
          <w:color w:val="000000" w:themeColor="text1"/>
          <w:spacing w:val="0"/>
          <w:w w:val="100"/>
          <w:kern w:val="2"/>
          <w14:textFill>
            <w14:solidFill>
              <w14:schemeClr w14:val="tx1"/>
            </w14:solidFill>
          </w14:textFill>
        </w:rPr>
      </w:pPr>
      <w:r>
        <w:rPr>
          <w:rFonts w:hint="eastAsia" w:ascii="Times New Roman" w:hAnsi="Times New Roman" w:eastAsia="仿宋_GB2312" w:cs="Times New Roman"/>
          <w:b w:val="0"/>
          <w:bCs w:val="0"/>
          <w:color w:val="000000" w:themeColor="text1"/>
          <w:spacing w:val="0"/>
          <w:w w:val="100"/>
          <w:kern w:val="2"/>
          <w14:textFill>
            <w14:solidFill>
              <w14:schemeClr w14:val="tx1"/>
            </w14:solidFill>
          </w14:textFill>
        </w:rPr>
        <w:t>2024年6月2</w:t>
      </w:r>
      <w:r>
        <w:rPr>
          <w:rFonts w:hint="eastAsia" w:ascii="Times New Roman" w:hAnsi="Times New Roman" w:eastAsia="仿宋_GB2312" w:cs="Times New Roman"/>
          <w:b w:val="0"/>
          <w:bCs w:val="0"/>
          <w:color w:val="000000" w:themeColor="text1"/>
          <w:spacing w:val="0"/>
          <w:w w:val="100"/>
          <w:kern w:val="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pacing w:val="0"/>
          <w:w w:val="100"/>
          <w:kern w:val="2"/>
          <w14:textFill>
            <w14:solidFill>
              <w14:schemeClr w14:val="tx1"/>
            </w14:solidFill>
          </w14:textFill>
        </w:rPr>
        <w:t>日</w:t>
      </w:r>
    </w:p>
    <w:p w14:paraId="6E247E66">
      <w:pPr>
        <w:jc w:val="center"/>
        <w:rPr>
          <w:rFonts w:ascii="Times New Roman" w:hAnsi="Times New Roman" w:eastAsia="仿宋_GB2312" w:cs="Times New Roman"/>
          <w:color w:val="000000" w:themeColor="text1"/>
          <w:kern w:val="2"/>
          <w:sz w:val="32"/>
          <w:szCs w:val="32"/>
          <w14:textFill>
            <w14:solidFill>
              <w14:schemeClr w14:val="tx1"/>
            </w14:solidFill>
          </w14:textFill>
        </w:rPr>
      </w:pPr>
    </w:p>
    <w:p w14:paraId="6D0263A7">
      <w:pPr>
        <w:pStyle w:val="9"/>
        <w:ind w:left="0" w:leftChars="0" w:firstLine="0" w:firstLineChars="0"/>
        <w:rPr>
          <w:rFonts w:ascii="Times New Roman" w:hAnsi="Times New Roman" w:eastAsia="仿宋_GB2312" w:cs="Times New Roman"/>
          <w:color w:val="000000" w:themeColor="text1"/>
          <w:kern w:val="2"/>
          <w:sz w:val="32"/>
          <w:szCs w:val="32"/>
          <w14:textFill>
            <w14:solidFill>
              <w14:schemeClr w14:val="tx1"/>
            </w14:solidFill>
          </w14:textFill>
        </w:rPr>
        <w:sectPr>
          <w:footerReference r:id="rId5" w:type="default"/>
          <w:pgSz w:w="11900" w:h="16840"/>
          <w:pgMar w:top="1380" w:right="840" w:bottom="1260" w:left="840" w:header="0" w:footer="1074" w:gutter="0"/>
          <w:cols w:space="720" w:num="1"/>
        </w:sectPr>
      </w:pPr>
    </w:p>
    <w:p w14:paraId="3ABA8A12">
      <w:pPr>
        <w:pStyle w:val="4"/>
        <w:ind w:left="0" w:leftChars="0" w:firstLine="0" w:firstLineChars="0"/>
        <w:jc w:val="both"/>
        <w:rPr>
          <w:rFonts w:ascii="Times New Roman" w:hAnsi="Times New Roman" w:eastAsia="仿宋_GB2312" w:cs="Times New Roman"/>
          <w:b/>
          <w:bCs/>
          <w:color w:val="000000" w:themeColor="text1"/>
          <w:kern w:val="2"/>
          <w14:textFill>
            <w14:solidFill>
              <w14:schemeClr w14:val="tx1"/>
            </w14:solidFill>
          </w14:textFill>
        </w:rPr>
      </w:pPr>
    </w:p>
    <w:p w14:paraId="6FAACF57"/>
    <w:p w14:paraId="73419CB4">
      <w:pPr>
        <w:pStyle w:val="4"/>
        <w:rPr>
          <w:rFonts w:ascii="方正小标宋简体" w:hAnsi="方正小标宋简体" w:eastAsia="方正小标宋简体" w:cs="方正小标宋简体"/>
          <w:b/>
          <w:bCs/>
          <w:color w:val="000000" w:themeColor="text1"/>
          <w:kern w:val="2"/>
          <w14:textFill>
            <w14:solidFill>
              <w14:schemeClr w14:val="tx1"/>
            </w14:solidFill>
          </w14:textFill>
        </w:rPr>
      </w:pPr>
      <w:r>
        <w:rPr>
          <w:rFonts w:hint="eastAsia" w:ascii="方正小标宋简体" w:hAnsi="方正小标宋简体" w:eastAsia="方正小标宋简体" w:cs="方正小标宋简体"/>
          <w:b/>
          <w:bCs/>
          <w:color w:val="000000" w:themeColor="text1"/>
          <w:kern w:val="2"/>
          <w14:textFill>
            <w14:solidFill>
              <w14:schemeClr w14:val="tx1"/>
            </w14:solidFill>
          </w14:textFill>
        </w:rPr>
        <w:t>部门整体支出绩效自评报告</w:t>
      </w:r>
    </w:p>
    <w:p w14:paraId="7D88550C">
      <w:pPr>
        <w:pStyle w:val="6"/>
        <w:spacing w:before="107"/>
        <w:ind w:left="30" w:right="27"/>
        <w:jc w:val="center"/>
        <w:rPr>
          <w:color w:val="000000" w:themeColor="text1"/>
          <w14:textFill>
            <w14:solidFill>
              <w14:schemeClr w14:val="tx1"/>
            </w14:solidFill>
          </w14:textFill>
        </w:rPr>
      </w:pPr>
      <w:r>
        <w:rPr>
          <w:rFonts w:hint="eastAsia"/>
          <w:color w:val="000000" w:themeColor="text1"/>
          <w:sz w:val="43"/>
          <w14:textFill>
            <w14:solidFill>
              <w14:schemeClr w14:val="tx1"/>
            </w14:solidFill>
          </w14:textFill>
        </w:rPr>
        <w:t xml:space="preserve"> </w:t>
      </w:r>
      <w:r>
        <w:rPr>
          <w:rFonts w:ascii="Times New Roman" w:hAnsi="Times New Roman" w:eastAsia="仿宋_GB2312" w:cs="Times New Roman"/>
          <w:color w:val="000000" w:themeColor="text1"/>
          <w:kern w:val="2"/>
          <w14:textFill>
            <w14:solidFill>
              <w14:schemeClr w14:val="tx1"/>
            </w14:solidFill>
          </w14:textFill>
        </w:rPr>
        <w:t>（</w:t>
      </w:r>
      <w:r>
        <w:rPr>
          <w:rFonts w:hint="eastAsia" w:cs="Times New Roman"/>
          <w:color w:val="000000" w:themeColor="text1"/>
          <w:kern w:val="2"/>
          <w:lang w:val="en-US" w:eastAsia="zh-CN"/>
          <w14:textFill>
            <w14:solidFill>
              <w14:schemeClr w14:val="tx1"/>
            </w14:solidFill>
          </w14:textFill>
        </w:rPr>
        <w:t>珠晖区农业农村局</w:t>
      </w:r>
      <w:r>
        <w:rPr>
          <w:rFonts w:hint="eastAsia" w:ascii="Times New Roman" w:hAnsi="Times New Roman" w:eastAsia="仿宋_GB2312" w:cs="Times New Roman"/>
          <w:color w:val="000000" w:themeColor="text1"/>
          <w:kern w:val="2"/>
          <w14:textFill>
            <w14:solidFill>
              <w14:schemeClr w14:val="tx1"/>
            </w14:solidFill>
          </w14:textFill>
        </w:rPr>
        <w:t>）</w:t>
      </w:r>
    </w:p>
    <w:p w14:paraId="01F87047">
      <w:pPr>
        <w:pStyle w:val="6"/>
        <w:spacing w:before="7"/>
        <w:rPr>
          <w:color w:val="000000" w:themeColor="text1"/>
          <w:sz w:val="43"/>
          <w14:textFill>
            <w14:solidFill>
              <w14:schemeClr w14:val="tx1"/>
            </w14:solidFill>
          </w14:textFill>
        </w:rPr>
      </w:pPr>
    </w:p>
    <w:p w14:paraId="1A2BC818">
      <w:pPr>
        <w:pStyle w:val="6"/>
        <w:spacing w:line="560" w:lineRule="exact"/>
        <w:jc w:val="both"/>
        <w:rPr>
          <w:rFonts w:ascii="仿宋_GB2312" w:hAnsi="仿宋_GB2312" w:eastAsia="仿宋_GB2312" w:cs="仿宋_GB2312"/>
          <w:b/>
        </w:rPr>
      </w:pPr>
      <w:r>
        <w:rPr>
          <w:rFonts w:hint="eastAsia" w:ascii="仿宋_GB2312" w:hAnsi="仿宋_GB2312" w:eastAsia="仿宋_GB2312" w:cs="仿宋_GB2312"/>
          <w:b/>
        </w:rPr>
        <w:t>一、单位基本情况</w:t>
      </w:r>
    </w:p>
    <w:p w14:paraId="1D87EC73">
      <w:pPr>
        <w:pStyle w:val="6"/>
        <w:spacing w:line="560" w:lineRule="exact"/>
        <w:ind w:firstLine="627" w:firstLineChars="200"/>
        <w:jc w:val="both"/>
        <w:rPr>
          <w:rFonts w:ascii="Times New Roman" w:hAnsi="Times New Roman" w:eastAsia="仿宋_GB2312" w:cs="Times New Roman"/>
          <w:b/>
          <w:bCs/>
          <w:color w:val="000000" w:themeColor="text1"/>
          <w:kern w:val="2"/>
          <w14:textFill>
            <w14:solidFill>
              <w14:schemeClr w14:val="tx1"/>
            </w14:solidFill>
          </w14:textFill>
        </w:rPr>
      </w:pPr>
      <w:r>
        <w:rPr>
          <w:rFonts w:hint="eastAsia" w:ascii="Times New Roman" w:hAnsi="Times New Roman" w:eastAsia="仿宋_GB2312" w:cs="Times New Roman"/>
          <w:b/>
          <w:bCs/>
          <w:color w:val="000000" w:themeColor="text1"/>
          <w:kern w:val="2"/>
          <w14:textFill>
            <w14:solidFill>
              <w14:schemeClr w14:val="tx1"/>
            </w14:solidFill>
          </w14:textFill>
        </w:rPr>
        <w:t>（一）职能职责</w:t>
      </w:r>
    </w:p>
    <w:p w14:paraId="610DF637">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根据《中共衡阳市委办公室衡阳市人民政府办公室关于印发〈珠晖区机构改革方案〉的通知》（衡办[</w:t>
      </w:r>
      <w:r>
        <w:rPr>
          <w:rFonts w:hint="eastAsia" w:ascii="仿宋_GB2312" w:eastAsia="仿宋_GB2312"/>
          <w:sz w:val="32"/>
          <w:szCs w:val="32"/>
          <w:lang w:eastAsia="zh-CN"/>
        </w:rPr>
        <w:t>2020</w:t>
      </w:r>
      <w:r>
        <w:rPr>
          <w:rFonts w:hint="eastAsia" w:ascii="仿宋_GB2312" w:eastAsia="仿宋_GB2312"/>
          <w:sz w:val="32"/>
          <w:szCs w:val="32"/>
        </w:rPr>
        <w:t>]15号），制定本规定。我部门主要职责是：</w:t>
      </w:r>
    </w:p>
    <w:p w14:paraId="366FF2F0">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（一）统筹研究和组织实施“三农”工作的发展中长期规划、重大政策。指导农业综合执法。参与涉农的价格、收储、金融保险、进出口等政策制定。</w:t>
      </w:r>
    </w:p>
    <w:p w14:paraId="2B56EB34">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二）统筹推动发展农村社会事业、农村公共服务、农村文化、农村基础设施和乡村治理。配合有关部门指导农业劳动模范管理工作，牵头组织改善农村人居环境，指导农村精神文明和优秀农耕文化建设。指导农业行业安全生产工作。</w:t>
      </w:r>
    </w:p>
    <w:p w14:paraId="3004056F">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三）研究提出深化农村经济体制改革和巩固完善农村基本经营制度的政策建议。负责农民承包地、农村宅基地改革和管理有关工作。负责农村集体产权制度改革，指导农村集体经济组织发展和集体资产管理工作。指导农民合作经济组织、农业社会化服务体系、新型农业经营主体建设与发展。</w:t>
      </w:r>
    </w:p>
    <w:p w14:paraId="62275718">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四）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14:paraId="1645CEE6">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五）负责种植业、畜牧业、渔业、农垦、农业机械化等农业各产业的监督管理。指导粮食、蔬菜等农作物生产。组织构建现代农业产业体系、生产体系、经营体系，指导农业标准化生产。负责渔政渔港监督管理。</w:t>
      </w:r>
    </w:p>
    <w:p w14:paraId="628A4291">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六）负责农产品质量安全监督管理。组织开展农产品质量安全监测、追溯、风险评估，发布农产品质量安全信息。贯彻执行农产品质量安全国家标准，参与制定农产品质量安全地方标准并会同有关部门组织实施。指导农业检验检测体系建设。</w:t>
      </w:r>
    </w:p>
    <w:p w14:paraId="1D6FF6B7">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开发综合开发利用、农业综合开发、农业生物质产业发展。牵头管理外来物种。负责农田建设、农田整治项目的申报、管理、实施和运行工作，承担农田水利建设项目管理责任。</w:t>
      </w:r>
    </w:p>
    <w:p w14:paraId="331CDCB8">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八）负责有关农业生产资料和农业投入品的监督管理。组织农业生产资料市场体系建设，贯彻执行农业生产资料、农药残留、兽药残留限量和残留检测方法国家标准并监督实施。组织兽医医政、兽药药政药检工作，负责执业兽医和畜禽防疫检疫监督管理。</w:t>
      </w:r>
    </w:p>
    <w:p w14:paraId="21851E82">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（九）负责农业防灾减灾、农作物重大病虫害防治工作。指导动植物防疫检疫体系建设，组织、监督区内动植物防疫检疫工作，发布疫情并组织扑灭。</w:t>
      </w:r>
    </w:p>
    <w:p w14:paraId="7CD6642E">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（十）负责农业投资管理。编制农业投资项目建设规划，提出农业投资规模和方向、扶持农业农村发展财政项目的建议，按规定权限审批农业投资项目，负责农业投资项目资金安排和监督管理。</w:t>
      </w:r>
    </w:p>
    <w:p w14:paraId="6E71A9EA">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十一）推动农业科技体制改革和农业科技创新体系建设。指导农业产业技术体系和农技推广体系建设，组织开展农业领域的高新技术和应用技术研究，指导科技成果转化和技术推广。负责农业转基因生物安全监督管理和农业植物新品种保护。</w:t>
      </w:r>
    </w:p>
    <w:p w14:paraId="3DA3B198">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（十二）指导农业农村人才工作。拟订农业农村人才队伍建设规划并组织实施，指导农业教育和农业职业技能开发，指导新型职业农民培育、农业科技人才培养和农村实用人才培训工作。</w:t>
      </w:r>
    </w:p>
    <w:p w14:paraId="7FE1828C">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(十三)组织参与农业对外合作工作。承办有关农业涉外事务，组织开展农业贸易促进和有关对外交流合作，具体执行有关农业援外项目。</w:t>
      </w:r>
    </w:p>
    <w:p w14:paraId="2901D828">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（十四）承办区委、区人民政府交办的其他事项。</w:t>
      </w:r>
    </w:p>
    <w:p w14:paraId="1F9CB06C">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（十五）职能转变。</w:t>
      </w:r>
    </w:p>
    <w:p w14:paraId="17C1D439">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1.统筹实施乡村振兴战略，深化农业供给侧结构性改革，提升农业发展质量，扎实推进美丽乡村建设，加快实现农业农村现代化。</w:t>
      </w:r>
    </w:p>
    <w:p w14:paraId="6B51F9D2">
      <w:pPr>
        <w:spacing w:line="560" w:lineRule="exact"/>
        <w:ind w:firstLine="624" w:firstLineChars="200"/>
        <w:jc w:val="both"/>
        <w:rPr>
          <w:rFonts w:hint="eastAsia" w:ascii="仿宋_GB2312" w:eastAsia="仿宋_GB2312"/>
          <w:sz w:val="32"/>
          <w:szCs w:val="32"/>
        </w:rPr>
      </w:pPr>
      <w:r>
        <w:rPr>
          <w:rFonts w:hint="eastAsia" w:ascii="仿宋_GB2312" w:eastAsia="仿宋_GB2312"/>
          <w:sz w:val="32"/>
          <w:szCs w:val="32"/>
        </w:rPr>
        <w:t>2.加强农产品质量安全和相关农业生产资料、农业投入品的监督。</w:t>
      </w:r>
    </w:p>
    <w:p w14:paraId="546C01AE">
      <w:pPr>
        <w:spacing w:line="560" w:lineRule="exact"/>
        <w:ind w:firstLine="624" w:firstLineChars="200"/>
        <w:jc w:val="both"/>
        <w:rPr>
          <w:rFonts w:hint="eastAsia" w:ascii="宋体" w:hAnsi="宋体" w:eastAsia="宋体" w:cs="宋体"/>
          <w:color w:val="000000"/>
          <w:spacing w:val="0"/>
          <w:w w:val="100"/>
          <w:position w:val="0"/>
          <w:sz w:val="28"/>
          <w:szCs w:val="28"/>
        </w:rPr>
      </w:pPr>
      <w:r>
        <w:rPr>
          <w:rFonts w:hint="eastAsia" w:ascii="仿宋_GB2312" w:eastAsia="仿宋_GB2312"/>
          <w:sz w:val="32"/>
          <w:szCs w:val="32"/>
        </w:rPr>
        <w:t>3.深入推进简政放权，加强对行业内交叉重复以及性质相同、用途相近的农业投资项目的统筹整合，加强事中事后监管，切实提升支农政策效果和资金使用效益。</w:t>
      </w:r>
    </w:p>
    <w:p w14:paraId="03FDE44A">
      <w:pPr>
        <w:pStyle w:val="6"/>
        <w:spacing w:line="560" w:lineRule="exact"/>
        <w:jc w:val="both"/>
        <w:rPr>
          <w:rFonts w:ascii="Times New Roman" w:hAnsi="Times New Roman" w:eastAsia="仿宋_GB2312" w:cs="Times New Roman"/>
          <w:b/>
          <w:bCs/>
          <w:color w:val="000000" w:themeColor="text1"/>
          <w:kern w:val="2"/>
          <w14:textFill>
            <w14:solidFill>
              <w14:schemeClr w14:val="tx1"/>
            </w14:solidFill>
          </w14:textFill>
        </w:rPr>
      </w:pPr>
      <w:r>
        <w:rPr>
          <w:rFonts w:hint="eastAsia" w:ascii="Times New Roman" w:hAnsi="Times New Roman" w:eastAsia="仿宋_GB2312" w:cs="Times New Roman"/>
          <w:b/>
          <w:bCs/>
          <w:color w:val="000000" w:themeColor="text1"/>
          <w:kern w:val="2"/>
          <w14:textFill>
            <w14:solidFill>
              <w14:schemeClr w14:val="tx1"/>
            </w14:solidFill>
          </w14:textFill>
        </w:rPr>
        <w:t>（二）机构设置</w:t>
      </w:r>
    </w:p>
    <w:p w14:paraId="0354C615">
      <w:pPr>
        <w:pStyle w:val="11"/>
        <w:widowControl/>
        <w:autoSpaceDE/>
        <w:autoSpaceDN/>
        <w:spacing w:beforeAutospacing="0" w:afterAutospacing="0" w:line="560" w:lineRule="exact"/>
        <w:ind w:firstLine="624" w:firstLineChars="200"/>
        <w:jc w:val="both"/>
        <w:rPr>
          <w:rFonts w:hint="eastAsia" w:ascii="仿宋_GB2312" w:hAnsi="仿宋" w:eastAsia="仿宋_GB2312" w:cs="仿宋"/>
          <w:color w:val="000000" w:themeColor="text1"/>
          <w:spacing w:val="-2"/>
          <w:w w:val="99"/>
          <w:sz w:val="32"/>
          <w:szCs w:val="32"/>
          <w:lang w:val="en-US" w:eastAsia="zh-CN" w:bidi="ar-SA"/>
          <w14:textFill>
            <w14:solidFill>
              <w14:schemeClr w14:val="tx1"/>
            </w14:solidFill>
          </w14:textFill>
        </w:rPr>
      </w:pPr>
      <w:r>
        <w:rPr>
          <w:rFonts w:hint="eastAsia" w:ascii="仿宋_GB2312" w:hAnsi="仿宋" w:eastAsia="仿宋_GB2312" w:cs="仿宋"/>
          <w:color w:val="000000" w:themeColor="text1"/>
          <w:spacing w:val="-2"/>
          <w:w w:val="99"/>
          <w:sz w:val="32"/>
          <w:szCs w:val="32"/>
          <w:lang w:val="en-US" w:eastAsia="zh-CN" w:bidi="ar-SA"/>
          <w14:textFill>
            <w14:solidFill>
              <w14:schemeClr w14:val="tx1"/>
            </w14:solidFill>
          </w14:textFill>
        </w:rPr>
        <w:t>珠晖区农业农村局是区政府工作部门，机构性质为正科级行政单位。单位内设</w:t>
      </w:r>
      <w:r>
        <w:rPr>
          <w:rFonts w:hint="default" w:ascii="仿宋_GB2312" w:hAnsi="仿宋" w:eastAsia="仿宋_GB2312" w:cs="仿宋"/>
          <w:color w:val="000000" w:themeColor="text1"/>
          <w:spacing w:val="-2"/>
          <w:w w:val="99"/>
          <w:sz w:val="32"/>
          <w:szCs w:val="32"/>
          <w:lang w:val="en-US" w:eastAsia="zh-CN" w:bidi="ar-SA"/>
          <w14:textFill>
            <w14:solidFill>
              <w14:schemeClr w14:val="tx1"/>
            </w14:solidFill>
          </w14:textFill>
        </w:rPr>
        <w:t>机构包括3个副科级单位，分别为:珠晖区农村能源服务中心、珠晖区畜牧水产事务中心、农业技术服务推广站</w:t>
      </w:r>
      <w:r>
        <w:rPr>
          <w:rFonts w:hint="eastAsia" w:ascii="仿宋_GB2312" w:hAnsi="仿宋" w:eastAsia="仿宋_GB2312" w:cs="仿宋"/>
          <w:color w:val="000000" w:themeColor="text1"/>
          <w:spacing w:val="-2"/>
          <w:w w:val="99"/>
          <w:sz w:val="32"/>
          <w:szCs w:val="32"/>
          <w:lang w:val="en-US" w:eastAsia="zh-CN" w:bidi="ar-SA"/>
          <w14:textFill>
            <w14:solidFill>
              <w14:schemeClr w14:val="tx1"/>
            </w14:solidFill>
          </w14:textFill>
        </w:rPr>
        <w:t>。</w:t>
      </w:r>
    </w:p>
    <w:p w14:paraId="4DB54443">
      <w:pPr>
        <w:pStyle w:val="6"/>
        <w:spacing w:line="560" w:lineRule="exact"/>
        <w:jc w:val="both"/>
        <w:rPr>
          <w:rFonts w:ascii="仿宋_GB2312" w:hAnsi="仿宋_GB2312" w:eastAsia="仿宋_GB2312" w:cs="仿宋_GB2312"/>
          <w:b/>
        </w:rPr>
      </w:pPr>
      <w:r>
        <w:rPr>
          <w:rFonts w:hint="eastAsia" w:ascii="仿宋_GB2312" w:hAnsi="仿宋_GB2312" w:eastAsia="仿宋_GB2312" w:cs="仿宋_GB2312"/>
          <w:b/>
        </w:rPr>
        <w:t>二、一般公共预算支出情况</w:t>
      </w:r>
    </w:p>
    <w:p w14:paraId="6925C30E">
      <w:pPr>
        <w:pStyle w:val="11"/>
        <w:widowControl/>
        <w:autoSpaceDE/>
        <w:autoSpaceDN/>
        <w:spacing w:beforeAutospacing="0" w:afterAutospacing="0" w:line="560" w:lineRule="exact"/>
        <w:ind w:firstLine="624" w:firstLineChars="200"/>
        <w:jc w:val="both"/>
        <w:rPr>
          <w:rFonts w:ascii="仿宋" w:hAnsi="仿宋" w:eastAsia="仿宋" w:cs="仿宋"/>
          <w:color w:val="000000" w:themeColor="text1"/>
          <w:spacing w:val="-2"/>
          <w:w w:val="99"/>
          <w:sz w:val="32"/>
          <w:szCs w:val="32"/>
          <w14:textFill>
            <w14:solidFill>
              <w14:schemeClr w14:val="tx1"/>
            </w14:solidFill>
          </w14:textFill>
        </w:rPr>
      </w:pPr>
      <w:r>
        <w:rPr>
          <w:rFonts w:hint="eastAsia" w:ascii="仿宋" w:hAnsi="仿宋" w:eastAsia="仿宋" w:cs="仿宋"/>
          <w:color w:val="000000" w:themeColor="text1"/>
          <w:spacing w:val="-2"/>
          <w:w w:val="99"/>
          <w:sz w:val="32"/>
          <w:szCs w:val="32"/>
          <w14:textFill>
            <w14:solidFill>
              <w14:schemeClr w14:val="tx1"/>
            </w14:solidFill>
          </w14:textFill>
        </w:rPr>
        <w:t>2023年本部门一般公共预算拨款支出</w:t>
      </w:r>
      <w:r>
        <w:rPr>
          <w:rFonts w:hint="eastAsia" w:cs="仿宋"/>
          <w:color w:val="000000" w:themeColor="text1"/>
          <w:spacing w:val="-2"/>
          <w:w w:val="99"/>
          <w:sz w:val="32"/>
          <w:szCs w:val="32"/>
          <w:lang w:val="en-US" w:eastAsia="zh-CN"/>
          <w14:textFill>
            <w14:solidFill>
              <w14:schemeClr w14:val="tx1"/>
            </w14:solidFill>
          </w14:textFill>
        </w:rPr>
        <w:t>决算3315.27</w:t>
      </w:r>
      <w:r>
        <w:rPr>
          <w:rFonts w:hint="eastAsia" w:ascii="仿宋" w:hAnsi="仿宋" w:eastAsia="仿宋" w:cs="仿宋"/>
          <w:color w:val="000000" w:themeColor="text1"/>
          <w:spacing w:val="-2"/>
          <w:w w:val="99"/>
          <w:sz w:val="32"/>
          <w:szCs w:val="32"/>
          <w14:textFill>
            <w14:solidFill>
              <w14:schemeClr w14:val="tx1"/>
            </w14:solidFill>
          </w14:textFill>
        </w:rPr>
        <w:t>万元，其中：</w:t>
      </w:r>
      <w:r>
        <w:rPr>
          <w:rFonts w:hint="eastAsia" w:cs="仿宋"/>
          <w:color w:val="000000" w:themeColor="text1"/>
          <w:spacing w:val="-2"/>
          <w:w w:val="99"/>
          <w:sz w:val="32"/>
          <w:szCs w:val="32"/>
          <w:lang w:val="en-US" w:eastAsia="zh-CN"/>
          <w14:textFill>
            <w14:solidFill>
              <w14:schemeClr w14:val="tx1"/>
            </w14:solidFill>
          </w14:textFill>
        </w:rPr>
        <w:t>基本</w:t>
      </w:r>
      <w:r>
        <w:rPr>
          <w:rFonts w:hint="eastAsia" w:ascii="仿宋" w:hAnsi="仿宋" w:eastAsia="仿宋" w:cs="仿宋"/>
          <w:color w:val="000000" w:themeColor="text1"/>
          <w:spacing w:val="-2"/>
          <w:w w:val="99"/>
          <w:sz w:val="32"/>
          <w:szCs w:val="32"/>
          <w14:textFill>
            <w14:solidFill>
              <w14:schemeClr w14:val="tx1"/>
            </w14:solidFill>
          </w14:textFill>
        </w:rPr>
        <w:t>支出</w:t>
      </w:r>
      <w:r>
        <w:rPr>
          <w:rFonts w:hint="eastAsia" w:cs="仿宋"/>
          <w:color w:val="000000" w:themeColor="text1"/>
          <w:spacing w:val="-2"/>
          <w:w w:val="99"/>
          <w:sz w:val="32"/>
          <w:szCs w:val="32"/>
          <w:lang w:val="en-US" w:eastAsia="zh-CN"/>
          <w14:textFill>
            <w14:solidFill>
              <w14:schemeClr w14:val="tx1"/>
            </w14:solidFill>
          </w14:textFill>
        </w:rPr>
        <w:t>530.55</w:t>
      </w:r>
      <w:r>
        <w:rPr>
          <w:rFonts w:hint="eastAsia" w:ascii="仿宋" w:hAnsi="仿宋" w:eastAsia="仿宋" w:cs="仿宋"/>
          <w:color w:val="000000" w:themeColor="text1"/>
          <w:spacing w:val="-2"/>
          <w:w w:val="99"/>
          <w:sz w:val="32"/>
          <w:szCs w:val="32"/>
          <w14:textFill>
            <w14:solidFill>
              <w14:schemeClr w14:val="tx1"/>
            </w14:solidFill>
          </w14:textFill>
        </w:rPr>
        <w:t>万元，占</w:t>
      </w:r>
      <w:r>
        <w:rPr>
          <w:rFonts w:hint="eastAsia" w:cs="仿宋"/>
          <w:color w:val="000000" w:themeColor="text1"/>
          <w:spacing w:val="-2"/>
          <w:w w:val="99"/>
          <w:sz w:val="32"/>
          <w:szCs w:val="32"/>
          <w:lang w:val="en-US" w:eastAsia="zh-CN"/>
          <w14:textFill>
            <w14:solidFill>
              <w14:schemeClr w14:val="tx1"/>
            </w14:solidFill>
          </w14:textFill>
        </w:rPr>
        <w:t>16</w:t>
      </w:r>
      <w:r>
        <w:rPr>
          <w:rFonts w:hint="eastAsia" w:ascii="仿宋" w:hAnsi="仿宋" w:eastAsia="仿宋" w:cs="仿宋"/>
          <w:color w:val="000000" w:themeColor="text1"/>
          <w:spacing w:val="-2"/>
          <w:w w:val="99"/>
          <w:sz w:val="32"/>
          <w:szCs w:val="32"/>
          <w14:textFill>
            <w14:solidFill>
              <w14:schemeClr w14:val="tx1"/>
            </w14:solidFill>
          </w14:textFill>
        </w:rPr>
        <w:t>%；</w:t>
      </w:r>
      <w:r>
        <w:rPr>
          <w:rFonts w:hint="eastAsia" w:cs="仿宋"/>
          <w:color w:val="000000" w:themeColor="text1"/>
          <w:spacing w:val="-2"/>
          <w:w w:val="99"/>
          <w:sz w:val="32"/>
          <w:szCs w:val="32"/>
          <w:lang w:val="en-US" w:eastAsia="zh-CN"/>
          <w14:textFill>
            <w14:solidFill>
              <w14:schemeClr w14:val="tx1"/>
            </w14:solidFill>
          </w14:textFill>
        </w:rPr>
        <w:t>项目</w:t>
      </w:r>
      <w:r>
        <w:rPr>
          <w:rFonts w:hint="eastAsia" w:ascii="仿宋" w:hAnsi="仿宋" w:eastAsia="仿宋" w:cs="仿宋"/>
          <w:color w:val="000000" w:themeColor="text1"/>
          <w:spacing w:val="-2"/>
          <w:w w:val="99"/>
          <w:sz w:val="32"/>
          <w:szCs w:val="32"/>
          <w14:textFill>
            <w14:solidFill>
              <w14:schemeClr w14:val="tx1"/>
            </w14:solidFill>
          </w14:textFill>
        </w:rPr>
        <w:t>支出</w:t>
      </w:r>
      <w:r>
        <w:rPr>
          <w:rFonts w:hint="eastAsia" w:cs="仿宋"/>
          <w:color w:val="000000" w:themeColor="text1"/>
          <w:spacing w:val="-2"/>
          <w:w w:val="99"/>
          <w:sz w:val="32"/>
          <w:szCs w:val="32"/>
          <w:lang w:val="en-US" w:eastAsia="zh-CN"/>
          <w14:textFill>
            <w14:solidFill>
              <w14:schemeClr w14:val="tx1"/>
            </w14:solidFill>
          </w14:textFill>
        </w:rPr>
        <w:t>2784.72</w:t>
      </w:r>
      <w:r>
        <w:rPr>
          <w:rFonts w:hint="eastAsia" w:ascii="仿宋" w:hAnsi="仿宋" w:eastAsia="仿宋" w:cs="仿宋"/>
          <w:color w:val="000000" w:themeColor="text1"/>
          <w:spacing w:val="-2"/>
          <w:w w:val="99"/>
          <w:sz w:val="32"/>
          <w:szCs w:val="32"/>
          <w14:textFill>
            <w14:solidFill>
              <w14:schemeClr w14:val="tx1"/>
            </w14:solidFill>
          </w14:textFill>
        </w:rPr>
        <w:t>万元，占</w:t>
      </w:r>
      <w:r>
        <w:rPr>
          <w:rFonts w:hint="eastAsia" w:cs="仿宋"/>
          <w:color w:val="000000" w:themeColor="text1"/>
          <w:spacing w:val="-2"/>
          <w:w w:val="99"/>
          <w:sz w:val="32"/>
          <w:szCs w:val="32"/>
          <w:lang w:val="en-US" w:eastAsia="zh-CN"/>
          <w14:textFill>
            <w14:solidFill>
              <w14:schemeClr w14:val="tx1"/>
            </w14:solidFill>
          </w14:textFill>
        </w:rPr>
        <w:t>68.84</w:t>
      </w:r>
      <w:r>
        <w:rPr>
          <w:rFonts w:hint="eastAsia" w:ascii="仿宋" w:hAnsi="仿宋" w:eastAsia="仿宋" w:cs="仿宋"/>
          <w:color w:val="000000" w:themeColor="text1"/>
          <w:spacing w:val="-2"/>
          <w:w w:val="99"/>
          <w:sz w:val="32"/>
          <w:szCs w:val="32"/>
          <w14:textFill>
            <w14:solidFill>
              <w14:schemeClr w14:val="tx1"/>
            </w14:solidFill>
          </w14:textFill>
        </w:rPr>
        <w:t>%。</w:t>
      </w:r>
    </w:p>
    <w:p w14:paraId="0EBCB53F">
      <w:pPr>
        <w:pStyle w:val="11"/>
        <w:widowControl/>
        <w:autoSpaceDE/>
        <w:autoSpaceDN/>
        <w:spacing w:beforeAutospacing="0" w:afterAutospacing="0" w:line="560" w:lineRule="exact"/>
        <w:ind w:firstLine="627" w:firstLineChars="200"/>
        <w:jc w:val="both"/>
        <w:rPr>
          <w:rFonts w:ascii="Times New Roman" w:hAnsi="Times New Roman" w:eastAsia="仿宋_GB2312"/>
          <w:b/>
          <w:bCs/>
          <w:color w:val="000000" w:themeColor="text1"/>
          <w:kern w:val="2"/>
          <w:sz w:val="32"/>
          <w:szCs w:val="32"/>
          <w14:textFill>
            <w14:solidFill>
              <w14:schemeClr w14:val="tx1"/>
            </w14:solidFill>
          </w14:textFill>
        </w:rPr>
      </w:pPr>
      <w:r>
        <w:rPr>
          <w:rFonts w:hint="eastAsia" w:ascii="Times New Roman" w:hAnsi="Times New Roman" w:eastAsia="仿宋_GB2312"/>
          <w:b/>
          <w:bCs/>
          <w:color w:val="000000" w:themeColor="text1"/>
          <w:kern w:val="2"/>
          <w:sz w:val="32"/>
          <w:szCs w:val="32"/>
          <w14:textFill>
            <w14:solidFill>
              <w14:schemeClr w14:val="tx1"/>
            </w14:solidFill>
          </w14:textFill>
        </w:rPr>
        <w:t>具体安排情况如下：</w:t>
      </w:r>
    </w:p>
    <w:p w14:paraId="67F47FCE">
      <w:pPr>
        <w:pStyle w:val="11"/>
        <w:widowControl/>
        <w:autoSpaceDE/>
        <w:autoSpaceDN/>
        <w:spacing w:beforeAutospacing="0" w:afterAutospacing="0" w:line="560" w:lineRule="exact"/>
        <w:ind w:firstLine="627" w:firstLineChars="200"/>
        <w:jc w:val="both"/>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b/>
          <w:bCs/>
          <w:color w:val="000000" w:themeColor="text1"/>
          <w:kern w:val="2"/>
          <w:sz w:val="32"/>
          <w:szCs w:val="32"/>
          <w14:textFill>
            <w14:solidFill>
              <w14:schemeClr w14:val="tx1"/>
            </w14:solidFill>
          </w14:textFill>
        </w:rPr>
        <w:t>（一）基本支出：</w:t>
      </w:r>
      <w:r>
        <w:rPr>
          <w:rFonts w:hint="eastAsia" w:ascii="仿宋" w:hAnsi="仿宋" w:eastAsia="仿宋" w:cs="仿宋"/>
          <w:color w:val="000000" w:themeColor="text1"/>
          <w:spacing w:val="-2"/>
          <w:w w:val="99"/>
          <w:sz w:val="32"/>
          <w:szCs w:val="32"/>
          <w14:textFill>
            <w14:solidFill>
              <w14:schemeClr w14:val="tx1"/>
            </w14:solidFill>
          </w14:textFill>
        </w:rPr>
        <w:t>2023年部门基本支出</w:t>
      </w:r>
      <w:r>
        <w:rPr>
          <w:rFonts w:hint="eastAsia" w:cs="仿宋"/>
          <w:color w:val="000000" w:themeColor="text1"/>
          <w:spacing w:val="-2"/>
          <w:w w:val="99"/>
          <w:sz w:val="32"/>
          <w:szCs w:val="32"/>
          <w:lang w:val="en-US" w:eastAsia="zh-CN"/>
          <w14:textFill>
            <w14:solidFill>
              <w14:schemeClr w14:val="tx1"/>
            </w14:solidFill>
          </w14:textFill>
        </w:rPr>
        <w:t>决</w:t>
      </w:r>
      <w:r>
        <w:rPr>
          <w:rFonts w:hint="eastAsia" w:ascii="仿宋" w:hAnsi="仿宋" w:eastAsia="仿宋" w:cs="仿宋"/>
          <w:color w:val="000000" w:themeColor="text1"/>
          <w:spacing w:val="-2"/>
          <w:w w:val="99"/>
          <w:sz w:val="32"/>
          <w:szCs w:val="32"/>
          <w14:textFill>
            <w14:solidFill>
              <w14:schemeClr w14:val="tx1"/>
            </w14:solidFill>
          </w14:textFill>
        </w:rPr>
        <w:t>算数</w:t>
      </w:r>
      <w:r>
        <w:rPr>
          <w:rFonts w:hint="eastAsia" w:cs="仿宋"/>
          <w:color w:val="000000" w:themeColor="text1"/>
          <w:spacing w:val="-2"/>
          <w:w w:val="99"/>
          <w:sz w:val="32"/>
          <w:szCs w:val="32"/>
          <w:lang w:val="en-US" w:eastAsia="zh-CN"/>
          <w14:textFill>
            <w14:solidFill>
              <w14:schemeClr w14:val="tx1"/>
            </w14:solidFill>
          </w14:textFill>
        </w:rPr>
        <w:t>530.55</w:t>
      </w:r>
      <w:r>
        <w:rPr>
          <w:rFonts w:hint="eastAsia" w:ascii="仿宋" w:hAnsi="仿宋" w:eastAsia="仿宋" w:cs="仿宋"/>
          <w:color w:val="000000" w:themeColor="text1"/>
          <w:spacing w:val="-2"/>
          <w:w w:val="99"/>
          <w:sz w:val="32"/>
          <w:szCs w:val="32"/>
          <w14:textFill>
            <w14:solidFill>
              <w14:schemeClr w14:val="tx1"/>
            </w14:solidFill>
          </w14:textFill>
        </w:rPr>
        <w:t>万元，主要是为保障部门正常运转、完成日常工作任务而发生的各项支出，包括用于基本工资、津贴补贴等人员经费以及办公费、印刷费、水电费、办公设备购置等公用经费。</w:t>
      </w:r>
      <w:r>
        <w:rPr>
          <w:rFonts w:hint="eastAsia" w:ascii="Times New Roman" w:hAnsi="Times New Roman" w:eastAsia="仿宋_GB2312"/>
          <w:color w:val="000000" w:themeColor="text1"/>
          <w:kern w:val="2"/>
          <w:sz w:val="32"/>
          <w:szCs w:val="32"/>
          <w14:textFill>
            <w14:solidFill>
              <w14:schemeClr w14:val="tx1"/>
            </w14:solidFill>
          </w14:textFill>
        </w:rPr>
        <w:t> </w:t>
      </w:r>
    </w:p>
    <w:p w14:paraId="146D64A5">
      <w:pPr>
        <w:pStyle w:val="11"/>
        <w:widowControl/>
        <w:autoSpaceDE/>
        <w:autoSpaceDN/>
        <w:spacing w:beforeAutospacing="0" w:afterAutospacing="0" w:line="560" w:lineRule="exact"/>
        <w:ind w:firstLine="627" w:firstLineChars="200"/>
        <w:jc w:val="both"/>
        <w:rPr>
          <w:rFonts w:hint="default" w:ascii="仿宋" w:hAnsi="仿宋" w:eastAsia="仿宋" w:cs="仿宋"/>
          <w:color w:val="000000" w:themeColor="text1"/>
          <w:spacing w:val="-2"/>
          <w:w w:val="99"/>
          <w:sz w:val="32"/>
          <w:szCs w:val="32"/>
          <w:lang w:val="en-US" w:eastAsia="zh-CN"/>
          <w14:textFill>
            <w14:solidFill>
              <w14:schemeClr w14:val="tx1"/>
            </w14:solidFill>
          </w14:textFill>
        </w:rPr>
      </w:pPr>
      <w:r>
        <w:rPr>
          <w:rFonts w:hint="eastAsia" w:ascii="Times New Roman" w:hAnsi="Times New Roman" w:eastAsia="仿宋_GB2312"/>
          <w:b/>
          <w:bCs/>
          <w:color w:val="000000" w:themeColor="text1"/>
          <w:kern w:val="2"/>
          <w:sz w:val="32"/>
          <w:szCs w:val="32"/>
          <w14:textFill>
            <w14:solidFill>
              <w14:schemeClr w14:val="tx1"/>
            </w14:solidFill>
          </w14:textFill>
        </w:rPr>
        <w:t>（二）项目支出：</w:t>
      </w:r>
      <w:r>
        <w:rPr>
          <w:rFonts w:hint="eastAsia" w:ascii="仿宋" w:hAnsi="仿宋" w:eastAsia="仿宋" w:cs="仿宋"/>
          <w:color w:val="000000" w:themeColor="text1"/>
          <w:spacing w:val="-2"/>
          <w:w w:val="99"/>
          <w:sz w:val="32"/>
          <w:szCs w:val="32"/>
          <w14:textFill>
            <w14:solidFill>
              <w14:schemeClr w14:val="tx1"/>
            </w14:solidFill>
          </w14:textFill>
        </w:rPr>
        <w:t>2023年部门</w:t>
      </w:r>
      <w:r>
        <w:rPr>
          <w:rFonts w:hint="eastAsia" w:cs="仿宋"/>
          <w:color w:val="000000" w:themeColor="text1"/>
          <w:spacing w:val="-2"/>
          <w:w w:val="99"/>
          <w:sz w:val="32"/>
          <w:szCs w:val="32"/>
          <w:lang w:val="en-US" w:eastAsia="zh-CN"/>
          <w14:textFill>
            <w14:solidFill>
              <w14:schemeClr w14:val="tx1"/>
            </w14:solidFill>
          </w14:textFill>
        </w:rPr>
        <w:t>决算</w:t>
      </w:r>
      <w:r>
        <w:rPr>
          <w:rFonts w:hint="eastAsia" w:ascii="仿宋" w:hAnsi="仿宋" w:eastAsia="仿宋" w:cs="仿宋"/>
          <w:color w:val="000000" w:themeColor="text1"/>
          <w:spacing w:val="-2"/>
          <w:w w:val="99"/>
          <w:sz w:val="32"/>
          <w:szCs w:val="32"/>
          <w14:textFill>
            <w14:solidFill>
              <w14:schemeClr w14:val="tx1"/>
            </w14:solidFill>
          </w14:textFill>
        </w:rPr>
        <w:t>项目支出</w:t>
      </w:r>
      <w:r>
        <w:rPr>
          <w:rFonts w:hint="eastAsia" w:cs="仿宋"/>
          <w:color w:val="000000" w:themeColor="text1"/>
          <w:spacing w:val="-2"/>
          <w:w w:val="99"/>
          <w:sz w:val="32"/>
          <w:szCs w:val="32"/>
          <w:lang w:val="en-US" w:eastAsia="zh-CN"/>
          <w14:textFill>
            <w14:solidFill>
              <w14:schemeClr w14:val="tx1"/>
            </w14:solidFill>
          </w14:textFill>
        </w:rPr>
        <w:t>数2784.72</w:t>
      </w:r>
      <w:r>
        <w:rPr>
          <w:rFonts w:hint="eastAsia" w:ascii="仿宋" w:hAnsi="仿宋" w:eastAsia="仿宋" w:cs="仿宋"/>
          <w:color w:val="000000" w:themeColor="text1"/>
          <w:spacing w:val="-2"/>
          <w:w w:val="99"/>
          <w:sz w:val="32"/>
          <w:szCs w:val="32"/>
          <w14:textFill>
            <w14:solidFill>
              <w14:schemeClr w14:val="tx1"/>
            </w14:solidFill>
          </w14:textFill>
        </w:rPr>
        <w:t>万元，</w:t>
      </w:r>
      <w:r>
        <w:rPr>
          <w:rFonts w:hint="eastAsia" w:cs="仿宋"/>
          <w:color w:val="000000" w:themeColor="text1"/>
          <w:spacing w:val="-2"/>
          <w:w w:val="99"/>
          <w:sz w:val="32"/>
          <w:szCs w:val="32"/>
          <w:lang w:val="en-US" w:eastAsia="zh-CN"/>
          <w14:textFill>
            <w14:solidFill>
              <w14:schemeClr w14:val="tx1"/>
            </w14:solidFill>
          </w14:textFill>
        </w:rPr>
        <w:t>其中农产品质量安全100.74万元，病虫害控制79.73万元，农村基础设施建设200万元，水利工程建设29.9万元，其他粮油物资事务支出13.97万元，农业资源保护修复与利用107.19万元，其他农业农村支出207.47万元，农田建设530.51万元，其他交通运输支出45万元，其他农林水支出328.78万元，其他目标价格补贴43.88万元，农村社会事业支出10万元，渔业发展支出150万元，农产品加工与促销35万元，农村合作经济104.95万元，农业生产发展737.6万元，农业结构调整补贴60万元。</w:t>
      </w:r>
    </w:p>
    <w:p w14:paraId="3A681F18">
      <w:pPr>
        <w:pStyle w:val="6"/>
        <w:bidi w:val="0"/>
        <w:ind w:left="0" w:leftChars="0" w:firstLine="627" w:firstLineChars="200"/>
        <w:jc w:val="both"/>
        <w:rPr>
          <w:rFonts w:hint="eastAsia"/>
          <w:lang w:val="en-US" w:eastAsia="zh-CN"/>
        </w:rPr>
      </w:pPr>
      <w:r>
        <w:rPr>
          <w:rFonts w:hint="eastAsia"/>
          <w:lang w:val="en-US" w:eastAsia="zh-CN"/>
        </w:rPr>
        <w:t>三、政府性基金预算支出情况</w:t>
      </w:r>
    </w:p>
    <w:p w14:paraId="03D10910">
      <w:pPr>
        <w:pStyle w:val="6"/>
        <w:bidi w:val="0"/>
        <w:jc w:val="both"/>
        <w:rPr>
          <w:rFonts w:hint="eastAsia"/>
          <w:b w:val="0"/>
          <w:bCs w:val="0"/>
          <w:lang w:val="en-US" w:eastAsia="zh-CN"/>
        </w:rPr>
      </w:pPr>
      <w:r>
        <w:rPr>
          <w:rFonts w:hint="eastAsia"/>
          <w:b w:val="0"/>
          <w:bCs w:val="0"/>
          <w:lang w:val="en-US" w:eastAsia="zh-CN"/>
        </w:rPr>
        <w:t>无</w:t>
      </w:r>
    </w:p>
    <w:p w14:paraId="2E65EA0B">
      <w:pPr>
        <w:pStyle w:val="6"/>
        <w:bidi w:val="0"/>
        <w:jc w:val="both"/>
        <w:rPr>
          <w:rFonts w:hint="eastAsia"/>
          <w:lang w:val="en-US" w:eastAsia="zh-CN"/>
        </w:rPr>
      </w:pPr>
      <w:r>
        <w:rPr>
          <w:rFonts w:hint="eastAsia"/>
          <w:lang w:val="en-US" w:eastAsia="zh-CN"/>
        </w:rPr>
        <w:t>四、国有资本经营预算支出情况</w:t>
      </w:r>
    </w:p>
    <w:p w14:paraId="3A6C47D3">
      <w:pPr>
        <w:pStyle w:val="6"/>
        <w:bidi w:val="0"/>
        <w:jc w:val="both"/>
        <w:rPr>
          <w:rFonts w:hint="eastAsia"/>
          <w:b w:val="0"/>
          <w:bCs w:val="0"/>
          <w:lang w:val="en-US" w:eastAsia="zh-CN"/>
        </w:rPr>
      </w:pPr>
      <w:r>
        <w:rPr>
          <w:rFonts w:hint="eastAsia"/>
          <w:b w:val="0"/>
          <w:bCs w:val="0"/>
          <w:lang w:val="en-US" w:eastAsia="zh-CN"/>
        </w:rPr>
        <w:t>无</w:t>
      </w:r>
    </w:p>
    <w:p w14:paraId="3ED00A00">
      <w:pPr>
        <w:pStyle w:val="6"/>
        <w:bidi w:val="0"/>
        <w:jc w:val="both"/>
        <w:rPr>
          <w:rFonts w:hint="eastAsia"/>
          <w:lang w:val="en-US" w:eastAsia="zh-CN"/>
        </w:rPr>
      </w:pPr>
      <w:r>
        <w:rPr>
          <w:rFonts w:hint="eastAsia"/>
          <w:lang w:val="en-US" w:eastAsia="zh-CN"/>
        </w:rPr>
        <w:t>五、社会保险基金预算支出情况</w:t>
      </w:r>
    </w:p>
    <w:p w14:paraId="6A0CAB93">
      <w:pPr>
        <w:pStyle w:val="6"/>
        <w:bidi w:val="0"/>
        <w:jc w:val="both"/>
        <w:rPr>
          <w:rFonts w:hint="eastAsia"/>
          <w:b w:val="0"/>
          <w:bCs w:val="0"/>
          <w:lang w:val="en-US" w:eastAsia="zh-CN"/>
        </w:rPr>
      </w:pPr>
      <w:r>
        <w:rPr>
          <w:rFonts w:hint="eastAsia"/>
          <w:b w:val="0"/>
          <w:bCs w:val="0"/>
          <w:lang w:val="en-US" w:eastAsia="zh-CN"/>
        </w:rPr>
        <w:t>无</w:t>
      </w:r>
    </w:p>
    <w:p w14:paraId="1A8C799C">
      <w:pPr>
        <w:pStyle w:val="6"/>
        <w:bidi w:val="0"/>
        <w:spacing w:line="360" w:lineRule="auto"/>
        <w:jc w:val="both"/>
        <w:rPr>
          <w:rFonts w:hint="eastAsia"/>
          <w:lang w:val="en-US" w:eastAsia="zh-CN"/>
        </w:rPr>
      </w:pPr>
      <w:r>
        <w:rPr>
          <w:rFonts w:hint="eastAsia"/>
          <w:lang w:val="en-US" w:eastAsia="zh-CN"/>
        </w:rPr>
        <w:t>六、部门整体支出绩效情况</w:t>
      </w:r>
    </w:p>
    <w:p w14:paraId="47271D3F">
      <w:pPr>
        <w:bidi w:val="0"/>
        <w:spacing w:line="360" w:lineRule="auto"/>
        <w:jc w:val="both"/>
        <w:rPr>
          <w:rFonts w:hint="eastAsia"/>
          <w:lang w:val="en-US" w:eastAsia="zh-CN"/>
        </w:rPr>
      </w:pPr>
      <w:r>
        <w:rPr>
          <w:rFonts w:hint="eastAsia"/>
          <w:lang w:val="en-US" w:eastAsia="zh-CN"/>
        </w:rPr>
        <w:t>根据《中共湖南省委办公厅湖南省人民政府办公厅关于全面实施预算绩效管理的实施意见》（湘办发〔2019〕10号）、《湖南省预算支出绩效评价管理办法》（湘财绩〔2020〕7号）等文件精神，现就做好2023年度财政支出绩效自评工作有关事项，我局高度重视，统一安排部署，由财务牵头负责2023年整体支出绩效目标管理推进，相关各股室、各站办（中心）配合绩效自评工作。结合单位实际绩效目标工作做到科学规划、分步实施、有序推进。项目单位均按要求对项目建设、专项资金使用及项目绩效情况进行了自评。</w:t>
      </w:r>
    </w:p>
    <w:p w14:paraId="012C0767">
      <w:pPr>
        <w:spacing w:line="360" w:lineRule="auto"/>
        <w:jc w:val="both"/>
        <w:rPr>
          <w:rFonts w:hint="eastAsia" w:ascii="仿宋" w:hAnsi="仿宋" w:eastAsia="仿宋" w:cs="仿宋"/>
          <w:b/>
          <w:bCs/>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2"/>
          <w:w w:val="99"/>
          <w:sz w:val="32"/>
          <w:szCs w:val="32"/>
          <w:lang w:val="en-US" w:eastAsia="zh-CN" w:bidi="ar-SA"/>
          <w14:textFill>
            <w14:solidFill>
              <w14:schemeClr w14:val="tx1"/>
            </w14:solidFill>
          </w14:textFill>
        </w:rPr>
        <w:t>(一)资金管理</w:t>
      </w:r>
    </w:p>
    <w:p w14:paraId="1EEA74C2">
      <w:pPr>
        <w:spacing w:line="360" w:lineRule="auto"/>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 xml:space="preserve">严格按要求，切实加强部门预算支出执行管理工作。2023 年“三公”经费支出 </w:t>
      </w:r>
      <w:r>
        <w:rPr>
          <w:rFonts w:hint="eastAsia" w:cs="仿宋"/>
          <w:color w:val="000000" w:themeColor="text1"/>
          <w:spacing w:val="-2"/>
          <w:w w:val="99"/>
          <w:sz w:val="32"/>
          <w:szCs w:val="32"/>
          <w:lang w:val="en-US" w:eastAsia="zh-CN" w:bidi="ar-SA"/>
          <w14:textFill>
            <w14:solidFill>
              <w14:schemeClr w14:val="tx1"/>
            </w14:solidFill>
          </w14:textFill>
        </w:rPr>
        <w:t>2.04</w:t>
      </w: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万元，与去年</w:t>
      </w:r>
      <w:r>
        <w:rPr>
          <w:rFonts w:hint="eastAsia" w:cs="仿宋"/>
          <w:color w:val="000000" w:themeColor="text1"/>
          <w:spacing w:val="-2"/>
          <w:w w:val="99"/>
          <w:sz w:val="32"/>
          <w:szCs w:val="32"/>
          <w:lang w:val="en-US" w:eastAsia="zh-CN" w:bidi="ar-SA"/>
          <w14:textFill>
            <w14:solidFill>
              <w14:schemeClr w14:val="tx1"/>
            </w14:solidFill>
          </w14:textFill>
        </w:rPr>
        <w:t>递减</w:t>
      </w: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w:t>
      </w:r>
    </w:p>
    <w:p w14:paraId="24AC9964">
      <w:pPr>
        <w:spacing w:line="360" w:lineRule="auto"/>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本部门管理制度健全，有财务管理制度、政府采购内控领用管理制度，厉行节约制度、公车管理、公务接待等相关管理制度，各项制度合法、合规、完整，并得到有效执行。预决算信息在政府门户网站有效公开，做到基础数据信息和会计资料真实、完整、准确。支出符合国家财经法规和财务管理制度规定以及有关专项资金管理办法;资金拨付有完整的审批程序和手续;项目支出按规定经过评估论证;支出符合部门预算批复的用途，均实行专项管理、专款专用;资金使用无截留、挤占、挪用、虚列支出等情况。</w:t>
      </w:r>
      <w:bookmarkStart w:id="0" w:name="_GoBack"/>
      <w:bookmarkEnd w:id="0"/>
    </w:p>
    <w:p w14:paraId="6E5A1773">
      <w:pPr>
        <w:spacing w:line="360" w:lineRule="auto"/>
        <w:jc w:val="both"/>
        <w:rPr>
          <w:rFonts w:hint="eastAsia" w:ascii="仿宋" w:hAnsi="仿宋" w:eastAsia="仿宋" w:cs="仿宋"/>
          <w:b/>
          <w:bCs/>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2"/>
          <w:w w:val="99"/>
          <w:sz w:val="32"/>
          <w:szCs w:val="32"/>
          <w:lang w:val="en-US" w:eastAsia="zh-CN" w:bidi="ar-SA"/>
          <w14:textFill>
            <w14:solidFill>
              <w14:schemeClr w14:val="tx1"/>
            </w14:solidFill>
          </w14:textFill>
        </w:rPr>
        <w:t>(二)资产管理</w:t>
      </w:r>
    </w:p>
    <w:p w14:paraId="13AEC809">
      <w:pPr>
        <w:spacing w:line="360" w:lineRule="auto"/>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所有资产建立健全登记制度，专人管理，定期盘点。资产由办公室负责保管，财务负责资产登记、卡片录入及监督工作。资产购置由各业务科室根据年度预算提出申请，按照政府采购规定程序进行政府采购。如有报损报废等情况，由资产管理员整理好相关资料，报国资局按程序进行处理。</w:t>
      </w:r>
    </w:p>
    <w:p w14:paraId="338760B9">
      <w:pPr>
        <w:spacing w:line="360" w:lineRule="auto"/>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单位截止2023年12月31日止固定资产期末账面原值100.33万元，累计折旧86.91万元，账面净值13.42万元。</w:t>
      </w:r>
    </w:p>
    <w:p w14:paraId="25C65820">
      <w:pPr>
        <w:spacing w:line="360" w:lineRule="auto"/>
        <w:jc w:val="both"/>
        <w:rPr>
          <w:rFonts w:hint="eastAsia" w:ascii="仿宋" w:hAnsi="仿宋" w:eastAsia="仿宋" w:cs="仿宋"/>
          <w:b/>
          <w:bCs/>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b/>
          <w:bCs/>
          <w:color w:val="000000" w:themeColor="text1"/>
          <w:spacing w:val="-2"/>
          <w:w w:val="99"/>
          <w:sz w:val="32"/>
          <w:szCs w:val="32"/>
          <w:lang w:val="en-US" w:eastAsia="zh-CN" w:bidi="ar-SA"/>
          <w14:textFill>
            <w14:solidFill>
              <w14:schemeClr w14:val="tx1"/>
            </w14:solidFill>
          </w14:textFill>
        </w:rPr>
        <w:t>(三)预算支出公共专项开展情况</w:t>
      </w:r>
    </w:p>
    <w:p w14:paraId="6A9889EB">
      <w:pPr>
        <w:spacing w:line="360" w:lineRule="auto"/>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2023年我局严格按照项目规划和预算分配使用资金。在过去的一年中，我局共实施了</w:t>
      </w:r>
      <w:r>
        <w:rPr>
          <w:rFonts w:hint="eastAsia" w:cs="仿宋"/>
          <w:color w:val="000000" w:themeColor="text1"/>
          <w:spacing w:val="-2"/>
          <w:w w:val="99"/>
          <w:sz w:val="32"/>
          <w:szCs w:val="32"/>
          <w:lang w:val="en-US" w:eastAsia="zh-CN" w:bidi="ar-SA"/>
          <w14:textFill>
            <w14:solidFill>
              <w14:schemeClr w14:val="tx1"/>
            </w14:solidFill>
          </w14:textFill>
        </w:rPr>
        <w:t>50</w:t>
      </w: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个左右的农业项目，涵盖了中央农田建设补助资金、受污染耕地安全利用补助资金、农业产业融合发展项目资金、非脱贫地区农产品产地冷藏保鲜设施建设等多个领域。项目支出全年预算数</w:t>
      </w:r>
      <w:r>
        <w:rPr>
          <w:rFonts w:hint="eastAsia" w:cs="仿宋"/>
          <w:color w:val="000000" w:themeColor="text1"/>
          <w:spacing w:val="-2"/>
          <w:w w:val="99"/>
          <w:sz w:val="32"/>
          <w:szCs w:val="32"/>
          <w:lang w:val="en-US" w:eastAsia="zh-CN" w:bidi="ar-SA"/>
          <w14:textFill>
            <w14:solidFill>
              <w14:schemeClr w14:val="tx1"/>
            </w14:solidFill>
          </w14:textFill>
        </w:rPr>
        <w:t>2784.72</w:t>
      </w: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万元。</w:t>
      </w:r>
    </w:p>
    <w:p w14:paraId="4A19B710">
      <w:pPr>
        <w:pStyle w:val="2"/>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Times New Roman" w:hAnsi="Times New Roman" w:eastAsia="仿宋_GB2312" w:cs="仿宋"/>
          <w:b/>
          <w:bCs/>
          <w:color w:val="000000" w:themeColor="text1"/>
          <w:spacing w:val="-2"/>
          <w:w w:val="99"/>
          <w:kern w:val="2"/>
          <w:sz w:val="32"/>
          <w:szCs w:val="32"/>
          <w:lang w:val="en-US" w:eastAsia="zh-CN" w:bidi="ar-SA"/>
          <w14:textFill>
            <w14:solidFill>
              <w14:schemeClr w14:val="tx1"/>
            </w14:solidFill>
          </w14:textFill>
        </w:rPr>
        <w:t>农产品质量安全100.74万元。</w:t>
      </w: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用于农产品质量安全定量检测300个样，宣传《中华人民共和国种子法》。</w:t>
      </w:r>
    </w:p>
    <w:p w14:paraId="71F1A718">
      <w:pPr>
        <w:pStyle w:val="6"/>
        <w:numPr>
          <w:ilvl w:val="0"/>
          <w:numId w:val="0"/>
        </w:numPr>
        <w:spacing w:line="540" w:lineRule="exact"/>
        <w:ind w:firstLine="627" w:firstLineChars="200"/>
        <w:jc w:val="both"/>
        <w:rPr>
          <w:rFonts w:hint="eastAsia" w:cs="仿宋"/>
          <w:color w:val="000000" w:themeColor="text1"/>
          <w:spacing w:val="-2"/>
          <w:w w:val="99"/>
          <w:sz w:val="32"/>
          <w:szCs w:val="32"/>
          <w:lang w:val="en-US" w:eastAsia="zh-CN"/>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病虫害控制79.73万元。</w:t>
      </w:r>
      <w:r>
        <w:rPr>
          <w:rFonts w:hint="eastAsia" w:ascii="仿宋" w:hAnsi="仿宋" w:eastAsia="仿宋" w:cs="仿宋"/>
          <w:b w:val="0"/>
          <w:bCs w:val="0"/>
          <w:color w:val="000000" w:themeColor="text1"/>
          <w:spacing w:val="-2"/>
          <w:w w:val="99"/>
          <w14:textFill>
            <w14:solidFill>
              <w14:schemeClr w14:val="tx1"/>
            </w14:solidFill>
          </w14:textFill>
        </w:rPr>
        <w:t>用于</w:t>
      </w:r>
      <w:r>
        <w:rPr>
          <w:rFonts w:hint="eastAsia" w:ascii="仿宋" w:hAnsi="仿宋" w:eastAsia="仿宋" w:cs="仿宋"/>
          <w:b w:val="0"/>
          <w:bCs w:val="0"/>
          <w:color w:val="000000" w:themeColor="text1"/>
          <w:spacing w:val="-2"/>
          <w:w w:val="99"/>
          <w:sz w:val="32"/>
          <w:szCs w:val="32"/>
          <w14:textFill>
            <w14:solidFill>
              <w14:schemeClr w14:val="tx1"/>
            </w14:solidFill>
          </w14:textFill>
        </w:rPr>
        <w:t>对</w:t>
      </w:r>
      <w:r>
        <w:rPr>
          <w:rFonts w:hint="eastAsia" w:ascii="仿宋" w:hAnsi="仿宋" w:eastAsia="仿宋" w:cs="仿宋"/>
          <w:b w:val="0"/>
          <w:bCs w:val="0"/>
          <w:color w:val="000000" w:themeColor="text1"/>
          <w:spacing w:val="-2"/>
          <w:w w:val="99"/>
          <w:sz w:val="32"/>
          <w:szCs w:val="32"/>
          <w:lang w:val="en-US" w:eastAsia="zh-CN"/>
          <w14:textFill>
            <w14:solidFill>
              <w14:schemeClr w14:val="tx1"/>
            </w14:solidFill>
          </w14:textFill>
        </w:rPr>
        <w:t>全区</w:t>
      </w:r>
      <w:r>
        <w:rPr>
          <w:rFonts w:hint="eastAsia" w:ascii="仿宋" w:hAnsi="仿宋" w:eastAsia="仿宋" w:cs="仿宋"/>
          <w:b w:val="0"/>
          <w:bCs w:val="0"/>
          <w:color w:val="000000" w:themeColor="text1"/>
          <w:spacing w:val="-2"/>
          <w:w w:val="99"/>
          <w:sz w:val="32"/>
          <w:szCs w:val="32"/>
          <w14:textFill>
            <w14:solidFill>
              <w14:schemeClr w14:val="tx1"/>
            </w14:solidFill>
          </w14:textFill>
        </w:rPr>
        <w:t>生猪无害化进行日常监督检查，做到全区病死畜禽统一收集，密闭运输，集中处理；发放免疫劳务补助</w:t>
      </w:r>
      <w:r>
        <w:rPr>
          <w:rFonts w:hint="eastAsia" w:ascii="仿宋" w:hAnsi="仿宋" w:eastAsia="仿宋" w:cs="仿宋"/>
          <w:b w:val="0"/>
          <w:bCs w:val="0"/>
          <w:color w:val="000000" w:themeColor="text1"/>
          <w:spacing w:val="-2"/>
          <w:w w:val="99"/>
          <w:sz w:val="32"/>
          <w:szCs w:val="32"/>
          <w:lang w:val="en-US" w:eastAsia="zh-CN"/>
          <w14:textFill>
            <w14:solidFill>
              <w14:schemeClr w14:val="tx1"/>
            </w14:solidFill>
          </w14:textFill>
        </w:rPr>
        <w:t>及</w:t>
      </w:r>
      <w:r>
        <w:rPr>
          <w:rFonts w:hint="eastAsia" w:ascii="仿宋" w:hAnsi="仿宋" w:eastAsia="仿宋" w:cs="仿宋"/>
          <w:b w:val="0"/>
          <w:bCs w:val="0"/>
          <w:color w:val="000000" w:themeColor="text1"/>
          <w:spacing w:val="-2"/>
          <w:w w:val="99"/>
          <w:lang w:val="en-US" w:eastAsia="zh-CN"/>
          <w14:textFill>
            <w14:solidFill>
              <w14:schemeClr w14:val="tx1"/>
            </w14:solidFill>
          </w14:textFill>
        </w:rPr>
        <w:t>购买防疫物资，发放各乡镇、街道疫苗接种补助</w:t>
      </w:r>
      <w:r>
        <w:rPr>
          <w:rFonts w:hint="eastAsia" w:ascii="仿宋" w:hAnsi="仿宋" w:eastAsia="仿宋" w:cs="仿宋"/>
          <w:b w:val="0"/>
          <w:bCs w:val="0"/>
          <w:color w:val="000000" w:themeColor="text1"/>
          <w:spacing w:val="-2"/>
          <w:w w:val="99"/>
          <w:sz w:val="32"/>
          <w:szCs w:val="32"/>
          <w14:textFill>
            <w14:solidFill>
              <w14:schemeClr w14:val="tx1"/>
            </w14:solidFill>
          </w14:textFill>
        </w:rPr>
        <w:t>等</w:t>
      </w:r>
      <w:r>
        <w:rPr>
          <w:rFonts w:hint="eastAsia" w:ascii="仿宋" w:hAnsi="仿宋" w:eastAsia="仿宋" w:cs="仿宋"/>
          <w:b w:val="0"/>
          <w:bCs w:val="0"/>
          <w:color w:val="000000" w:themeColor="text1"/>
          <w:spacing w:val="-2"/>
          <w:w w:val="99"/>
          <w:sz w:val="32"/>
          <w:szCs w:val="32"/>
          <w:lang w:eastAsia="zh-CN"/>
          <w14:textFill>
            <w14:solidFill>
              <w14:schemeClr w14:val="tx1"/>
            </w14:solidFill>
          </w14:textFill>
        </w:rPr>
        <w:t>。</w:t>
      </w:r>
    </w:p>
    <w:p w14:paraId="5B04C992">
      <w:pPr>
        <w:pStyle w:val="6"/>
        <w:numPr>
          <w:ilvl w:val="0"/>
          <w:numId w:val="0"/>
        </w:numPr>
        <w:spacing w:line="540" w:lineRule="exact"/>
        <w:ind w:firstLine="627" w:firstLineChars="200"/>
        <w:jc w:val="both"/>
        <w:rPr>
          <w:rFonts w:hint="eastAsia" w:ascii="仿宋" w:hAnsi="仿宋" w:eastAsia="仿宋" w:cs="仿宋"/>
          <w:b w:val="0"/>
          <w:bCs w:val="0"/>
          <w:color w:val="000000" w:themeColor="text1"/>
          <w:spacing w:val="-2"/>
          <w:w w:val="99"/>
          <w:lang w:eastAsia="zh-CN"/>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农村农田水利工程建设基础设施建设760.41万元。</w:t>
      </w:r>
      <w:r>
        <w:rPr>
          <w:rFonts w:hint="eastAsia" w:ascii="仿宋" w:hAnsi="仿宋" w:eastAsia="仿宋" w:cs="仿宋"/>
          <w:b w:val="0"/>
          <w:bCs w:val="0"/>
          <w:color w:val="000000" w:themeColor="text1"/>
          <w:spacing w:val="-2"/>
          <w:w w:val="99"/>
          <w:sz w:val="32"/>
          <w:szCs w:val="32"/>
          <w14:textFill>
            <w14:solidFill>
              <w14:schemeClr w14:val="tx1"/>
            </w14:solidFill>
          </w14:textFill>
        </w:rPr>
        <w:t>用于建设高标准农田新建面积4800亩，山塘10座、渠道2km，机耕路2km。</w:t>
      </w:r>
    </w:p>
    <w:p w14:paraId="58487D73">
      <w:pPr>
        <w:pStyle w:val="6"/>
        <w:numPr>
          <w:ilvl w:val="0"/>
          <w:numId w:val="0"/>
        </w:numPr>
        <w:spacing w:line="540" w:lineRule="exact"/>
        <w:ind w:firstLine="627" w:firstLineChars="200"/>
        <w:jc w:val="both"/>
        <w:rPr>
          <w:rFonts w:hint="eastAsia" w:ascii="仿宋" w:hAnsi="仿宋" w:eastAsia="仿宋" w:cs="仿宋"/>
          <w:b w:val="0"/>
          <w:bCs w:val="0"/>
          <w:color w:val="000000" w:themeColor="text1"/>
          <w:spacing w:val="-2"/>
          <w:w w:val="99"/>
          <w:lang w:val="en-US" w:eastAsia="zh-CN"/>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农业生产发展及粮油物资事务支出795.45万元。</w:t>
      </w:r>
      <w:r>
        <w:rPr>
          <w:rFonts w:hint="eastAsia" w:ascii="仿宋" w:hAnsi="仿宋" w:eastAsia="仿宋" w:cs="仿宋"/>
          <w:b w:val="0"/>
          <w:bCs w:val="0"/>
          <w:color w:val="000000" w:themeColor="text1"/>
          <w:spacing w:val="-2"/>
          <w:w w:val="99"/>
          <w:lang w:val="en-US" w:eastAsia="zh-CN"/>
          <w14:textFill>
            <w14:solidFill>
              <w14:schemeClr w14:val="tx1"/>
            </w14:solidFill>
          </w14:textFill>
        </w:rPr>
        <w:t>用于种粮户补贴。</w:t>
      </w:r>
    </w:p>
    <w:p w14:paraId="30D4F02D">
      <w:pPr>
        <w:pStyle w:val="6"/>
        <w:numPr>
          <w:ilvl w:val="0"/>
          <w:numId w:val="0"/>
        </w:numPr>
        <w:spacing w:line="540" w:lineRule="exact"/>
        <w:ind w:firstLine="627" w:firstLineChars="200"/>
        <w:jc w:val="both"/>
        <w:rPr>
          <w:rFonts w:hint="eastAsia" w:cs="仿宋"/>
          <w:color w:val="000000" w:themeColor="text1"/>
          <w:spacing w:val="-2"/>
          <w:w w:val="99"/>
          <w:sz w:val="32"/>
          <w:szCs w:val="32"/>
          <w:lang w:val="en-US" w:eastAsia="zh-CN"/>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农业资源保护修复与利用167.19万元。</w:t>
      </w:r>
      <w:r>
        <w:rPr>
          <w:rFonts w:hint="eastAsia" w:ascii="仿宋" w:hAnsi="仿宋" w:eastAsia="仿宋" w:cs="仿宋"/>
          <w:b w:val="0"/>
          <w:bCs w:val="0"/>
          <w:color w:val="000000" w:themeColor="text1"/>
          <w:spacing w:val="-2"/>
          <w:w w:val="99"/>
          <w14:textFill>
            <w14:solidFill>
              <w14:schemeClr w14:val="tx1"/>
            </w14:solidFill>
          </w14:textFill>
        </w:rPr>
        <w:t>用于</w:t>
      </w:r>
      <w:r>
        <w:rPr>
          <w:rFonts w:hint="eastAsia" w:ascii="仿宋" w:hAnsi="仿宋" w:eastAsia="仿宋" w:cs="仿宋"/>
          <w:b w:val="0"/>
          <w:bCs w:val="0"/>
          <w:color w:val="000000" w:themeColor="text1"/>
          <w:spacing w:val="-2"/>
          <w:w w:val="99"/>
          <w:lang w:val="en-US" w:eastAsia="zh-CN"/>
          <w14:textFill>
            <w14:solidFill>
              <w14:schemeClr w14:val="tx1"/>
            </w14:solidFill>
          </w14:textFill>
        </w:rPr>
        <w:t>茶山坳镇、东阳渡街道</w:t>
      </w:r>
      <w:r>
        <w:rPr>
          <w:rFonts w:hint="eastAsia" w:ascii="仿宋" w:hAnsi="仿宋" w:eastAsia="仿宋" w:cs="仿宋"/>
          <w:b w:val="0"/>
          <w:bCs w:val="0"/>
          <w:color w:val="000000" w:themeColor="text1"/>
          <w:spacing w:val="-2"/>
          <w:w w:val="99"/>
          <w14:textFill>
            <w14:solidFill>
              <w14:schemeClr w14:val="tx1"/>
            </w14:solidFill>
          </w14:textFill>
        </w:rPr>
        <w:t>撒施生石灰共计8500亩</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调整种植结构共计12,526.82亩</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严格管控区种植结构调整图斑共25个，面积总计149.79亩</w:t>
      </w:r>
      <w:r>
        <w:rPr>
          <w:rFonts w:hint="eastAsia" w:ascii="仿宋" w:hAnsi="仿宋" w:eastAsia="仿宋" w:cs="仿宋"/>
          <w:b w:val="0"/>
          <w:bCs w:val="0"/>
          <w:color w:val="000000" w:themeColor="text1"/>
          <w:spacing w:val="-2"/>
          <w:w w:val="99"/>
          <w:lang w:eastAsia="zh-CN"/>
          <w14:textFill>
            <w14:solidFill>
              <w14:schemeClr w14:val="tx1"/>
            </w14:solidFill>
          </w14:textFill>
        </w:rPr>
        <w:t>。</w:t>
      </w:r>
    </w:p>
    <w:p w14:paraId="0680D4F8">
      <w:pPr>
        <w:pStyle w:val="6"/>
        <w:numPr>
          <w:ilvl w:val="0"/>
          <w:numId w:val="0"/>
        </w:numPr>
        <w:spacing w:line="540" w:lineRule="exact"/>
        <w:ind w:firstLine="627" w:firstLineChars="200"/>
        <w:jc w:val="both"/>
        <w:rPr>
          <w:rFonts w:hint="eastAsia" w:ascii="仿宋" w:hAnsi="仿宋" w:eastAsia="仿宋" w:cs="仿宋"/>
          <w:b w:val="0"/>
          <w:bCs w:val="0"/>
          <w:color w:val="000000" w:themeColor="text1"/>
          <w:spacing w:val="-2"/>
          <w:w w:val="99"/>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其他农业农村支出207.47万元。用于</w:t>
      </w:r>
      <w:r>
        <w:rPr>
          <w:rFonts w:hint="eastAsia" w:ascii="仿宋" w:hAnsi="仿宋" w:eastAsia="仿宋" w:cs="仿宋"/>
          <w:b w:val="0"/>
          <w:bCs w:val="0"/>
          <w:color w:val="000000" w:themeColor="text1"/>
          <w:spacing w:val="-2"/>
          <w:w w:val="99"/>
          <w:sz w:val="32"/>
          <w:szCs w:val="32"/>
          <w14:textFill>
            <w14:solidFill>
              <w14:schemeClr w14:val="tx1"/>
            </w14:solidFill>
          </w14:textFill>
        </w:rPr>
        <w:t>化肥减量增效相关宣传工作及2个田间试验。</w:t>
      </w:r>
      <w:r>
        <w:rPr>
          <w:rFonts w:hint="eastAsia" w:ascii="仿宋" w:hAnsi="仿宋" w:eastAsia="仿宋" w:cs="仿宋"/>
          <w:b w:val="0"/>
          <w:bCs w:val="0"/>
          <w:color w:val="000000" w:themeColor="text1"/>
          <w:spacing w:val="-2"/>
          <w:w w:val="99"/>
          <w14:textFill>
            <w14:solidFill>
              <w14:schemeClr w14:val="tx1"/>
            </w14:solidFill>
          </w14:textFill>
        </w:rPr>
        <w:t>建设一个省级农业产业强镇，具体建设内容为：一产业新建设施蔬菜大棚（含滴灌）3200平方米</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新建设施蔬菜大棚（外遮阳、风机水帘、智能化）3500平方米</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提质改造蔬菜大棚（含换膜等）11000平方米</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改建设施蔬菜大棚（外遮阳、风机水帘、智能化）9040平方米</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改建设施蔬菜基地80亩。二产</w:t>
      </w:r>
      <w:r>
        <w:rPr>
          <w:rFonts w:hint="eastAsia" w:ascii="仿宋" w:hAnsi="仿宋" w:eastAsia="仿宋" w:cs="仿宋"/>
          <w:b w:val="0"/>
          <w:bCs w:val="0"/>
          <w:color w:val="000000" w:themeColor="text1"/>
          <w:spacing w:val="-2"/>
          <w:w w:val="99"/>
          <w:lang w:val="en-US" w:eastAsia="zh-CN"/>
          <w14:textFill>
            <w14:solidFill>
              <w14:schemeClr w14:val="tx1"/>
            </w14:solidFill>
          </w14:textFill>
        </w:rPr>
        <w:t>业</w:t>
      </w:r>
      <w:r>
        <w:rPr>
          <w:rFonts w:hint="eastAsia" w:ascii="仿宋" w:hAnsi="仿宋" w:eastAsia="仿宋" w:cs="仿宋"/>
          <w:b w:val="0"/>
          <w:bCs w:val="0"/>
          <w:color w:val="000000" w:themeColor="text1"/>
          <w:spacing w:val="-2"/>
          <w:w w:val="99"/>
          <w14:textFill>
            <w14:solidFill>
              <w14:schemeClr w14:val="tx1"/>
            </w14:solidFill>
          </w14:textFill>
        </w:rPr>
        <w:t>新建冷库300立方米</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购置冷藏车1台</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新建农副产品分拣车间100平方米</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购周转箱2700个。三产业品牌建设及推广（平台直播带货、短视频推广运营）6项</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设施蔬菜技术推广（含农民培训、智慧农业的高速度发展及推进等）3400人次</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电商体系建设（配送及销售平台）1套</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新建农副产品销售形象店1间。</w:t>
      </w:r>
    </w:p>
    <w:p w14:paraId="2EB783A0">
      <w:pPr>
        <w:pStyle w:val="6"/>
        <w:numPr>
          <w:ilvl w:val="0"/>
          <w:numId w:val="0"/>
        </w:numPr>
        <w:spacing w:line="540" w:lineRule="exact"/>
        <w:ind w:firstLine="627" w:firstLineChars="200"/>
        <w:jc w:val="both"/>
        <w:rPr>
          <w:rFonts w:hint="eastAsia" w:ascii="仿宋" w:hAnsi="仿宋" w:eastAsia="仿宋" w:cs="仿宋"/>
          <w:b w:val="0"/>
          <w:bCs w:val="0"/>
          <w:color w:val="000000" w:themeColor="text1"/>
          <w:spacing w:val="-2"/>
          <w:w w:val="99"/>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其他交通运输支出195万元。</w:t>
      </w:r>
      <w:r>
        <w:rPr>
          <w:rFonts w:hint="eastAsia" w:ascii="仿宋" w:hAnsi="仿宋" w:eastAsia="仿宋" w:cs="仿宋"/>
          <w:b w:val="0"/>
          <w:bCs w:val="0"/>
          <w:color w:val="000000" w:themeColor="text1"/>
          <w:spacing w:val="-2"/>
          <w:w w:val="99"/>
          <w14:textFill>
            <w14:solidFill>
              <w14:schemeClr w14:val="tx1"/>
            </w14:solidFill>
          </w14:textFill>
        </w:rPr>
        <w:t>用于成品油价格调整对渔业补助</w:t>
      </w:r>
      <w:r>
        <w:rPr>
          <w:rFonts w:hint="eastAsia" w:ascii="仿宋" w:hAnsi="仿宋" w:eastAsia="仿宋" w:cs="仿宋"/>
          <w:b w:val="0"/>
          <w:bCs w:val="0"/>
          <w:color w:val="000000" w:themeColor="text1"/>
          <w:spacing w:val="-2"/>
          <w:w w:val="99"/>
          <w:lang w:eastAsia="zh-CN"/>
          <w14:textFill>
            <w14:solidFill>
              <w14:schemeClr w14:val="tx1"/>
            </w14:solidFill>
          </w14:textFill>
        </w:rPr>
        <w:t>，</w:t>
      </w:r>
      <w:r>
        <w:rPr>
          <w:rFonts w:hint="eastAsia" w:ascii="仿宋" w:hAnsi="仿宋" w:eastAsia="仿宋" w:cs="仿宋"/>
          <w:b w:val="0"/>
          <w:bCs w:val="0"/>
          <w:color w:val="000000" w:themeColor="text1"/>
          <w:spacing w:val="-2"/>
          <w:w w:val="99"/>
          <w14:textFill>
            <w14:solidFill>
              <w14:schemeClr w14:val="tx1"/>
            </w14:solidFill>
          </w14:textFill>
        </w:rPr>
        <w:t>衡阳市</w:t>
      </w:r>
      <w:r>
        <w:rPr>
          <w:rFonts w:hint="eastAsia" w:ascii="仿宋" w:hAnsi="仿宋" w:eastAsia="仿宋" w:cs="仿宋"/>
          <w:b w:val="0"/>
          <w:bCs w:val="0"/>
          <w:color w:val="000000" w:themeColor="text1"/>
          <w:spacing w:val="-2"/>
          <w:w w:val="99"/>
          <w:lang w:val="en-US" w:eastAsia="zh-CN"/>
          <w14:textFill>
            <w14:solidFill>
              <w14:schemeClr w14:val="tx1"/>
            </w14:solidFill>
          </w14:textFill>
        </w:rPr>
        <w:t>聚茗</w:t>
      </w:r>
      <w:r>
        <w:rPr>
          <w:rFonts w:hint="eastAsia" w:ascii="仿宋" w:hAnsi="仿宋" w:eastAsia="仿宋" w:cs="仿宋"/>
          <w:b w:val="0"/>
          <w:bCs w:val="0"/>
          <w:color w:val="000000" w:themeColor="text1"/>
          <w:spacing w:val="-2"/>
          <w:w w:val="99"/>
          <w14:textFill>
            <w14:solidFill>
              <w14:schemeClr w14:val="tx1"/>
            </w14:solidFill>
          </w14:textFill>
        </w:rPr>
        <w:t>养殖专业合作社建设内容：养殖池塘改造、池塘清淤防漏、尾水处理、配备养殖设备与水质检测设备以及宣传；</w:t>
      </w:r>
      <w:r>
        <w:rPr>
          <w:rFonts w:hint="eastAsia" w:ascii="仿宋" w:hAnsi="仿宋" w:eastAsia="仿宋" w:cs="仿宋"/>
          <w:b w:val="0"/>
          <w:bCs w:val="0"/>
          <w:color w:val="000000" w:themeColor="text1"/>
          <w:spacing w:val="-2"/>
          <w:w w:val="99"/>
          <w:lang w:val="en-US" w:eastAsia="zh-CN"/>
          <w14:textFill>
            <w14:solidFill>
              <w14:schemeClr w14:val="tx1"/>
            </w14:solidFill>
          </w14:textFill>
        </w:rPr>
        <w:t>衡阳市力丰农业有限公司</w:t>
      </w:r>
      <w:r>
        <w:rPr>
          <w:rFonts w:hint="eastAsia" w:ascii="仿宋" w:hAnsi="仿宋" w:eastAsia="仿宋" w:cs="仿宋"/>
          <w:b w:val="0"/>
          <w:bCs w:val="0"/>
          <w:color w:val="000000" w:themeColor="text1"/>
          <w:spacing w:val="-2"/>
          <w:w w:val="99"/>
          <w14:textFill>
            <w14:solidFill>
              <w14:schemeClr w14:val="tx1"/>
            </w14:solidFill>
          </w14:textFill>
        </w:rPr>
        <w:t>建设内容：养殖池塘改造、池塘清淤防漏、尾水治理、配备养殖设备与水质检测设备、养殖用水预处理、水泵建设与电路改造以及宣传。</w:t>
      </w:r>
    </w:p>
    <w:p w14:paraId="456ABF4A">
      <w:pPr>
        <w:pStyle w:val="6"/>
        <w:numPr>
          <w:ilvl w:val="0"/>
          <w:numId w:val="0"/>
        </w:numPr>
        <w:spacing w:line="540" w:lineRule="exact"/>
        <w:ind w:firstLine="627" w:firstLineChars="200"/>
        <w:jc w:val="both"/>
        <w:rPr>
          <w:rFonts w:hint="eastAsia" w:ascii="仿宋" w:hAnsi="仿宋" w:eastAsia="仿宋" w:cs="仿宋"/>
          <w:b w:val="0"/>
          <w:bCs w:val="0"/>
          <w:color w:val="000000" w:themeColor="text1"/>
          <w:spacing w:val="-2"/>
          <w:w w:val="99"/>
          <w:lang w:val="en-US" w:eastAsia="zh-CN"/>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其他农林水支出328.78万元。</w:t>
      </w:r>
      <w:r>
        <w:rPr>
          <w:rFonts w:hint="eastAsia" w:ascii="仿宋" w:hAnsi="仿宋" w:eastAsia="仿宋" w:cs="仿宋"/>
          <w:b w:val="0"/>
          <w:bCs w:val="0"/>
          <w:color w:val="000000" w:themeColor="text1"/>
          <w:spacing w:val="-2"/>
          <w:w w:val="99"/>
          <w:lang w:val="en-US" w:eastAsia="zh-CN"/>
          <w14:textFill>
            <w14:solidFill>
              <w14:schemeClr w14:val="tx1"/>
            </w14:solidFill>
          </w14:textFill>
        </w:rPr>
        <w:t>用于衡阳市宥升农业湘黄鸡养殖基地建设。</w:t>
      </w:r>
    </w:p>
    <w:p w14:paraId="28434A17">
      <w:pPr>
        <w:pStyle w:val="6"/>
        <w:numPr>
          <w:ilvl w:val="0"/>
          <w:numId w:val="0"/>
        </w:numPr>
        <w:spacing w:line="540" w:lineRule="exact"/>
        <w:ind w:firstLine="627" w:firstLineChars="200"/>
        <w:jc w:val="both"/>
        <w:rPr>
          <w:rFonts w:hint="eastAsia" w:ascii="仿宋" w:hAnsi="仿宋" w:eastAsia="仿宋" w:cs="仿宋"/>
          <w:b w:val="0"/>
          <w:bCs w:val="0"/>
          <w:color w:val="000000" w:themeColor="text1"/>
          <w:spacing w:val="-2"/>
          <w:w w:val="99"/>
          <w:lang w:val="en-US" w:eastAsia="zh-CN"/>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农村社会事业支出10万元。</w:t>
      </w:r>
      <w:r>
        <w:rPr>
          <w:rFonts w:hint="eastAsia" w:ascii="仿宋" w:hAnsi="仿宋" w:eastAsia="仿宋" w:cs="仿宋"/>
          <w:b w:val="0"/>
          <w:bCs w:val="0"/>
          <w:color w:val="000000" w:themeColor="text1"/>
          <w:spacing w:val="-2"/>
          <w:w w:val="99"/>
          <w:lang w:val="en-US" w:eastAsia="zh-CN"/>
          <w14:textFill>
            <w14:solidFill>
              <w14:schemeClr w14:val="tx1"/>
            </w14:solidFill>
          </w14:textFill>
        </w:rPr>
        <w:t>用于人居环境整治奖补资金，</w:t>
      </w:r>
      <w:r>
        <w:rPr>
          <w:rFonts w:hint="eastAsia" w:ascii="仿宋" w:hAnsi="仿宋" w:eastAsia="仿宋" w:cs="仿宋"/>
          <w:b w:val="0"/>
          <w:bCs w:val="0"/>
          <w:color w:val="000000" w:themeColor="text1"/>
          <w:spacing w:val="-2"/>
          <w:w w:val="99"/>
          <w14:textFill>
            <w14:solidFill>
              <w14:schemeClr w14:val="tx1"/>
            </w14:solidFill>
          </w14:textFill>
        </w:rPr>
        <w:t>拆除露天垃圾池63个，公共区域和农户全区配置发放垃圾桶6550个，新增配备勾臂式垃圾收集箱80个、三轮摩托垃圾收集车</w:t>
      </w:r>
      <w:r>
        <w:rPr>
          <w:rFonts w:hint="eastAsia" w:ascii="仿宋" w:hAnsi="仿宋" w:eastAsia="仿宋" w:cs="仿宋"/>
          <w:b w:val="0"/>
          <w:bCs w:val="0"/>
          <w:color w:val="000000" w:themeColor="text1"/>
          <w:spacing w:val="-2"/>
          <w:w w:val="99"/>
          <w:lang w:val="en-US"/>
          <w14:textFill>
            <w14:solidFill>
              <w14:schemeClr w14:val="tx1"/>
            </w14:solidFill>
          </w14:textFill>
        </w:rPr>
        <w:t>2</w:t>
      </w:r>
      <w:r>
        <w:rPr>
          <w:rFonts w:hint="eastAsia" w:ascii="仿宋" w:hAnsi="仿宋" w:eastAsia="仿宋" w:cs="仿宋"/>
          <w:b w:val="0"/>
          <w:bCs w:val="0"/>
          <w:color w:val="000000" w:themeColor="text1"/>
          <w:spacing w:val="-2"/>
          <w:w w:val="99"/>
          <w14:textFill>
            <w14:solidFill>
              <w14:schemeClr w14:val="tx1"/>
            </w14:solidFill>
          </w14:textFill>
        </w:rPr>
        <w:t>6辆、</w:t>
      </w:r>
      <w:r>
        <w:rPr>
          <w:rStyle w:val="23"/>
          <w:rFonts w:hint="eastAsia" w:ascii="仿宋_GB2312" w:hAnsi="仿宋_GB2312" w:eastAsia="仿宋_GB2312"/>
          <w:b w:val="0"/>
          <w:bCs w:val="0"/>
          <w:sz w:val="32"/>
          <w:szCs w:val="32"/>
        </w:rPr>
        <w:t>小型勾臂式垃圾运输车</w:t>
      </w:r>
      <w:r>
        <w:rPr>
          <w:rStyle w:val="23"/>
          <w:rFonts w:hint="eastAsia" w:ascii="仿宋_GB2312" w:hAnsi="仿宋_GB2312" w:eastAsia="仿宋_GB2312"/>
          <w:b w:val="0"/>
          <w:bCs w:val="0"/>
          <w:sz w:val="32"/>
          <w:szCs w:val="32"/>
          <w:lang w:val="en-US"/>
        </w:rPr>
        <w:t>5</w:t>
      </w:r>
      <w:r>
        <w:rPr>
          <w:rStyle w:val="23"/>
          <w:rFonts w:hint="eastAsia" w:ascii="仿宋_GB2312" w:hAnsi="仿宋_GB2312" w:eastAsia="仿宋_GB2312"/>
          <w:b w:val="0"/>
          <w:bCs w:val="0"/>
          <w:sz w:val="32"/>
          <w:szCs w:val="32"/>
        </w:rPr>
        <w:t>辆，新建压缩式垃圾中转站</w:t>
      </w:r>
      <w:r>
        <w:rPr>
          <w:rStyle w:val="23"/>
          <w:rFonts w:hint="eastAsia" w:ascii="仿宋_GB2312" w:hAnsi="仿宋_GB2312" w:eastAsia="仿宋_GB2312"/>
          <w:b w:val="0"/>
          <w:bCs w:val="0"/>
          <w:sz w:val="32"/>
          <w:szCs w:val="32"/>
          <w:lang w:val="en-US"/>
        </w:rPr>
        <w:t>2</w:t>
      </w:r>
      <w:r>
        <w:rPr>
          <w:rStyle w:val="23"/>
          <w:rFonts w:hint="eastAsia" w:ascii="仿宋_GB2312" w:hAnsi="仿宋_GB2312" w:eastAsia="仿宋_GB2312"/>
          <w:b w:val="0"/>
          <w:bCs w:val="0"/>
          <w:sz w:val="32"/>
          <w:szCs w:val="32"/>
        </w:rPr>
        <w:t>个，配备保洁人员495名，农</w:t>
      </w:r>
      <w:r>
        <w:rPr>
          <w:rFonts w:ascii="Times New Roman" w:hAnsi="仿宋_GB2312" w:eastAsia="仿宋_GB2312" w:cs="仿宋_GB2312"/>
          <w:b w:val="0"/>
          <w:bCs w:val="0"/>
          <w:sz w:val="32"/>
          <w:szCs w:val="32"/>
        </w:rPr>
        <w:t>村生活垃圾实现日产日清，有效治理率达100%</w:t>
      </w:r>
      <w:r>
        <w:rPr>
          <w:rFonts w:hint="eastAsia" w:ascii="仿宋" w:hAnsi="仿宋" w:eastAsia="仿宋" w:cs="仿宋"/>
          <w:b w:val="0"/>
          <w:bCs w:val="0"/>
          <w:color w:val="000000" w:themeColor="text1"/>
          <w:spacing w:val="-2"/>
          <w:w w:val="99"/>
          <w:lang w:val="en-US" w:eastAsia="zh-CN"/>
          <w14:textFill>
            <w14:solidFill>
              <w14:schemeClr w14:val="tx1"/>
            </w14:solidFill>
          </w14:textFill>
        </w:rPr>
        <w:t>。</w:t>
      </w:r>
    </w:p>
    <w:p w14:paraId="4F79331D">
      <w:pPr>
        <w:pStyle w:val="6"/>
        <w:numPr>
          <w:ilvl w:val="0"/>
          <w:numId w:val="0"/>
        </w:numPr>
        <w:spacing w:line="540" w:lineRule="exact"/>
        <w:ind w:firstLine="627" w:firstLineChars="200"/>
        <w:jc w:val="both"/>
        <w:rPr>
          <w:rFonts w:hint="eastAsia" w:ascii="仿宋" w:hAnsi="仿宋" w:eastAsia="仿宋" w:cs="仿宋"/>
          <w:b w:val="0"/>
          <w:bCs w:val="0"/>
          <w:color w:val="000000" w:themeColor="text1"/>
          <w:spacing w:val="-2"/>
          <w:w w:val="99"/>
          <w14:textFill>
            <w14:solidFill>
              <w14:schemeClr w14:val="tx1"/>
            </w14:solidFill>
          </w14:textFill>
        </w:rPr>
      </w:pPr>
      <w:r>
        <w:rPr>
          <w:rFonts w:hint="eastAsia" w:cs="仿宋"/>
          <w:color w:val="000000" w:themeColor="text1"/>
          <w:spacing w:val="-2"/>
          <w:w w:val="99"/>
          <w:sz w:val="32"/>
          <w:szCs w:val="32"/>
          <w:lang w:val="en-US" w:eastAsia="zh-CN"/>
          <w14:textFill>
            <w14:solidFill>
              <w14:schemeClr w14:val="tx1"/>
            </w14:solidFill>
          </w14:textFill>
        </w:rPr>
        <w:t>农产品加工与促销35万元。</w:t>
      </w:r>
      <w:r>
        <w:rPr>
          <w:rFonts w:hint="eastAsia" w:ascii="仿宋" w:hAnsi="仿宋" w:eastAsia="仿宋" w:cs="仿宋"/>
          <w:b w:val="0"/>
          <w:bCs w:val="0"/>
          <w:color w:val="000000" w:themeColor="text1"/>
          <w:spacing w:val="-2"/>
          <w:w w:val="99"/>
          <w14:textFill>
            <w14:solidFill>
              <w14:schemeClr w14:val="tx1"/>
            </w14:solidFill>
          </w14:textFill>
        </w:rPr>
        <w:t>用于非脱贫地区农产品产地冷藏保鲜设施建设2个以蔬菜、水果产业为主的新型农业经营主体的农产品仓储保鲜冷链设施。</w:t>
      </w:r>
    </w:p>
    <w:p w14:paraId="62885741">
      <w:pPr>
        <w:pStyle w:val="6"/>
        <w:numPr>
          <w:ilvl w:val="0"/>
          <w:numId w:val="0"/>
        </w:numPr>
        <w:spacing w:line="540" w:lineRule="exact"/>
        <w:ind w:firstLine="627" w:firstLineChars="200"/>
        <w:jc w:val="both"/>
        <w:rPr>
          <w:rFonts w:hint="eastAsia" w:ascii="仿宋" w:hAnsi="仿宋" w:eastAsia="仿宋" w:cs="仿宋"/>
          <w:b w:val="0"/>
          <w:bCs w:val="0"/>
          <w:sz w:val="32"/>
          <w:szCs w:val="32"/>
          <w:shd w:val="clear" w:color="auto" w:fill="FFFFFF"/>
          <w:lang w:val="en-US" w:eastAsia="zh-CN"/>
        </w:rPr>
      </w:pPr>
      <w:r>
        <w:rPr>
          <w:rFonts w:hint="eastAsia" w:cs="仿宋"/>
          <w:color w:val="000000" w:themeColor="text1"/>
          <w:spacing w:val="-2"/>
          <w:w w:val="99"/>
          <w:sz w:val="32"/>
          <w:szCs w:val="32"/>
          <w:lang w:val="en-US" w:eastAsia="zh-CN"/>
          <w14:textFill>
            <w14:solidFill>
              <w14:schemeClr w14:val="tx1"/>
            </w14:solidFill>
          </w14:textFill>
        </w:rPr>
        <w:t>农村合作经济104.95万元。</w:t>
      </w:r>
      <w:r>
        <w:rPr>
          <w:rFonts w:hint="eastAsia" w:ascii="仿宋" w:hAnsi="仿宋" w:eastAsia="仿宋" w:cs="仿宋"/>
          <w:b w:val="0"/>
          <w:bCs w:val="0"/>
          <w:color w:val="000000" w:themeColor="text1"/>
          <w:spacing w:val="-2"/>
          <w:w w:val="99"/>
          <w:lang w:val="en-US" w:eastAsia="zh-CN"/>
          <w14:textFill>
            <w14:solidFill>
              <w14:schemeClr w14:val="tx1"/>
            </w14:solidFill>
          </w14:textFill>
        </w:rPr>
        <w:t>用于全区农业产业发展龙头企业及蔬菜专业合作社补贴。新型经营主体省级示范家庭农场和专业合作社</w:t>
      </w:r>
      <w:r>
        <w:rPr>
          <w:rFonts w:hint="eastAsia" w:ascii="仿宋" w:hAnsi="仿宋" w:eastAsia="仿宋" w:cs="仿宋"/>
          <w:b w:val="0"/>
          <w:bCs w:val="0"/>
          <w:sz w:val="32"/>
          <w:szCs w:val="32"/>
          <w:shd w:val="clear" w:color="auto" w:fill="FFFFFF"/>
          <w:lang w:val="en-US" w:eastAsia="zh-CN"/>
        </w:rPr>
        <w:t>奖补。</w:t>
      </w:r>
      <w:r>
        <w:rPr>
          <w:rFonts w:hint="eastAsia" w:ascii="仿宋" w:hAnsi="仿宋" w:eastAsia="仿宋" w:cs="仿宋"/>
          <w:b w:val="0"/>
          <w:bCs w:val="0"/>
          <w:color w:val="000000" w:themeColor="text1"/>
          <w:spacing w:val="-2"/>
          <w:w w:val="99"/>
          <w14:textFill>
            <w14:solidFill>
              <w14:schemeClr w14:val="tx1"/>
            </w14:solidFill>
          </w14:textFill>
        </w:rPr>
        <w:t>对符合国家补贴标准的农机合作社补贴</w:t>
      </w:r>
      <w:r>
        <w:rPr>
          <w:rFonts w:hint="eastAsia" w:ascii="仿宋" w:hAnsi="仿宋" w:eastAsia="仿宋" w:cs="仿宋"/>
          <w:b w:val="0"/>
          <w:bCs w:val="0"/>
          <w:color w:val="000000" w:themeColor="text1"/>
          <w:spacing w:val="-2"/>
          <w:w w:val="99"/>
          <w:lang w:eastAsia="zh-CN"/>
          <w14:textFill>
            <w14:solidFill>
              <w14:schemeClr w14:val="tx1"/>
            </w14:solidFill>
          </w14:textFill>
        </w:rPr>
        <w:t>。</w:t>
      </w:r>
    </w:p>
    <w:p w14:paraId="23EAB7A5">
      <w:pPr>
        <w:pStyle w:val="2"/>
        <w:ind w:left="0" w:leftChars="0" w:firstLine="624" w:firstLineChars="200"/>
        <w:jc w:val="both"/>
        <w:rPr>
          <w:rFonts w:hint="eastAsia" w:cs="仿宋"/>
          <w:color w:val="000000" w:themeColor="text1"/>
          <w:spacing w:val="-2"/>
          <w:w w:val="99"/>
          <w:sz w:val="32"/>
          <w:szCs w:val="32"/>
          <w:lang w:val="en-US" w:eastAsia="zh-CN"/>
          <w14:textFill>
            <w14:solidFill>
              <w14:schemeClr w14:val="tx1"/>
            </w14:solidFill>
          </w14:textFill>
        </w:rPr>
      </w:pPr>
    </w:p>
    <w:p w14:paraId="2DF11F5A">
      <w:pPr>
        <w:pStyle w:val="6"/>
        <w:bidi w:val="0"/>
        <w:spacing w:line="360" w:lineRule="auto"/>
        <w:jc w:val="both"/>
        <w:rPr>
          <w:rFonts w:hint="eastAsia"/>
          <w:lang w:val="en-US" w:eastAsia="zh-CN"/>
        </w:rPr>
      </w:pPr>
      <w:r>
        <w:rPr>
          <w:rFonts w:hint="eastAsia"/>
          <w:lang w:val="en-US" w:eastAsia="zh-CN"/>
        </w:rPr>
        <w:t>七、存在的问题及原因分析</w:t>
      </w:r>
    </w:p>
    <w:p w14:paraId="7B471A40">
      <w:pPr>
        <w:spacing w:line="360" w:lineRule="auto"/>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由于预算绩效管理工作涉及面广，专业性强，开展绩效自评的能力还有一定欠缺，人员素质有待进一步提高。</w:t>
      </w:r>
    </w:p>
    <w:p w14:paraId="522BF1AF">
      <w:pPr>
        <w:pStyle w:val="6"/>
        <w:bidi w:val="0"/>
        <w:spacing w:line="360" w:lineRule="auto"/>
        <w:jc w:val="both"/>
        <w:rPr>
          <w:rFonts w:hint="eastAsia"/>
          <w:lang w:val="en-US" w:eastAsia="zh-CN"/>
        </w:rPr>
      </w:pPr>
      <w:r>
        <w:rPr>
          <w:rFonts w:hint="eastAsia"/>
          <w:lang w:val="en-US" w:eastAsia="zh-CN"/>
        </w:rPr>
        <w:t>八、下一步改进措施</w:t>
      </w:r>
    </w:p>
    <w:p w14:paraId="0FD241E3">
      <w:pPr>
        <w:spacing w:line="360" w:lineRule="auto"/>
        <w:jc w:val="both"/>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pPr>
      <w:r>
        <w:rPr>
          <w:rFonts w:hint="eastAsia" w:ascii="仿宋" w:hAnsi="仿宋" w:eastAsia="仿宋" w:cs="仿宋"/>
          <w:color w:val="000000" w:themeColor="text1"/>
          <w:spacing w:val="-2"/>
          <w:w w:val="99"/>
          <w:sz w:val="32"/>
          <w:szCs w:val="32"/>
          <w:lang w:val="en-US" w:eastAsia="zh-CN" w:bidi="ar-SA"/>
          <w14:textFill>
            <w14:solidFill>
              <w14:schemeClr w14:val="tx1"/>
            </w14:solidFill>
          </w14:textFill>
        </w:rPr>
        <w:t>建议开展更多的专用指导和预算绩效管理培训，不断提高财务人员以及各科室项目负责人关于绩效管理能力，提高绩效自评工作质量。</w:t>
      </w:r>
    </w:p>
    <w:p w14:paraId="7E606FE3">
      <w:pPr>
        <w:pStyle w:val="6"/>
        <w:bidi w:val="0"/>
        <w:spacing w:line="360" w:lineRule="auto"/>
        <w:jc w:val="both"/>
        <w:rPr>
          <w:rFonts w:hint="eastAsia"/>
          <w:lang w:val="en-US" w:eastAsia="zh-CN"/>
        </w:rPr>
      </w:pPr>
      <w:r>
        <w:rPr>
          <w:rFonts w:hint="eastAsia"/>
          <w:lang w:val="en-US" w:eastAsia="zh-CN"/>
        </w:rPr>
        <w:t>九、其他需要说明的情况</w:t>
      </w:r>
    </w:p>
    <w:p w14:paraId="16F99C1C">
      <w:pPr>
        <w:pStyle w:val="6"/>
        <w:bidi w:val="0"/>
        <w:spacing w:line="360" w:lineRule="auto"/>
        <w:jc w:val="both"/>
        <w:rPr>
          <w:rFonts w:hint="eastAsia"/>
          <w:b w:val="0"/>
          <w:bCs w:val="0"/>
          <w:lang w:val="en-US" w:eastAsia="zh-CN"/>
        </w:rPr>
        <w:sectPr>
          <w:footerReference r:id="rId6" w:type="default"/>
          <w:type w:val="continuous"/>
          <w:pgSz w:w="11900" w:h="16840"/>
          <w:pgMar w:top="1440" w:right="1797" w:bottom="1440" w:left="1797" w:header="0" w:footer="1074" w:gutter="0"/>
          <w:cols w:space="720" w:num="1"/>
        </w:sectPr>
      </w:pPr>
      <w:r>
        <w:rPr>
          <w:rFonts w:hint="eastAsia"/>
          <w:b w:val="0"/>
          <w:bCs w:val="0"/>
          <w:lang w:val="en-US" w:eastAsia="zh-CN"/>
        </w:rPr>
        <w:t>无</w:t>
      </w:r>
    </w:p>
    <w:p w14:paraId="073306A0">
      <w:pPr>
        <w:pStyle w:val="6"/>
        <w:spacing w:before="190"/>
        <w:jc w:val="both"/>
        <w:rPr>
          <w:rFonts w:ascii="黑体" w:hAnsi="黑体" w:eastAsia="黑体" w:cs="黑体"/>
          <w:color w:val="000000" w:themeColor="text1"/>
          <w14:textFill>
            <w14:solidFill>
              <w14:schemeClr w14:val="tx1"/>
            </w14:solidFill>
          </w14:textFill>
        </w:rPr>
      </w:pPr>
    </w:p>
    <w:sectPr>
      <w:pgSz w:w="11900" w:h="16840"/>
      <w:pgMar w:top="1440" w:right="1080" w:bottom="1440" w:left="1080" w:header="0" w:footer="107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24"/>
      </w:pPr>
      <w:r>
        <w:separator/>
      </w:r>
    </w:p>
  </w:endnote>
  <w:endnote w:type="continuationSeparator" w:id="1">
    <w:p>
      <w:pPr>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75DA">
    <w:pPr>
      <w:pStyle w:val="6"/>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614058">
                          <w:pPr>
                            <w:pStyle w:val="2"/>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t xml:space="preserve"> </w:t>
                          </w:r>
                          <w:r>
                            <w:rPr>
                              <w:rFonts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64614058">
                    <w:pPr>
                      <w:pStyle w:val="2"/>
                    </w:pPr>
                    <w:r>
                      <w:rPr>
                        <w:rFonts w:ascii="Times New Roman" w:hAnsi="Times New Roman" w:cs="Times New Roman"/>
                        <w:sz w:val="28"/>
                        <w:szCs w:val="28"/>
                      </w:rPr>
                      <w:t>—</w:t>
                    </w:r>
                    <w: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t xml:space="preserve"> </w:t>
                    </w:r>
                    <w:r>
                      <w:rPr>
                        <w:rFonts w:ascii="Times New Roman" w:hAnsi="Times New Roman" w:cs="Times New Roman"/>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CFA11">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24"/>
      </w:pPr>
      <w:r>
        <w:separator/>
      </w:r>
    </w:p>
  </w:footnote>
  <w:footnote w:type="continuationSeparator" w:id="1">
    <w:p>
      <w:pPr>
        <w:ind w:firstLine="624"/>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hMTE0YTZkMmY0YTk1MzkyMGQxNTk0MmExMTYzY2QifQ=="/>
  </w:docVars>
  <w:rsids>
    <w:rsidRoot w:val="00B20251"/>
    <w:rsid w:val="00003AF4"/>
    <w:rsid w:val="00003C54"/>
    <w:rsid w:val="00090B5D"/>
    <w:rsid w:val="001158F0"/>
    <w:rsid w:val="00151377"/>
    <w:rsid w:val="001844CE"/>
    <w:rsid w:val="001B774F"/>
    <w:rsid w:val="003F00CD"/>
    <w:rsid w:val="004E37A3"/>
    <w:rsid w:val="0051482B"/>
    <w:rsid w:val="00544353"/>
    <w:rsid w:val="00660855"/>
    <w:rsid w:val="00741CB0"/>
    <w:rsid w:val="008E4567"/>
    <w:rsid w:val="009A24BA"/>
    <w:rsid w:val="009F67AD"/>
    <w:rsid w:val="00B20251"/>
    <w:rsid w:val="00C9668C"/>
    <w:rsid w:val="00CC1100"/>
    <w:rsid w:val="00D20AAF"/>
    <w:rsid w:val="00DD09A7"/>
    <w:rsid w:val="00E22BB8"/>
    <w:rsid w:val="00E332B2"/>
    <w:rsid w:val="00E53D8A"/>
    <w:rsid w:val="00E61C5F"/>
    <w:rsid w:val="00F4313D"/>
    <w:rsid w:val="01306CA7"/>
    <w:rsid w:val="01E96802"/>
    <w:rsid w:val="04243DB5"/>
    <w:rsid w:val="043A78AC"/>
    <w:rsid w:val="047B0DFB"/>
    <w:rsid w:val="05A14304"/>
    <w:rsid w:val="06112117"/>
    <w:rsid w:val="06277B8D"/>
    <w:rsid w:val="07935F9B"/>
    <w:rsid w:val="0DC978C4"/>
    <w:rsid w:val="0FA16331"/>
    <w:rsid w:val="10AA73F0"/>
    <w:rsid w:val="12A27333"/>
    <w:rsid w:val="12A771A7"/>
    <w:rsid w:val="13CB0051"/>
    <w:rsid w:val="13E567D3"/>
    <w:rsid w:val="168924CC"/>
    <w:rsid w:val="173B205F"/>
    <w:rsid w:val="186C0EE2"/>
    <w:rsid w:val="19B11E18"/>
    <w:rsid w:val="19DD7CC7"/>
    <w:rsid w:val="1A442393"/>
    <w:rsid w:val="1BAC4A3A"/>
    <w:rsid w:val="1C2D3C48"/>
    <w:rsid w:val="1C5A7C23"/>
    <w:rsid w:val="1DE41846"/>
    <w:rsid w:val="1EDE745E"/>
    <w:rsid w:val="225E1285"/>
    <w:rsid w:val="24222A19"/>
    <w:rsid w:val="2557180C"/>
    <w:rsid w:val="25DA4F02"/>
    <w:rsid w:val="25F14435"/>
    <w:rsid w:val="262D65C8"/>
    <w:rsid w:val="279F66FD"/>
    <w:rsid w:val="2B545664"/>
    <w:rsid w:val="2B557E02"/>
    <w:rsid w:val="2D9B6B05"/>
    <w:rsid w:val="2E542FDB"/>
    <w:rsid w:val="2F8F5CD7"/>
    <w:rsid w:val="30C95960"/>
    <w:rsid w:val="32363446"/>
    <w:rsid w:val="327143F7"/>
    <w:rsid w:val="328E300C"/>
    <w:rsid w:val="32BC1A8D"/>
    <w:rsid w:val="3445105A"/>
    <w:rsid w:val="346D007E"/>
    <w:rsid w:val="389F13BA"/>
    <w:rsid w:val="38DA5400"/>
    <w:rsid w:val="39B71480"/>
    <w:rsid w:val="39C07DFF"/>
    <w:rsid w:val="3D046583"/>
    <w:rsid w:val="3DBB45A5"/>
    <w:rsid w:val="3E635290"/>
    <w:rsid w:val="3EEB264D"/>
    <w:rsid w:val="3F4C69CF"/>
    <w:rsid w:val="3FC0451C"/>
    <w:rsid w:val="401D0FF1"/>
    <w:rsid w:val="41230975"/>
    <w:rsid w:val="42845A0E"/>
    <w:rsid w:val="438D20D6"/>
    <w:rsid w:val="440467DA"/>
    <w:rsid w:val="451824A0"/>
    <w:rsid w:val="462907DC"/>
    <w:rsid w:val="48C21A0D"/>
    <w:rsid w:val="49153129"/>
    <w:rsid w:val="49347E93"/>
    <w:rsid w:val="49671799"/>
    <w:rsid w:val="49FF210A"/>
    <w:rsid w:val="4AE23A24"/>
    <w:rsid w:val="4B3612A5"/>
    <w:rsid w:val="4DB017E2"/>
    <w:rsid w:val="4E683E6B"/>
    <w:rsid w:val="4F335546"/>
    <w:rsid w:val="50363BF8"/>
    <w:rsid w:val="50E7254E"/>
    <w:rsid w:val="51673334"/>
    <w:rsid w:val="526D2284"/>
    <w:rsid w:val="52AC6959"/>
    <w:rsid w:val="53780C68"/>
    <w:rsid w:val="53E83D7E"/>
    <w:rsid w:val="5A445C37"/>
    <w:rsid w:val="5D0D6309"/>
    <w:rsid w:val="5FAF65D1"/>
    <w:rsid w:val="600A7F36"/>
    <w:rsid w:val="62BB4AB7"/>
    <w:rsid w:val="640856AF"/>
    <w:rsid w:val="646B658C"/>
    <w:rsid w:val="64872E45"/>
    <w:rsid w:val="6A110E0D"/>
    <w:rsid w:val="6B67678B"/>
    <w:rsid w:val="6F702A58"/>
    <w:rsid w:val="6FCD3385"/>
    <w:rsid w:val="71C66A32"/>
    <w:rsid w:val="72CC176D"/>
    <w:rsid w:val="731F249B"/>
    <w:rsid w:val="740B7F3A"/>
    <w:rsid w:val="7420471D"/>
    <w:rsid w:val="751A116C"/>
    <w:rsid w:val="770A7BD4"/>
    <w:rsid w:val="77276A52"/>
    <w:rsid w:val="7744106E"/>
    <w:rsid w:val="77AE0291"/>
    <w:rsid w:val="78EF46BD"/>
    <w:rsid w:val="797543FC"/>
    <w:rsid w:val="7F152978"/>
    <w:rsid w:val="7F7D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ind w:firstLine="624" w:firstLineChars="200"/>
    </w:pPr>
    <w:rPr>
      <w:rFonts w:ascii="仿宋" w:hAnsi="仿宋" w:eastAsia="仿宋" w:cs="仿宋"/>
      <w:color w:val="000000" w:themeColor="text1"/>
      <w:spacing w:val="-2"/>
      <w:w w:val="99"/>
      <w:sz w:val="32"/>
      <w:szCs w:val="32"/>
      <w:lang w:val="en-US" w:eastAsia="zh-CN" w:bidi="ar-SA"/>
      <w14:textFill>
        <w14:solidFill>
          <w14:schemeClr w14:val="tx1"/>
        </w14:solidFill>
      </w14:textFill>
    </w:rPr>
  </w:style>
  <w:style w:type="paragraph" w:styleId="3">
    <w:name w:val="heading 1"/>
    <w:basedOn w:val="1"/>
    <w:next w:val="1"/>
    <w:qFormat/>
    <w:uiPriority w:val="1"/>
    <w:pPr>
      <w:spacing w:before="53"/>
      <w:ind w:left="30" w:right="27"/>
      <w:jc w:val="center"/>
      <w:outlineLvl w:val="0"/>
    </w:pPr>
    <w:rPr>
      <w:rFonts w:ascii="PMingLiU" w:hAnsi="PMingLiU" w:eastAsia="PMingLiU" w:cs="PMingLiU"/>
      <w:sz w:val="48"/>
      <w:szCs w:val="48"/>
    </w:rPr>
  </w:style>
  <w:style w:type="paragraph" w:styleId="4">
    <w:name w:val="heading 2"/>
    <w:basedOn w:val="1"/>
    <w:next w:val="1"/>
    <w:qFormat/>
    <w:uiPriority w:val="1"/>
    <w:pPr>
      <w:spacing w:before="45"/>
      <w:ind w:left="30" w:right="28"/>
      <w:jc w:val="center"/>
      <w:outlineLvl w:val="1"/>
    </w:pPr>
    <w:rPr>
      <w:rFonts w:ascii="PMingLiU" w:hAnsi="PMingLiU" w:eastAsia="PMingLiU" w:cs="PMingLiU"/>
      <w:sz w:val="44"/>
      <w:szCs w:val="44"/>
    </w:rPr>
  </w:style>
  <w:style w:type="paragraph" w:styleId="5">
    <w:name w:val="heading 3"/>
    <w:basedOn w:val="1"/>
    <w:next w:val="1"/>
    <w:qFormat/>
    <w:uiPriority w:val="1"/>
    <w:pPr>
      <w:ind w:left="30"/>
      <w:jc w:val="center"/>
      <w:outlineLvl w:val="2"/>
    </w:pPr>
    <w:rPr>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6">
    <w:name w:val="Body Text"/>
    <w:basedOn w:val="1"/>
    <w:next w:val="1"/>
    <w:link w:val="22"/>
    <w:qFormat/>
    <w:uiPriority w:val="1"/>
    <w:pPr>
      <w:spacing w:line="560" w:lineRule="exact"/>
      <w:ind w:firstLine="640"/>
      <w:jc w:val="both"/>
    </w:pPr>
    <w:rPr>
      <w:rFonts w:ascii="Times New Roman" w:hAnsi="Times New Roman" w:eastAsia="仿宋_GB2312" w:cs="Times New Roman"/>
      <w:b/>
      <w:bCs/>
      <w:kern w:val="2"/>
    </w:rPr>
  </w:style>
  <w:style w:type="paragraph" w:styleId="7">
    <w:name w:val="Body Text Indent"/>
    <w:basedOn w:val="1"/>
    <w:next w:val="8"/>
    <w:unhideWhenUsed/>
    <w:qFormat/>
    <w:uiPriority w:val="99"/>
    <w:pPr>
      <w:spacing w:after="120"/>
      <w:ind w:left="420" w:leftChars="200"/>
    </w:pPr>
    <w:rPr>
      <w:rFonts w:ascii="Calibri" w:hAnsi="Calibri" w:cs="Times New Roman"/>
    </w:rPr>
  </w:style>
  <w:style w:type="paragraph" w:customStyle="1" w:styleId="8">
    <w:name w:val="font5"/>
    <w:basedOn w:val="1"/>
    <w:qFormat/>
    <w:uiPriority w:val="0"/>
    <w:pPr>
      <w:widowControl/>
      <w:spacing w:before="100" w:beforeLines="0" w:beforeAutospacing="1" w:after="100" w:afterLines="0" w:afterAutospacing="1"/>
      <w:jc w:val="left"/>
    </w:pPr>
    <w:rPr>
      <w:rFonts w:ascii="宋体" w:hAnsi="Times New Roman" w:eastAsia="宋体" w:cs="Times New Roman"/>
      <w:kern w:val="0"/>
      <w:sz w:val="18"/>
    </w:rPr>
  </w:style>
  <w:style w:type="paragraph" w:styleId="9">
    <w:name w:val="Body Text Indent 2"/>
    <w:basedOn w:val="1"/>
    <w:unhideWhenUsed/>
    <w:qFormat/>
    <w:uiPriority w:val="99"/>
    <w:pPr>
      <w:spacing w:after="120" w:line="480" w:lineRule="auto"/>
      <w:ind w:left="420" w:leftChars="20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0"/>
    <w:pPr>
      <w:spacing w:beforeAutospacing="1" w:afterAutospacing="1"/>
    </w:pPr>
    <w:rPr>
      <w:rFonts w:cs="Times New Roman"/>
      <w:sz w:val="24"/>
    </w:rPr>
  </w:style>
  <w:style w:type="paragraph" w:styleId="12">
    <w:name w:val="Body Text First Indent 2"/>
    <w:basedOn w:val="7"/>
    <w:qFormat/>
    <w:uiPriority w:val="0"/>
    <w:pPr>
      <w:adjustRightInd w:val="0"/>
      <w:snapToGrid w:val="0"/>
      <w:ind w:firstLine="420"/>
    </w:pPr>
    <w:rPr>
      <w:rFonts w:ascii="仿宋_GB2312" w:hAnsi="Times New Roman" w:eastAsia="仿宋_GB2312" w:cs="仿宋_GB2312"/>
      <w:sz w:val="32"/>
      <w:szCs w:val="32"/>
    </w:rPr>
  </w:style>
  <w:style w:type="paragraph" w:customStyle="1" w:styleId="15">
    <w:name w:val="1"/>
    <w:basedOn w:val="1"/>
    <w:next w:val="7"/>
    <w:qFormat/>
    <w:uiPriority w:val="0"/>
    <w:rPr>
      <w:rFonts w:ascii="Times New Roman" w:hAnsi="Times New Roman" w:eastAsia="宋体" w:cs="Times New Roman"/>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7">
    <w:name w:val="无间隔1"/>
    <w:next w:val="1"/>
    <w:autoRedefine/>
    <w:qFormat/>
    <w:uiPriority w:val="1"/>
    <w:pPr>
      <w:adjustRightInd w:val="0"/>
      <w:snapToGrid w:val="0"/>
      <w:jc w:val="both"/>
    </w:pPr>
    <w:rPr>
      <w:rFonts w:ascii="Tahoma" w:hAnsi="Tahoma" w:eastAsia="仿宋" w:cs="Times New Roman"/>
      <w:sz w:val="32"/>
      <w:szCs w:val="22"/>
      <w:lang w:val="en-US" w:eastAsia="zh-CN" w:bidi="ar-SA"/>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autoRedefine/>
    <w:qFormat/>
    <w:uiPriority w:val="1"/>
    <w:pPr>
      <w:spacing w:before="190"/>
      <w:ind w:left="1840" w:hanging="241"/>
    </w:pPr>
  </w:style>
  <w:style w:type="paragraph" w:customStyle="1" w:styleId="20">
    <w:name w:val="Table Paragraph"/>
    <w:basedOn w:val="1"/>
    <w:qFormat/>
    <w:uiPriority w:val="1"/>
  </w:style>
  <w:style w:type="paragraph" w:customStyle="1" w:styleId="21">
    <w:name w:val="_Style 1"/>
    <w:basedOn w:val="1"/>
    <w:autoRedefine/>
    <w:qFormat/>
    <w:uiPriority w:val="0"/>
    <w:pPr>
      <w:ind w:firstLine="420" w:firstLineChars="200"/>
    </w:pPr>
    <w:rPr>
      <w:rFonts w:ascii="Times New Roman" w:hAnsi="Times New Roman" w:cs="Times New Roman"/>
    </w:rPr>
  </w:style>
  <w:style w:type="character" w:customStyle="1" w:styleId="22">
    <w:name w:val="正文文本 字符"/>
    <w:link w:val="6"/>
    <w:uiPriority w:val="1"/>
    <w:rPr>
      <w:rFonts w:ascii="Times New Roman" w:hAnsi="Times New Roman" w:eastAsia="仿宋_GB2312" w:cs="Times New Roman"/>
      <w:b/>
      <w:bCs/>
      <w:color w:val="000000" w:themeColor="text1"/>
      <w:spacing w:val="-2"/>
      <w:w w:val="99"/>
      <w:kern w:val="2"/>
      <w:sz w:val="32"/>
      <w:szCs w:val="32"/>
      <w:lang w:val="en-US" w:eastAsia="zh-CN" w:bidi="ar-SA"/>
      <w14:textFill>
        <w14:solidFill>
          <w14:schemeClr w14:val="tx1"/>
        </w14:solidFill>
      </w14:textFill>
    </w:rPr>
  </w:style>
  <w:style w:type="character" w:customStyle="1" w:styleId="23">
    <w:name w:val="NormalCharacter"/>
    <w:qFormat/>
    <w:uiPriority w:val="0"/>
    <w:rPr>
      <w:rFonts w:ascii="Calibri" w:hAnsi="Calibri" w:eastAsia="宋体" w:cs="Times New Roman"/>
      <w:kern w:val="2"/>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4153</Words>
  <Characters>4423</Characters>
  <Lines>37</Lines>
  <Paragraphs>10</Paragraphs>
  <TotalTime>49</TotalTime>
  <ScaleCrop>false</ScaleCrop>
  <LinksUpToDate>false</LinksUpToDate>
  <CharactersWithSpaces>4427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2024-05-07T00:36:00Z</dcterms:created>
  <dc:creator>Administrator</dc:creator>
  <cp:lastModifiedBy>Sha.n</cp:lastModifiedBy>
  <cp:lastPrinted>2024-06-24T02:41:00Z</cp:lastPrinted>
  <dcterms:modified xsi:type="dcterms:W3CDTF">2025-01-10T04:01:13Z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Producer">
    <vt:lpwstr>Xpdf - https://xpdf.cn</vt:lpwstr>
  </property>
  <property fmtid="{D5CDD505-2E9C-101B-9397-08002B2CF9AE}" pid="4" name="KSOProductBuildVer">
    <vt:lpwstr>2052-12.1.0.19770</vt:lpwstr>
  </property>
  <property fmtid="{D5CDD505-2E9C-101B-9397-08002B2CF9AE}" pid="5" name="ICV">
    <vt:lpwstr>20063BA6C47A4750BC4833200429241B_13</vt:lpwstr>
  </property>
  <property fmtid="{D5CDD505-2E9C-101B-9397-08002B2CF9AE}" pid="6" name="KSOTemplateDocerSaveRecord">
    <vt:lpwstr>eyJoZGlkIjoiNTZhMTE0YTZkMmY0YTk1MzkyMGQxNTk0MmExMTYzY2QiLCJ1c2VySWQiOiI0NDk4NzU4NjkifQ==</vt:lpwstr>
  </property>
</Properties>
</file>