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drawing>
          <wp:inline distT="0" distB="0" distL="114300" distR="114300">
            <wp:extent cx="4958080" cy="8809990"/>
            <wp:effectExtent l="0" t="0" r="13970" b="10160"/>
            <wp:docPr id="2" name="图片 2" descr="微信图片_2024060609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06095858"/>
                    <pic:cNvPicPr>
                      <a:picLocks noChangeAspect="1"/>
                    </pic:cNvPicPr>
                  </pic:nvPicPr>
                  <pic:blipFill>
                    <a:blip r:embed="rId6"/>
                    <a:stretch>
                      <a:fillRect/>
                    </a:stretch>
                  </pic:blipFill>
                  <pic:spPr>
                    <a:xfrm>
                      <a:off x="0" y="0"/>
                      <a:ext cx="4958080" cy="8809990"/>
                    </a:xfrm>
                    <a:prstGeom prst="rect">
                      <a:avLst/>
                    </a:prstGeom>
                  </pic:spPr>
                </pic:pic>
              </a:graphicData>
            </a:graphic>
          </wp:inline>
        </w:drawing>
      </w: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bookmarkStart w:id="5" w:name="_GoBack"/>
      <w:bookmarkEnd w:id="5"/>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1</w:t>
      </w:r>
    </w:p>
    <w:p>
      <w:pPr>
        <w:spacing w:beforeLines="50" w:afterLines="50"/>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指标</w:t>
      </w:r>
      <w:r>
        <w:rPr>
          <w:rFonts w:hint="default" w:ascii="Times New Roman" w:hAnsi="Times New Roman" w:eastAsia="方正小标宋_GBK" w:cs="Times New Roman"/>
          <w:kern w:val="0"/>
          <w:sz w:val="36"/>
          <w:szCs w:val="36"/>
        </w:rPr>
        <w:t>表</w:t>
      </w:r>
    </w:p>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0"/>
          <w:sz w:val="28"/>
          <w:szCs w:val="28"/>
          <w:lang w:eastAsia="zh-CN"/>
        </w:rPr>
        <w:t>填报单位：（盖章）</w:t>
      </w:r>
    </w:p>
    <w:tbl>
      <w:tblPr>
        <w:tblStyle w:val="5"/>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66"/>
        <w:gridCol w:w="951"/>
        <w:gridCol w:w="2908"/>
        <w:gridCol w:w="4252"/>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Header/>
          <w:jc w:val="center"/>
        </w:trPr>
        <w:tc>
          <w:tcPr>
            <w:tcW w:w="666" w:type="dxa"/>
            <w:tcMar>
              <w:top w:w="10" w:type="dxa"/>
              <w:left w:w="10" w:type="dxa"/>
              <w:bottom w:w="0" w:type="dxa"/>
              <w:right w:w="10" w:type="dxa"/>
            </w:tcMar>
            <w:vAlign w:val="center"/>
          </w:tcPr>
          <w:p>
            <w:pPr>
              <w:jc w:val="center"/>
              <w:rPr>
                <w:rFonts w:hint="eastAsia" w:ascii="仿宋_GB2312" w:eastAsia="仿宋_GB2312"/>
                <w:b/>
                <w:bCs/>
                <w:szCs w:val="21"/>
                <w:lang w:eastAsia="zh-CN"/>
              </w:rPr>
            </w:pPr>
            <w:r>
              <w:rPr>
                <w:rFonts w:hint="eastAsia" w:ascii="仿宋_GB2312" w:eastAsia="仿宋_GB2312"/>
                <w:b/>
                <w:bCs/>
                <w:szCs w:val="21"/>
              </w:rPr>
              <w:t>一级</w:t>
            </w:r>
          </w:p>
          <w:p>
            <w:pPr>
              <w:jc w:val="center"/>
              <w:rPr>
                <w:rFonts w:ascii="仿宋_GB2312" w:eastAsia="仿宋_GB2312"/>
                <w:b/>
                <w:bCs/>
                <w:szCs w:val="21"/>
              </w:rPr>
            </w:pPr>
            <w:r>
              <w:rPr>
                <w:rFonts w:hint="eastAsia" w:ascii="仿宋_GB2312" w:eastAsia="仿宋_GB2312"/>
                <w:b/>
                <w:bCs/>
                <w:szCs w:val="21"/>
              </w:rPr>
              <w:t>指标</w:t>
            </w:r>
          </w:p>
        </w:tc>
        <w:tc>
          <w:tcPr>
            <w:tcW w:w="866" w:type="dxa"/>
            <w:tcMar>
              <w:top w:w="10" w:type="dxa"/>
              <w:left w:w="10" w:type="dxa"/>
              <w:bottom w:w="0" w:type="dxa"/>
              <w:right w:w="10" w:type="dxa"/>
            </w:tcMar>
            <w:vAlign w:val="center"/>
          </w:tcPr>
          <w:p>
            <w:pPr>
              <w:ind w:right="-174" w:rightChars="-83"/>
              <w:jc w:val="center"/>
              <w:rPr>
                <w:rFonts w:ascii="仿宋_GB2312" w:eastAsia="仿宋_GB2312"/>
                <w:b/>
                <w:bCs/>
                <w:szCs w:val="21"/>
              </w:rPr>
            </w:pPr>
            <w:r>
              <w:rPr>
                <w:rFonts w:hint="eastAsia" w:ascii="仿宋_GB2312" w:eastAsia="仿宋_GB2312"/>
                <w:b/>
                <w:bCs/>
                <w:szCs w:val="21"/>
              </w:rPr>
              <w:t>二级</w:t>
            </w:r>
          </w:p>
          <w:p>
            <w:pPr>
              <w:ind w:right="-174" w:rightChars="-83"/>
              <w:jc w:val="center"/>
              <w:rPr>
                <w:rFonts w:ascii="仿宋_GB2312" w:eastAsia="仿宋_GB2312"/>
                <w:b/>
                <w:bCs/>
                <w:szCs w:val="21"/>
              </w:rPr>
            </w:pPr>
            <w:r>
              <w:rPr>
                <w:rFonts w:hint="eastAsia" w:ascii="仿宋_GB2312" w:eastAsia="仿宋_GB2312"/>
                <w:b/>
                <w:bCs/>
                <w:szCs w:val="21"/>
              </w:rPr>
              <w:t>指标</w:t>
            </w:r>
          </w:p>
        </w:tc>
        <w:tc>
          <w:tcPr>
            <w:tcW w:w="951" w:type="dxa"/>
            <w:tcMar>
              <w:top w:w="10" w:type="dxa"/>
              <w:left w:w="10" w:type="dxa"/>
              <w:bottom w:w="0" w:type="dxa"/>
              <w:right w:w="10" w:type="dxa"/>
            </w:tcMar>
            <w:vAlign w:val="center"/>
          </w:tcPr>
          <w:p>
            <w:pPr>
              <w:jc w:val="center"/>
              <w:rPr>
                <w:rFonts w:ascii="仿宋_GB2312" w:eastAsia="仿宋_GB2312"/>
                <w:b/>
                <w:bCs/>
                <w:szCs w:val="21"/>
              </w:rPr>
            </w:pPr>
            <w:r>
              <w:rPr>
                <w:rFonts w:hint="eastAsia" w:ascii="仿宋_GB2312" w:eastAsia="仿宋_GB2312"/>
                <w:b/>
                <w:bCs/>
                <w:szCs w:val="21"/>
              </w:rPr>
              <w:t>三级</w:t>
            </w:r>
          </w:p>
          <w:p>
            <w:pPr>
              <w:jc w:val="center"/>
              <w:rPr>
                <w:rFonts w:ascii="仿宋_GB2312" w:eastAsia="仿宋_GB2312"/>
                <w:b/>
                <w:bCs/>
                <w:szCs w:val="21"/>
              </w:rPr>
            </w:pPr>
            <w:r>
              <w:rPr>
                <w:rFonts w:hint="eastAsia" w:ascii="仿宋_GB2312" w:eastAsia="仿宋_GB2312"/>
                <w:b/>
                <w:bCs/>
                <w:szCs w:val="21"/>
              </w:rPr>
              <w:t>指标</w:t>
            </w:r>
          </w:p>
        </w:tc>
        <w:tc>
          <w:tcPr>
            <w:tcW w:w="2908"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评分及标准</w:t>
            </w:r>
          </w:p>
        </w:tc>
        <w:tc>
          <w:tcPr>
            <w:tcW w:w="4252" w:type="dxa"/>
            <w:tcMar>
              <w:top w:w="10" w:type="dxa"/>
              <w:left w:w="10" w:type="dxa"/>
              <w:bottom w:w="0" w:type="dxa"/>
              <w:right w:w="10" w:type="dxa"/>
            </w:tcMar>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指标说明</w:t>
            </w:r>
          </w:p>
        </w:tc>
        <w:tc>
          <w:tcPr>
            <w:tcW w:w="938" w:type="dxa"/>
            <w:vAlign w:val="center"/>
          </w:tcPr>
          <w:p>
            <w:pPr>
              <w:ind w:left="105" w:leftChars="50" w:right="105" w:rightChars="50"/>
              <w:jc w:val="center"/>
              <w:rPr>
                <w:rFonts w:ascii="仿宋_GB2312" w:eastAsia="仿宋_GB2312"/>
                <w:b/>
                <w:bCs/>
                <w:szCs w:val="21"/>
              </w:rPr>
            </w:pPr>
            <w:r>
              <w:rPr>
                <w:rFonts w:hint="eastAsia" w:ascii="仿宋_GB2312" w:eastAsia="仿宋_GB2312"/>
                <w:b/>
                <w:bCs/>
                <w:szCs w:val="21"/>
              </w:rPr>
              <w:t>自评分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7"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投</w:t>
            </w:r>
            <w:r>
              <w:rPr>
                <w:rFonts w:ascii="仿宋_GB2312" w:eastAsia="仿宋_GB2312"/>
                <w:szCs w:val="21"/>
              </w:rPr>
              <w:t xml:space="preserve">   </w:t>
            </w:r>
            <w:r>
              <w:rPr>
                <w:rFonts w:hint="eastAsia" w:ascii="仿宋_GB2312" w:eastAsia="仿宋_GB2312"/>
                <w:szCs w:val="21"/>
              </w:rPr>
              <w:t>入</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目标</w:t>
            </w:r>
          </w:p>
          <w:p>
            <w:pPr>
              <w:spacing w:line="320" w:lineRule="exact"/>
              <w:jc w:val="center"/>
              <w:rPr>
                <w:rFonts w:ascii="仿宋_GB2312" w:eastAsia="仿宋_GB2312"/>
                <w:szCs w:val="21"/>
              </w:rPr>
            </w:pPr>
            <w:r>
              <w:rPr>
                <w:rFonts w:hint="eastAsia" w:ascii="仿宋_GB2312" w:eastAsia="仿宋_GB2312"/>
                <w:szCs w:val="21"/>
              </w:rPr>
              <w:t>设定</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14</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绩效目标</w:t>
            </w:r>
          </w:p>
          <w:p>
            <w:pPr>
              <w:spacing w:line="320" w:lineRule="exact"/>
              <w:jc w:val="center"/>
              <w:rPr>
                <w:rFonts w:ascii="仿宋_GB2312" w:eastAsia="仿宋_GB2312"/>
                <w:szCs w:val="21"/>
              </w:rPr>
            </w:pPr>
            <w:r>
              <w:rPr>
                <w:rFonts w:hint="eastAsia" w:ascii="仿宋_GB2312" w:eastAsia="仿宋_GB2312"/>
                <w:szCs w:val="21"/>
              </w:rPr>
              <w:t>合理性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①</w:t>
            </w:r>
            <w:r>
              <w:rPr>
                <w:rFonts w:hint="eastAsia" w:ascii="仿宋_GB2312" w:eastAsia="仿宋_GB2312"/>
                <w:szCs w:val="21"/>
              </w:rPr>
              <w:t>是否符合国家法律法规、国民经济和社会发展总体规划</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②</w:t>
            </w:r>
            <w:r>
              <w:rPr>
                <w:rFonts w:hint="eastAsia" w:ascii="仿宋_GB2312" w:eastAsia="仿宋_GB2312"/>
                <w:szCs w:val="21"/>
              </w:rPr>
              <w:t>是否符合部门“三定”方案确定的职责</w:t>
            </w:r>
            <w:r>
              <w:rPr>
                <w:rFonts w:ascii="仿宋_GB2312" w:eastAsia="仿宋_GB2312"/>
                <w:szCs w:val="21"/>
              </w:rPr>
              <w:t>2</w:t>
            </w:r>
            <w:r>
              <w:rPr>
                <w:rFonts w:hint="eastAsia" w:ascii="仿宋_GB2312" w:eastAsia="仿宋_GB2312"/>
                <w:szCs w:val="21"/>
              </w:rPr>
              <w:t>分</w:t>
            </w:r>
            <w:r>
              <w:rPr>
                <w:rFonts w:hint="eastAsia" w:ascii="仿宋_GB2312" w:hAnsi="宋体" w:eastAsia="仿宋_GB2312" w:cs="宋体"/>
                <w:szCs w:val="21"/>
              </w:rPr>
              <w:t>③</w:t>
            </w:r>
            <w:r>
              <w:rPr>
                <w:rFonts w:hint="eastAsia" w:ascii="仿宋_GB2312" w:eastAsia="仿宋_GB2312"/>
                <w:szCs w:val="21"/>
              </w:rPr>
              <w:t>是否符合部门制定的中长期实施规划</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7"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绩效指标</w:t>
            </w:r>
          </w:p>
          <w:p>
            <w:pPr>
              <w:spacing w:line="320" w:lineRule="exact"/>
              <w:jc w:val="center"/>
              <w:rPr>
                <w:rFonts w:ascii="仿宋_GB2312" w:eastAsia="仿宋_GB2312"/>
                <w:szCs w:val="21"/>
              </w:rPr>
            </w:pPr>
            <w:r>
              <w:rPr>
                <w:rFonts w:hint="eastAsia" w:ascii="仿宋_GB2312" w:eastAsia="仿宋_GB2312"/>
                <w:szCs w:val="21"/>
              </w:rPr>
              <w:t>明确性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每项指标评价要点加</w:t>
            </w:r>
            <w:r>
              <w:rPr>
                <w:rFonts w:ascii="仿宋_GB2312" w:eastAsia="仿宋_GB2312"/>
                <w:szCs w:val="21"/>
              </w:rPr>
              <w:t>2</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是否将部门整体的绩效目标细化分解为具体的工作任务</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是否通过清晰、可衡量的指标值予以体现。</w:t>
            </w:r>
            <w:r>
              <w:rPr>
                <w:rFonts w:ascii="仿宋_GB2312" w:eastAsia="仿宋_GB2312"/>
                <w:szCs w:val="21"/>
              </w:rPr>
              <w:t xml:space="preserve">    </w:t>
            </w:r>
            <w:r>
              <w:rPr>
                <w:rFonts w:hint="eastAsia" w:ascii="仿宋_GB2312" w:hAnsi="宋体" w:eastAsia="仿宋_GB2312" w:cs="宋体"/>
                <w:szCs w:val="21"/>
              </w:rPr>
              <w:t>③</w:t>
            </w:r>
            <w:r>
              <w:rPr>
                <w:rFonts w:hint="eastAsia" w:ascii="仿宋_GB2312" w:eastAsia="仿宋_GB2312"/>
                <w:szCs w:val="21"/>
              </w:rPr>
              <w:t>是否与部门年度的任务数或计划数相对应</w:t>
            </w:r>
            <w:r>
              <w:rPr>
                <w:rFonts w:ascii="仿宋_GB2312" w:eastAsia="仿宋_GB2312"/>
                <w:szCs w:val="21"/>
              </w:rPr>
              <w:t>2</w:t>
            </w:r>
            <w:r>
              <w:rPr>
                <w:rFonts w:hint="eastAsia" w:ascii="仿宋_GB2312" w:eastAsia="仿宋_GB2312"/>
                <w:szCs w:val="21"/>
              </w:rPr>
              <w:t>分；</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④</w:t>
            </w:r>
            <w:r>
              <w:rPr>
                <w:rFonts w:hint="eastAsia" w:ascii="仿宋_GB2312" w:eastAsia="仿宋_GB2312"/>
                <w:szCs w:val="21"/>
              </w:rPr>
              <w:t>是否与本年度部门预算资金相匹配</w:t>
            </w:r>
            <w:r>
              <w:rPr>
                <w:rFonts w:ascii="仿宋_GB2312" w:eastAsia="仿宋_GB2312"/>
                <w:szCs w:val="21"/>
              </w:rPr>
              <w:t>2</w:t>
            </w:r>
            <w:r>
              <w:rPr>
                <w:rFonts w:hint="eastAsia" w:ascii="仿宋_GB2312" w:eastAsia="仿宋_GB2312"/>
                <w:szCs w:val="21"/>
              </w:rPr>
              <w:t>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配置</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在职人员</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w:t>
            </w:r>
            <w:r>
              <w:rPr>
                <w:rFonts w:ascii="仿宋_GB2312" w:eastAsia="仿宋_GB2312"/>
                <w:szCs w:val="21"/>
              </w:rPr>
              <w:t>100%</w:t>
            </w:r>
            <w:r>
              <w:rPr>
                <w:rFonts w:hint="eastAsia" w:ascii="仿宋_GB2312" w:eastAsia="仿宋_GB2312"/>
                <w:szCs w:val="21"/>
              </w:rPr>
              <w:t>为标准，在职人员控制率≤</w:t>
            </w:r>
            <w:r>
              <w:rPr>
                <w:rFonts w:ascii="仿宋_GB2312" w:eastAsia="仿宋_GB2312"/>
                <w:szCs w:val="21"/>
              </w:rPr>
              <w:t>100%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分；每超过一个百分点扣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在职人员控制率</w:t>
            </w:r>
            <w:r>
              <w:rPr>
                <w:rFonts w:ascii="仿宋_GB2312" w:eastAsia="仿宋_GB2312"/>
                <w:szCs w:val="21"/>
              </w:rPr>
              <w:t>=</w:t>
            </w:r>
            <w:r>
              <w:rPr>
                <w:rFonts w:hint="eastAsia" w:ascii="仿宋_GB2312" w:eastAsia="仿宋_GB2312"/>
                <w:szCs w:val="21"/>
              </w:rPr>
              <w:t>（在职人员数</w:t>
            </w:r>
            <w:r>
              <w:rPr>
                <w:rFonts w:ascii="仿宋_GB2312" w:eastAsia="仿宋_GB2312"/>
                <w:szCs w:val="21"/>
              </w:rPr>
              <w:t>/</w:t>
            </w:r>
            <w:r>
              <w:rPr>
                <w:rFonts w:hint="eastAsia" w:ascii="仿宋_GB2312" w:eastAsia="仿宋_GB2312"/>
                <w:szCs w:val="21"/>
              </w:rPr>
              <w:t>编制数）×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在职人员数：部门实际在职人数，以财政部确定的部门决算编制口径为准。</w:t>
            </w:r>
          </w:p>
          <w:p>
            <w:pPr>
              <w:spacing w:line="320" w:lineRule="exact"/>
              <w:ind w:left="105" w:leftChars="50" w:right="105" w:rightChars="50"/>
              <w:rPr>
                <w:rFonts w:ascii="仿宋_GB2312" w:eastAsia="仿宋_GB2312"/>
                <w:szCs w:val="21"/>
              </w:rPr>
            </w:pPr>
            <w:r>
              <w:rPr>
                <w:rFonts w:hint="eastAsia" w:ascii="仿宋_GB2312" w:eastAsia="仿宋_GB2312"/>
                <w:szCs w:val="21"/>
              </w:rPr>
              <w:t>编制数：机构编制部门核定批复的部门的人员编制数。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“三公经费”变动率为</w:t>
            </w:r>
            <w:r>
              <w:rPr>
                <w:rFonts w:ascii="仿宋_GB2312" w:eastAsia="仿宋_GB2312"/>
                <w:szCs w:val="21"/>
              </w:rPr>
              <w:t>0</w:t>
            </w:r>
            <w:r>
              <w:rPr>
                <w:rFonts w:hint="eastAsia" w:ascii="仿宋_GB2312" w:eastAsia="仿宋_GB2312"/>
                <w:szCs w:val="21"/>
              </w:rPr>
              <w:t>，计</w:t>
            </w:r>
            <w:r>
              <w:rPr>
                <w:rFonts w:ascii="仿宋_GB2312" w:eastAsia="仿宋_GB2312"/>
                <w:szCs w:val="21"/>
              </w:rPr>
              <w:t>5</w:t>
            </w:r>
            <w:r>
              <w:rPr>
                <w:rFonts w:hint="eastAsia" w:ascii="仿宋_GB2312" w:eastAsia="仿宋_GB2312"/>
                <w:szCs w:val="21"/>
              </w:rPr>
              <w:t>分；“三公经费”＞</w:t>
            </w:r>
            <w:r>
              <w:rPr>
                <w:rFonts w:ascii="仿宋_GB2312" w:eastAsia="仿宋_GB2312"/>
                <w:szCs w:val="21"/>
              </w:rPr>
              <w:t>0</w:t>
            </w:r>
            <w:r>
              <w:rPr>
                <w:rFonts w:hint="eastAsia" w:ascii="仿宋_GB2312" w:eastAsia="仿宋_GB2312"/>
                <w:szCs w:val="21"/>
              </w:rPr>
              <w:t>，每超过一个百分点扣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“三公经费”变动率</w:t>
            </w:r>
            <w:r>
              <w:rPr>
                <w:rFonts w:ascii="仿宋_GB2312" w:eastAsia="仿宋_GB2312"/>
                <w:szCs w:val="21"/>
              </w:rPr>
              <w:t>=[</w:t>
            </w:r>
            <w:r>
              <w:rPr>
                <w:rFonts w:hint="eastAsia" w:ascii="仿宋_GB2312" w:eastAsia="仿宋_GB2312"/>
                <w:szCs w:val="21"/>
              </w:rPr>
              <w:t>（本年度“三公经费”总额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上年度“三公经费”总额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“三公经费”：年度预算安排的因公出国（境）费、公务车辆购置及运行费和公务招待费。</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1"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重点支出</w:t>
            </w:r>
          </w:p>
          <w:p>
            <w:pPr>
              <w:spacing w:line="320" w:lineRule="exact"/>
              <w:jc w:val="center"/>
              <w:rPr>
                <w:rFonts w:ascii="仿宋_GB2312" w:eastAsia="仿宋_GB2312"/>
                <w:szCs w:val="21"/>
              </w:rPr>
            </w:pPr>
            <w:r>
              <w:rPr>
                <w:rFonts w:hint="eastAsia" w:ascii="仿宋_GB2312" w:eastAsia="仿宋_GB2312"/>
                <w:szCs w:val="21"/>
              </w:rPr>
              <w:t>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“重点支出安排率”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50%</w:t>
            </w:r>
            <w:r>
              <w:rPr>
                <w:rFonts w:hint="eastAsia" w:ascii="仿宋_GB2312" w:eastAsia="仿宋_GB2312"/>
                <w:szCs w:val="21"/>
              </w:rPr>
              <w:t>，计</w:t>
            </w:r>
            <w:r>
              <w:rPr>
                <w:rFonts w:ascii="仿宋_GB2312" w:eastAsia="仿宋_GB2312"/>
                <w:szCs w:val="21"/>
              </w:rPr>
              <w:t>2</w:t>
            </w:r>
            <w:r>
              <w:rPr>
                <w:rFonts w:hint="eastAsia" w:ascii="仿宋_GB2312" w:eastAsia="仿宋_GB2312"/>
                <w:szCs w:val="21"/>
              </w:rPr>
              <w:t>分，每下降一个百分点扣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重点支出安排率</w:t>
            </w:r>
            <w:r>
              <w:rPr>
                <w:rFonts w:ascii="仿宋_GB2312" w:eastAsia="仿宋_GB2312"/>
                <w:szCs w:val="21"/>
              </w:rPr>
              <w:t>=</w:t>
            </w:r>
            <w:r>
              <w:rPr>
                <w:rFonts w:hint="eastAsia" w:ascii="仿宋_GB2312" w:eastAsia="仿宋_GB2312"/>
                <w:szCs w:val="21"/>
              </w:rPr>
              <w:t>（重点预算支出</w:t>
            </w:r>
            <w:r>
              <w:rPr>
                <w:rFonts w:ascii="仿宋_GB2312" w:eastAsia="仿宋_GB2312"/>
                <w:szCs w:val="21"/>
              </w:rPr>
              <w:t>/</w:t>
            </w:r>
            <w:r>
              <w:rPr>
                <w:rFonts w:hint="eastAsia" w:ascii="仿宋_GB2312" w:eastAsia="仿宋_GB2312"/>
                <w:szCs w:val="21"/>
              </w:rPr>
              <w:t>预算总支出）×</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重点预算支出：部门年度预算安排的，与本部门履职和发展密切相关、具有明显社会和经济影响、党委政府关心或社会比较关注的预算支出支出总额。</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预算总支出：部门年度预算安排的预算支出支出总额。</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0"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预算执行率</w:t>
            </w:r>
            <w:r>
              <w:rPr>
                <w:rFonts w:ascii="仿宋_GB2312" w:eastAsia="仿宋_GB2312"/>
                <w:szCs w:val="21"/>
              </w:rPr>
              <w:t>=</w:t>
            </w:r>
            <w:r>
              <w:rPr>
                <w:rFonts w:hint="eastAsia" w:ascii="仿宋_GB2312" w:eastAsia="仿宋_GB2312"/>
                <w:szCs w:val="21"/>
              </w:rPr>
              <w:t>（预算执行数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预算执行数：部门本年度实际完成的预算数。</w:t>
            </w:r>
          </w:p>
          <w:p>
            <w:pPr>
              <w:spacing w:line="320" w:lineRule="exact"/>
              <w:ind w:left="105" w:leftChars="50" w:right="105" w:rightChars="50"/>
              <w:rPr>
                <w:rFonts w:ascii="仿宋_GB2312" w:eastAsia="仿宋_GB2312"/>
                <w:szCs w:val="21"/>
              </w:rPr>
            </w:pPr>
            <w:r>
              <w:rPr>
                <w:rFonts w:hint="eastAsia" w:ascii="仿宋_GB2312" w:eastAsia="仿宋_GB2312"/>
                <w:szCs w:val="21"/>
              </w:rPr>
              <w:t>预算数：财政部门批复的本年度部门预算数。</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调整率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计满分，每下降</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预算调整率</w:t>
            </w:r>
            <w:r>
              <w:rPr>
                <w:rFonts w:ascii="仿宋_GB2312" w:eastAsia="仿宋_GB2312"/>
                <w:szCs w:val="21"/>
              </w:rPr>
              <w:t>=</w:t>
            </w:r>
            <w:r>
              <w:rPr>
                <w:rFonts w:hint="eastAsia" w:ascii="仿宋_GB2312" w:eastAsia="仿宋_GB2312"/>
                <w:szCs w:val="21"/>
              </w:rPr>
              <w:t>（预算调整数</w:t>
            </w:r>
            <w:r>
              <w:rPr>
                <w:rFonts w:ascii="仿宋_GB2312" w:eastAsia="仿宋_GB2312"/>
                <w:szCs w:val="21"/>
              </w:rPr>
              <w:t>/</w:t>
            </w:r>
            <w:r>
              <w:rPr>
                <w:rFonts w:hint="eastAsia" w:ascii="仿宋_GB2312" w:eastAsia="仿宋_GB2312"/>
                <w:szCs w:val="21"/>
              </w:rPr>
              <w:t>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预算调整数：部门在本年度内涉及预算的追加、追减或结构调整的资金总和（因落实国家政策、发生不可抗力、上级部门或本级党委政府临时交办而产生的调整除外）。</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1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支付</w:t>
            </w:r>
          </w:p>
          <w:p>
            <w:pPr>
              <w:spacing w:line="320" w:lineRule="exact"/>
              <w:jc w:val="center"/>
              <w:rPr>
                <w:rFonts w:ascii="仿宋_GB2312" w:eastAsia="仿宋_GB2312"/>
                <w:szCs w:val="21"/>
              </w:rPr>
            </w:pPr>
            <w:r>
              <w:rPr>
                <w:rFonts w:hint="eastAsia" w:ascii="仿宋_GB2312" w:eastAsia="仿宋_GB2312"/>
                <w:szCs w:val="21"/>
              </w:rPr>
              <w:t>进度率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计满分，每低于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支付进度率</w:t>
            </w:r>
            <w:r>
              <w:rPr>
                <w:rFonts w:ascii="仿宋_GB2312" w:eastAsia="仿宋_GB2312"/>
                <w:szCs w:val="21"/>
              </w:rPr>
              <w:t>=</w:t>
            </w:r>
            <w:r>
              <w:rPr>
                <w:rFonts w:hint="eastAsia" w:ascii="仿宋_GB2312" w:eastAsia="仿宋_GB2312"/>
                <w:szCs w:val="21"/>
              </w:rPr>
              <w:t>（实际支付进度</w:t>
            </w:r>
            <w:r>
              <w:rPr>
                <w:rFonts w:ascii="仿宋_GB2312" w:eastAsia="仿宋_GB2312"/>
                <w:szCs w:val="21"/>
              </w:rPr>
              <w:t>/</w:t>
            </w:r>
            <w:r>
              <w:rPr>
                <w:rFonts w:hint="eastAsia" w:ascii="仿宋_GB2312" w:eastAsia="仿宋_GB2312"/>
                <w:szCs w:val="21"/>
              </w:rPr>
              <w:t>既定支付进度）×</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实际支付进度：部门在某一时点的支出预算执行总数与年度支出预算数的比率。</w:t>
            </w:r>
          </w:p>
          <w:p>
            <w:pPr>
              <w:spacing w:line="320" w:lineRule="exact"/>
              <w:ind w:left="105" w:leftChars="50" w:right="105" w:rightChars="50"/>
              <w:rPr>
                <w:rFonts w:ascii="仿宋_GB2312" w:eastAsia="仿宋_GB2312"/>
                <w:szCs w:val="21"/>
              </w:rPr>
            </w:pPr>
            <w:r>
              <w:rPr>
                <w:rFonts w:hint="eastAsia" w:ascii="仿宋_GB2312" w:eastAsia="仿宋_GB2312"/>
                <w:szCs w:val="21"/>
              </w:rPr>
              <w:t>既定支付进度：由部门在申报部门整体绩效目标时，参照序时支付进度、前三年支付进度、本级部门平均支付进度水平等确定的，在某一时点应达到的支付进度（比率）。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continue"/>
            <w:tcMar>
              <w:top w:w="10" w:type="dxa"/>
              <w:left w:w="10" w:type="dxa"/>
              <w:bottom w:w="0" w:type="dxa"/>
              <w:right w:w="10" w:type="dxa"/>
            </w:tcMar>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w:t>
            </w:r>
          </w:p>
          <w:p>
            <w:pPr>
              <w:spacing w:line="320" w:lineRule="exact"/>
              <w:jc w:val="center"/>
              <w:rPr>
                <w:rFonts w:ascii="仿宋_GB2312" w:eastAsia="仿宋_GB2312"/>
                <w:szCs w:val="21"/>
              </w:rPr>
            </w:pPr>
            <w:r>
              <w:rPr>
                <w:rFonts w:hint="eastAsia" w:ascii="仿宋_GB2312" w:eastAsia="仿宋_GB2312"/>
                <w:szCs w:val="21"/>
              </w:rPr>
              <w:t>结余率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结转结余率</w:t>
            </w:r>
            <w:r>
              <w:rPr>
                <w:rFonts w:ascii="仿宋_GB2312" w:eastAsia="仿宋_GB2312"/>
                <w:szCs w:val="21"/>
              </w:rPr>
              <w:t>=</w:t>
            </w:r>
            <w:r>
              <w:rPr>
                <w:rFonts w:hint="eastAsia" w:ascii="仿宋_GB2312" w:eastAsia="仿宋_GB2312"/>
                <w:szCs w:val="21"/>
              </w:rPr>
              <w:t>结转结余总额</w:t>
            </w:r>
            <w:r>
              <w:rPr>
                <w:rFonts w:ascii="仿宋_GB2312" w:eastAsia="仿宋_GB2312"/>
                <w:szCs w:val="21"/>
              </w:rPr>
              <w:t>/</w:t>
            </w:r>
            <w:r>
              <w:rPr>
                <w:rFonts w:hint="eastAsia" w:ascii="仿宋_GB2312" w:eastAsia="仿宋_GB2312"/>
                <w:szCs w:val="21"/>
              </w:rPr>
              <w:t>支出预算数×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结转结余总额：部门本年度的结转资金与结余资金之和（以决算数为准）。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结转结余</w:t>
            </w:r>
          </w:p>
          <w:p>
            <w:pPr>
              <w:spacing w:line="320" w:lineRule="exact"/>
              <w:jc w:val="center"/>
              <w:rPr>
                <w:rFonts w:ascii="仿宋_GB2312" w:eastAsia="仿宋_GB2312"/>
                <w:szCs w:val="21"/>
              </w:rPr>
            </w:pPr>
            <w:r>
              <w:rPr>
                <w:rFonts w:hint="eastAsia" w:ascii="仿宋_GB2312" w:eastAsia="仿宋_GB2312"/>
                <w:szCs w:val="21"/>
              </w:rPr>
              <w:t>变动率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0%</w:t>
            </w:r>
            <w:r>
              <w:rPr>
                <w:rFonts w:hint="eastAsia" w:ascii="仿宋_GB2312" w:eastAsia="仿宋_GB2312"/>
                <w:szCs w:val="21"/>
              </w:rPr>
              <w:t>计满分，每超过</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结转结余变动率</w:t>
            </w:r>
            <w:r>
              <w:rPr>
                <w:rFonts w:ascii="仿宋_GB2312" w:eastAsia="仿宋_GB2312"/>
                <w:szCs w:val="21"/>
              </w:rPr>
              <w:t>=[</w:t>
            </w:r>
            <w:r>
              <w:rPr>
                <w:rFonts w:hint="eastAsia" w:ascii="仿宋_GB2312" w:eastAsia="仿宋_GB2312"/>
                <w:szCs w:val="21"/>
              </w:rPr>
              <w:t>（本年度累计结转结余资金总额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上年度累计结转结余资金总额</w:t>
            </w:r>
            <w:r>
              <w:rPr>
                <w:rFonts w:ascii="仿宋_GB2312" w:eastAsia="仿宋_GB2312"/>
                <w:szCs w:val="21"/>
              </w:rPr>
              <w:t>]</w:t>
            </w:r>
            <w:r>
              <w:rPr>
                <w:rFonts w:hint="eastAsia" w:ascii="仿宋_GB2312" w:eastAsia="仿宋_GB2312"/>
                <w:szCs w:val="21"/>
              </w:rPr>
              <w:t>×</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公用经费</w:t>
            </w:r>
          </w:p>
          <w:p>
            <w:pPr>
              <w:spacing w:line="320" w:lineRule="exact"/>
              <w:jc w:val="center"/>
              <w:rPr>
                <w:rFonts w:ascii="仿宋_GB2312" w:eastAsia="仿宋_GB2312"/>
                <w:szCs w:val="21"/>
              </w:rPr>
            </w:pPr>
            <w:r>
              <w:rPr>
                <w:rFonts w:hint="eastAsia" w:ascii="仿宋_GB2312" w:eastAsia="仿宋_GB2312"/>
                <w:szCs w:val="21"/>
              </w:rPr>
              <w:t>控制率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公用经费控制率</w:t>
            </w:r>
            <w:r>
              <w:rPr>
                <w:rFonts w:ascii="仿宋_GB2312" w:eastAsia="仿宋_GB2312"/>
                <w:szCs w:val="21"/>
              </w:rPr>
              <w:t>=</w:t>
            </w:r>
            <w:r>
              <w:rPr>
                <w:rFonts w:hint="eastAsia" w:ascii="仿宋_GB2312" w:eastAsia="仿宋_GB2312"/>
                <w:szCs w:val="21"/>
              </w:rPr>
              <w:t>（实际支出公用经费总额</w:t>
            </w:r>
            <w:r>
              <w:rPr>
                <w:rFonts w:ascii="仿宋_GB2312" w:eastAsia="仿宋_GB2312"/>
                <w:szCs w:val="21"/>
              </w:rPr>
              <w:t>/</w:t>
            </w:r>
            <w:r>
              <w:rPr>
                <w:rFonts w:hint="eastAsia" w:ascii="仿宋_GB2312" w:eastAsia="仿宋_GB2312"/>
                <w:szCs w:val="21"/>
              </w:rPr>
              <w:t>预算安排公用经费总额）×</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4"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执行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26</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“三公经费”控制率（</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“三公经费”控制率</w:t>
            </w:r>
            <w:r>
              <w:rPr>
                <w:rFonts w:ascii="仿宋_GB2312" w:eastAsia="仿宋_GB2312"/>
                <w:szCs w:val="21"/>
              </w:rPr>
              <w:t>=</w:t>
            </w:r>
            <w:r>
              <w:rPr>
                <w:rFonts w:hint="eastAsia" w:ascii="仿宋_GB2312" w:eastAsia="仿宋_GB2312"/>
                <w:szCs w:val="21"/>
              </w:rPr>
              <w:t>（“三公经费”实际支出数</w:t>
            </w:r>
            <w:r>
              <w:rPr>
                <w:rFonts w:ascii="仿宋_GB2312" w:eastAsia="仿宋_GB2312"/>
                <w:szCs w:val="21"/>
              </w:rPr>
              <w:t>/</w:t>
            </w:r>
            <w:r>
              <w:rPr>
                <w:rFonts w:hint="eastAsia" w:ascii="仿宋_GB2312" w:eastAsia="仿宋_GB2312"/>
                <w:szCs w:val="21"/>
              </w:rPr>
              <w:t>“三公经费”预算安排数）×</w:t>
            </w:r>
            <w:r>
              <w:rPr>
                <w:rFonts w:ascii="仿宋_GB2312" w:eastAsia="仿宋_GB2312"/>
                <w:szCs w:val="21"/>
              </w:rPr>
              <w:t>100%</w:t>
            </w:r>
            <w:r>
              <w:rPr>
                <w:rFonts w:hint="eastAsia" w:ascii="仿宋_GB2312" w:eastAsia="仿宋_GB2312"/>
                <w:szCs w:val="21"/>
              </w:rPr>
              <w:t>。</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政府采购</w:t>
            </w:r>
          </w:p>
          <w:p>
            <w:pPr>
              <w:spacing w:line="320" w:lineRule="exact"/>
              <w:jc w:val="center"/>
              <w:rPr>
                <w:rFonts w:ascii="仿宋_GB2312" w:eastAsia="仿宋_GB2312"/>
                <w:szCs w:val="21"/>
              </w:rPr>
            </w:pPr>
            <w:r>
              <w:rPr>
                <w:rFonts w:hint="eastAsia" w:ascii="仿宋_GB2312" w:eastAsia="仿宋_GB2312"/>
                <w:szCs w:val="21"/>
              </w:rPr>
              <w:t>执行率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计满分，每超过（降低）</w:t>
            </w:r>
            <w:r>
              <w:rPr>
                <w:rFonts w:ascii="仿宋_GB2312" w:eastAsia="仿宋_GB2312"/>
                <w:szCs w:val="21"/>
              </w:rPr>
              <w:t>5%</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政府采购执行率</w:t>
            </w:r>
            <w:r>
              <w:rPr>
                <w:rFonts w:ascii="仿宋_GB2312" w:eastAsia="仿宋_GB2312"/>
                <w:szCs w:val="21"/>
              </w:rPr>
              <w:t>=</w:t>
            </w:r>
            <w:r>
              <w:rPr>
                <w:rFonts w:hint="eastAsia" w:ascii="仿宋_GB2312" w:eastAsia="仿宋_GB2312"/>
                <w:szCs w:val="21"/>
              </w:rPr>
              <w:t>（实际政府采购金额</w:t>
            </w:r>
            <w:r>
              <w:rPr>
                <w:rFonts w:ascii="仿宋_GB2312" w:eastAsia="仿宋_GB2312"/>
                <w:szCs w:val="21"/>
              </w:rPr>
              <w:t>/</w:t>
            </w:r>
            <w:r>
              <w:rPr>
                <w:rFonts w:hint="eastAsia" w:ascii="仿宋_GB2312" w:eastAsia="仿宋_GB2312"/>
                <w:szCs w:val="21"/>
              </w:rPr>
              <w:t>政府采购预算数）×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政府采购预算：采购机关根据事业发展计划和行政任务编制的、并经过规定程序批准的年度政府采购计划。</w:t>
            </w:r>
            <w:r>
              <w:rPr>
                <w:rFonts w:ascii="仿宋_GB2312" w:eastAsia="仿宋_GB2312"/>
                <w:szCs w:val="21"/>
              </w:rPr>
              <w:t xml:space="preserve"> </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ascii="仿宋_GB2312" w:eastAsia="仿宋_GB2312"/>
                <w:szCs w:val="21"/>
              </w:rPr>
            </w:pPr>
          </w:p>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w:t>
            </w:r>
            <w:r>
              <w:rPr>
                <w:rFonts w:hint="eastAsia" w:ascii="仿宋_GB2312" w:eastAsia="仿宋_GB2312"/>
                <w:szCs w:val="21"/>
              </w:rPr>
              <w:t>有内部财务管理制度，会计核算制度等管理制度，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2.</w:t>
            </w:r>
            <w:r>
              <w:rPr>
                <w:rFonts w:hint="eastAsia" w:ascii="仿宋_GB2312" w:eastAsia="仿宋_GB2312"/>
                <w:szCs w:val="21"/>
              </w:rPr>
              <w:t>有本部门厉行节约制度，</w:t>
            </w:r>
            <w:r>
              <w:rPr>
                <w:rFonts w:ascii="仿宋_GB2312" w:eastAsia="仿宋_GB2312"/>
                <w:szCs w:val="21"/>
              </w:rPr>
              <w:t>0.5</w:t>
            </w:r>
            <w:r>
              <w:rPr>
                <w:rFonts w:hint="eastAsia" w:ascii="仿宋_GB2312" w:eastAsia="仿宋_GB2312"/>
                <w:szCs w:val="21"/>
              </w:rPr>
              <w:t>分；</w:t>
            </w:r>
            <w:r>
              <w:rPr>
                <w:rFonts w:ascii="仿宋_GB2312" w:eastAsia="仿宋_GB2312"/>
                <w:szCs w:val="21"/>
              </w:rPr>
              <w:t>3.</w:t>
            </w:r>
            <w:r>
              <w:rPr>
                <w:rFonts w:hint="eastAsia" w:ascii="仿宋_GB2312" w:eastAsia="仿宋_GB2312"/>
                <w:szCs w:val="21"/>
              </w:rPr>
              <w:t>相关管理制度合法、合规、完整，</w:t>
            </w:r>
            <w:r>
              <w:rPr>
                <w:rFonts w:ascii="仿宋_GB2312" w:eastAsia="仿宋_GB2312"/>
                <w:szCs w:val="21"/>
              </w:rPr>
              <w:t>0.5</w:t>
            </w:r>
            <w:r>
              <w:rPr>
                <w:rFonts w:hint="eastAsia" w:ascii="仿宋_GB2312" w:eastAsia="仿宋_GB2312"/>
                <w:szCs w:val="21"/>
              </w:rPr>
              <w:t>分；</w:t>
            </w:r>
            <w:r>
              <w:rPr>
                <w:rFonts w:ascii="仿宋_GB2312" w:eastAsia="仿宋_GB2312"/>
                <w:szCs w:val="21"/>
              </w:rPr>
              <w:t>4.</w:t>
            </w:r>
            <w:r>
              <w:rPr>
                <w:rFonts w:hint="eastAsia" w:ascii="仿宋_GB2312" w:eastAsia="仿宋_GB2312"/>
                <w:szCs w:val="21"/>
              </w:rPr>
              <w:t>相关管理制度得到有效执行，</w:t>
            </w:r>
            <w:r>
              <w:rPr>
                <w:rFonts w:ascii="仿宋_GB2312" w:eastAsia="仿宋_GB2312"/>
                <w:szCs w:val="21"/>
              </w:rPr>
              <w:t>0.5</w:t>
            </w:r>
            <w:r>
              <w:rPr>
                <w:rFonts w:hint="eastAsia" w:ascii="仿宋_GB2312" w:eastAsia="仿宋_GB2312"/>
                <w:szCs w:val="21"/>
              </w:rPr>
              <w:t>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是否已制定或具有预算资金管理办法、内部财务管理制度、会计核算制度等管理制度；</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相关管理制度是否合法、合规、完整；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9"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资金使用</w:t>
            </w:r>
          </w:p>
          <w:p>
            <w:pPr>
              <w:spacing w:line="320" w:lineRule="exact"/>
              <w:jc w:val="center"/>
              <w:rPr>
                <w:rFonts w:ascii="仿宋_GB2312" w:eastAsia="仿宋_GB2312"/>
                <w:szCs w:val="21"/>
              </w:rPr>
            </w:pPr>
            <w:r>
              <w:rPr>
                <w:rFonts w:hint="eastAsia" w:ascii="仿宋_GB2312" w:eastAsia="仿宋_GB2312"/>
                <w:szCs w:val="21"/>
              </w:rPr>
              <w:t>合规性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spacing w:line="300" w:lineRule="exact"/>
              <w:rPr>
                <w:rFonts w:ascii="仿宋_GB2312" w:eastAsia="仿宋_GB2312"/>
                <w:szCs w:val="21"/>
              </w:rPr>
            </w:pPr>
            <w:r>
              <w:rPr>
                <w:rFonts w:ascii="仿宋_GB2312" w:eastAsia="仿宋_GB2312"/>
                <w:szCs w:val="21"/>
              </w:rPr>
              <w:t>1.</w:t>
            </w:r>
            <w:r>
              <w:rPr>
                <w:rFonts w:hint="eastAsia" w:ascii="仿宋_GB2312" w:eastAsia="仿宋_GB2312"/>
                <w:szCs w:val="21"/>
              </w:rPr>
              <w:t>支出符合国家财经法规和财务管理制度规定以及有关专项资金管理办法的规定；</w:t>
            </w:r>
            <w:r>
              <w:rPr>
                <w:rFonts w:ascii="仿宋_GB2312" w:eastAsia="仿宋_GB2312"/>
                <w:szCs w:val="21"/>
              </w:rPr>
              <w:t>2.</w:t>
            </w:r>
            <w:r>
              <w:rPr>
                <w:rFonts w:hint="eastAsia" w:ascii="仿宋_GB2312" w:eastAsia="仿宋_GB2312"/>
                <w:szCs w:val="21"/>
              </w:rPr>
              <w:t>资金拨付有完整的审批程序和手续；</w:t>
            </w:r>
            <w:r>
              <w:rPr>
                <w:rFonts w:ascii="仿宋_GB2312" w:eastAsia="仿宋_GB2312"/>
                <w:szCs w:val="21"/>
              </w:rPr>
              <w:t>3.</w:t>
            </w:r>
            <w:r>
              <w:rPr>
                <w:rFonts w:hint="eastAsia" w:ascii="仿宋_GB2312" w:eastAsia="仿宋_GB2312"/>
                <w:szCs w:val="21"/>
              </w:rPr>
              <w:t>项目支出按规定经过评估论证；</w:t>
            </w:r>
            <w:r>
              <w:rPr>
                <w:rFonts w:ascii="仿宋_GB2312" w:eastAsia="仿宋_GB2312"/>
                <w:szCs w:val="21"/>
              </w:rPr>
              <w:t>4.</w:t>
            </w:r>
            <w:r>
              <w:rPr>
                <w:rFonts w:hint="eastAsia" w:ascii="仿宋_GB2312" w:eastAsia="仿宋_GB2312"/>
                <w:szCs w:val="21"/>
              </w:rPr>
              <w:t>支出符合部门预算批复的用途；</w:t>
            </w:r>
            <w:r>
              <w:rPr>
                <w:rFonts w:ascii="仿宋_GB2312" w:eastAsia="仿宋_GB2312"/>
                <w:szCs w:val="21"/>
              </w:rPr>
              <w:t>5.</w:t>
            </w:r>
            <w:r>
              <w:rPr>
                <w:rFonts w:hint="eastAsia" w:ascii="仿宋_GB2312" w:eastAsia="仿宋_GB2312"/>
                <w:szCs w:val="21"/>
              </w:rPr>
              <w:t>资金使用无截留、挤占、挪用、虚列支出等情况。</w:t>
            </w:r>
          </w:p>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以上情况每出现一例不符合要求的扣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是否符合国家财经法规和财务管理制度规定以及有关预算支出管理办法的规定；</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资金的拨付是否有完整的审批程序和手续；</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预算支出的重大开支是否经过评估论证；</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是否符合部门预算批复的用途；</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是否存在截留、挤占、挪用、虚列支出等情况。</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3"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预决算信</w:t>
            </w:r>
          </w:p>
          <w:p>
            <w:pPr>
              <w:spacing w:line="320" w:lineRule="exact"/>
              <w:jc w:val="center"/>
              <w:rPr>
                <w:rFonts w:ascii="仿宋_GB2312" w:eastAsia="仿宋_GB2312"/>
                <w:szCs w:val="21"/>
              </w:rPr>
            </w:pPr>
            <w:r>
              <w:rPr>
                <w:rFonts w:hint="eastAsia" w:ascii="仿宋_GB2312" w:eastAsia="仿宋_GB2312"/>
                <w:szCs w:val="21"/>
              </w:rPr>
              <w:t>息公开性（</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rPr>
                <w:rFonts w:ascii="仿宋_GB2312" w:eastAsia="仿宋_GB2312"/>
                <w:szCs w:val="21"/>
              </w:rPr>
            </w:pPr>
            <w:r>
              <w:rPr>
                <w:rFonts w:hint="eastAsia" w:ascii="仿宋_GB2312" w:eastAsia="仿宋_GB2312"/>
                <w:szCs w:val="21"/>
              </w:rPr>
              <w:t>部门预算、执行、决算、监督、绩效等管理相关的信息未公开，每一项扣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是否按规定内容公开预决算信息；</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是否按规定时限公开预决算信息。</w:t>
            </w:r>
          </w:p>
          <w:p>
            <w:pPr>
              <w:spacing w:line="320" w:lineRule="exact"/>
              <w:ind w:left="105" w:leftChars="50" w:right="105" w:rightChars="50"/>
              <w:rPr>
                <w:rFonts w:ascii="仿宋_GB2312" w:eastAsia="仿宋_GB2312"/>
                <w:szCs w:val="21"/>
              </w:rPr>
            </w:pPr>
            <w:r>
              <w:rPr>
                <w:rFonts w:hint="eastAsia" w:ascii="仿宋_GB2312" w:eastAsia="仿宋_GB2312"/>
                <w:szCs w:val="21"/>
              </w:rPr>
              <w:t>预决算信息是指与部门预算、执行、决算、监督、绩效等管理相关的信息。</w:t>
            </w:r>
          </w:p>
        </w:tc>
        <w:tc>
          <w:tcPr>
            <w:tcW w:w="938" w:type="dxa"/>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2" w:hRule="atLeast"/>
          <w:jc w:val="center"/>
        </w:trPr>
        <w:tc>
          <w:tcPr>
            <w:tcW w:w="666" w:type="dxa"/>
            <w:vMerge w:val="restart"/>
            <w:vAlign w:val="center"/>
          </w:tcPr>
          <w:p>
            <w:pPr>
              <w:spacing w:line="320" w:lineRule="exact"/>
              <w:jc w:val="center"/>
              <w:rPr>
                <w:rFonts w:ascii="仿宋_GB2312" w:eastAsia="仿宋_GB2312"/>
                <w:szCs w:val="21"/>
              </w:rPr>
            </w:pPr>
            <w:r>
              <w:rPr>
                <w:rFonts w:hint="eastAsia" w:ascii="仿宋_GB2312" w:eastAsia="仿宋_GB2312"/>
                <w:szCs w:val="21"/>
              </w:rPr>
              <w:t>过</w:t>
            </w:r>
          </w:p>
          <w:p>
            <w:pPr>
              <w:spacing w:line="320" w:lineRule="exact"/>
              <w:jc w:val="center"/>
              <w:rPr>
                <w:rFonts w:ascii="仿宋_GB2312" w:eastAsia="仿宋_GB2312"/>
                <w:szCs w:val="21"/>
              </w:rPr>
            </w:pPr>
            <w:r>
              <w:rPr>
                <w:rFonts w:hint="eastAsia" w:ascii="仿宋_GB2312" w:eastAsia="仿宋_GB2312"/>
                <w:szCs w:val="21"/>
              </w:rPr>
              <w:t>程</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40</w:t>
            </w:r>
            <w:r>
              <w:rPr>
                <w:rFonts w:hint="eastAsia" w:ascii="仿宋_GB2312" w:eastAsia="仿宋_GB2312"/>
                <w:szCs w:val="21"/>
              </w:rPr>
              <w:t>分）</w:t>
            </w:r>
          </w:p>
        </w:tc>
        <w:tc>
          <w:tcPr>
            <w:tcW w:w="866" w:type="dxa"/>
            <w:vAlign w:val="center"/>
          </w:tcPr>
          <w:p>
            <w:pPr>
              <w:spacing w:line="320" w:lineRule="exact"/>
              <w:jc w:val="center"/>
              <w:rPr>
                <w:rFonts w:ascii="仿宋_GB2312" w:eastAsia="仿宋_GB2312"/>
                <w:szCs w:val="21"/>
              </w:rPr>
            </w:pPr>
            <w:r>
              <w:rPr>
                <w:rFonts w:hint="eastAsia" w:ascii="仿宋_GB2312" w:eastAsia="仿宋_GB2312"/>
                <w:szCs w:val="21"/>
              </w:rPr>
              <w:t>预算</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8</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基础信息</w:t>
            </w:r>
          </w:p>
          <w:p>
            <w:pPr>
              <w:spacing w:line="320" w:lineRule="exact"/>
              <w:jc w:val="center"/>
              <w:rPr>
                <w:rFonts w:ascii="仿宋_GB2312" w:eastAsia="仿宋_GB2312"/>
                <w:szCs w:val="21"/>
              </w:rPr>
            </w:pPr>
            <w:r>
              <w:rPr>
                <w:rFonts w:hint="eastAsia" w:ascii="仿宋_GB2312" w:eastAsia="仿宋_GB2312"/>
                <w:szCs w:val="21"/>
              </w:rPr>
              <w:t>完善性</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部门基础信息是否完善，缺一项扣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基础数据信息和会计信息资料是否真实；</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基础数据信息和会计信息资料是否完整；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基础数据信息和会计信息资料是否准确。</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9" w:hRule="atLeast"/>
          <w:jc w:val="center"/>
        </w:trPr>
        <w:tc>
          <w:tcPr>
            <w:tcW w:w="666" w:type="dxa"/>
            <w:vMerge w:val="continue"/>
            <w:noWrap/>
            <w:tcMar>
              <w:top w:w="10" w:type="dxa"/>
              <w:left w:w="10" w:type="dxa"/>
              <w:bottom w:w="0" w:type="dxa"/>
              <w:right w:w="10" w:type="dxa"/>
            </w:tcMar>
            <w:textDirection w:val="tbRlV"/>
            <w:vAlign w:val="center"/>
          </w:tcPr>
          <w:p>
            <w:pPr>
              <w:spacing w:line="320" w:lineRule="exact"/>
              <w:jc w:val="center"/>
              <w:rPr>
                <w:rFonts w:ascii="仿宋_GB2312" w:eastAsia="仿宋_GB2312"/>
                <w:szCs w:val="21"/>
              </w:rPr>
            </w:pP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资产</w:t>
            </w:r>
          </w:p>
          <w:p>
            <w:pPr>
              <w:spacing w:line="320" w:lineRule="exact"/>
              <w:jc w:val="center"/>
              <w:rPr>
                <w:rFonts w:ascii="仿宋_GB2312" w:eastAsia="仿宋_GB2312"/>
                <w:szCs w:val="21"/>
              </w:rPr>
            </w:pPr>
            <w:r>
              <w:rPr>
                <w:rFonts w:hint="eastAsia" w:ascii="仿宋_GB2312" w:eastAsia="仿宋_GB2312"/>
                <w:szCs w:val="21"/>
              </w:rPr>
              <w:t>管理</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6</w:t>
            </w:r>
            <w:r>
              <w:rPr>
                <w:rFonts w:hint="eastAsia" w:ascii="仿宋_GB2312" w:eastAsia="仿宋_GB2312"/>
                <w:szCs w:val="21"/>
              </w:rPr>
              <w:t>分）</w:t>
            </w:r>
          </w:p>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管理制度</w:t>
            </w:r>
          </w:p>
          <w:p>
            <w:pPr>
              <w:spacing w:line="320" w:lineRule="exact"/>
              <w:jc w:val="center"/>
              <w:rPr>
                <w:rFonts w:ascii="仿宋_GB2312" w:eastAsia="仿宋_GB2312"/>
                <w:szCs w:val="21"/>
              </w:rPr>
            </w:pPr>
            <w:r>
              <w:rPr>
                <w:rFonts w:hint="eastAsia" w:ascii="仿宋_GB2312" w:eastAsia="仿宋_GB2312"/>
                <w:szCs w:val="21"/>
              </w:rPr>
              <w:t>健全性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部门有加强资产管理、规范资产管理行为而制定的管理制度的计</w:t>
            </w:r>
            <w:r>
              <w:rPr>
                <w:rFonts w:ascii="仿宋_GB2312" w:eastAsia="仿宋_GB2312"/>
                <w:szCs w:val="21"/>
              </w:rPr>
              <w:t>1</w:t>
            </w:r>
            <w:r>
              <w:rPr>
                <w:rFonts w:hint="eastAsia" w:ascii="仿宋_GB2312" w:eastAsia="仿宋_GB2312"/>
                <w:szCs w:val="21"/>
              </w:rPr>
              <w:t>分；有效执行相关文件的计</w:t>
            </w:r>
            <w:r>
              <w:rPr>
                <w:rFonts w:ascii="仿宋_GB2312" w:eastAsia="仿宋_GB2312"/>
                <w:szCs w:val="21"/>
              </w:rPr>
              <w:t>1</w:t>
            </w:r>
            <w:r>
              <w:rPr>
                <w:rFonts w:hint="eastAsia" w:ascii="仿宋_GB2312" w:eastAsia="仿宋_GB2312"/>
                <w:szCs w:val="21"/>
              </w:rPr>
              <w:t>分。反之不计分。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是否已制定或具有资产管理制度；</w:t>
            </w:r>
            <w:r>
              <w:rPr>
                <w:rFonts w:ascii="仿宋_GB2312" w:eastAsia="仿宋_GB2312"/>
                <w:szCs w:val="21"/>
              </w:rPr>
              <w:t xml:space="preserve">           </w:t>
            </w:r>
            <w:r>
              <w:rPr>
                <w:rFonts w:hint="eastAsia" w:ascii="仿宋_GB2312" w:hAnsi="宋体" w:eastAsia="仿宋_GB2312" w:cs="宋体"/>
                <w:szCs w:val="21"/>
              </w:rPr>
              <w:t>②</w:t>
            </w:r>
            <w:r>
              <w:rPr>
                <w:rFonts w:hint="eastAsia" w:ascii="仿宋_GB2312" w:eastAsia="仿宋_GB2312"/>
                <w:szCs w:val="21"/>
              </w:rPr>
              <w:t>相关资金管理制度是否合法、合规、完整；</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③</w:t>
            </w:r>
            <w:r>
              <w:rPr>
                <w:rFonts w:hint="eastAsia" w:ascii="仿宋_GB2312" w:eastAsia="仿宋_GB2312"/>
                <w:szCs w:val="21"/>
              </w:rPr>
              <w:t>相关资产管理制度是否得到有效执行。</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7"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资产管理</w:t>
            </w:r>
          </w:p>
          <w:p>
            <w:pPr>
              <w:spacing w:line="320" w:lineRule="exact"/>
              <w:jc w:val="center"/>
              <w:rPr>
                <w:rFonts w:ascii="仿宋_GB2312" w:eastAsia="仿宋_GB2312"/>
                <w:szCs w:val="21"/>
              </w:rPr>
            </w:pPr>
            <w:r>
              <w:rPr>
                <w:rFonts w:hint="eastAsia" w:ascii="仿宋_GB2312" w:eastAsia="仿宋_GB2312"/>
                <w:szCs w:val="21"/>
              </w:rPr>
              <w:t>安全性</w:t>
            </w:r>
            <w:r>
              <w:rPr>
                <w:rFonts w:ascii="仿宋_GB2312" w:eastAsia="仿宋_GB2312"/>
                <w:szCs w:val="21"/>
              </w:rPr>
              <w:t xml:space="preserve"> </w:t>
            </w:r>
            <w:r>
              <w:rPr>
                <w:rFonts w:hint="eastAsia" w:ascii="仿宋_GB2312" w:eastAsia="仿宋_GB2312"/>
                <w:szCs w:val="21"/>
              </w:rPr>
              <w:t>（</w:t>
            </w:r>
            <w:r>
              <w:rPr>
                <w:rFonts w:hint="eastAsia" w:ascii="仿宋_GB2312" w:eastAsia="仿宋_GB2312"/>
                <w:szCs w:val="21"/>
                <w:lang w:val="en-US" w:eastAsia="zh-CN"/>
              </w:rPr>
              <w:t>3</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761"/>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部门的资产是否保存完整、使用合规、配置合理、处置规范、收入及时足额上缴计满分，每一项不达标扣</w:t>
            </w:r>
            <w:r>
              <w:rPr>
                <w:rFonts w:ascii="仿宋_GB2312" w:eastAsia="仿宋_GB2312"/>
                <w:szCs w:val="21"/>
              </w:rPr>
              <w:t>0.5</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评价要点：</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①</w:t>
            </w:r>
            <w:r>
              <w:rPr>
                <w:rFonts w:hint="eastAsia" w:ascii="仿宋_GB2312" w:eastAsia="仿宋_GB2312"/>
                <w:szCs w:val="21"/>
              </w:rPr>
              <w:t>资产保存是否完整；</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②</w:t>
            </w:r>
            <w:r>
              <w:rPr>
                <w:rFonts w:hint="eastAsia" w:ascii="仿宋_GB2312" w:eastAsia="仿宋_GB2312"/>
                <w:szCs w:val="21"/>
              </w:rPr>
              <w:t>资产配置是否合理；</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③</w:t>
            </w:r>
            <w:r>
              <w:rPr>
                <w:rFonts w:hint="eastAsia" w:ascii="仿宋_GB2312" w:eastAsia="仿宋_GB2312"/>
                <w:szCs w:val="21"/>
              </w:rPr>
              <w:t>资产处置是否规范；</w:t>
            </w:r>
          </w:p>
          <w:p>
            <w:pPr>
              <w:spacing w:line="320" w:lineRule="exact"/>
              <w:ind w:left="105" w:leftChars="50" w:right="105" w:rightChars="50"/>
              <w:rPr>
                <w:rFonts w:hint="eastAsia" w:ascii="仿宋_GB2312" w:eastAsia="仿宋_GB2312"/>
                <w:szCs w:val="21"/>
                <w:lang w:eastAsia="zh-CN"/>
              </w:rPr>
            </w:pPr>
            <w:r>
              <w:rPr>
                <w:rFonts w:hint="eastAsia" w:ascii="仿宋_GB2312" w:hAnsi="宋体" w:eastAsia="仿宋_GB2312" w:cs="宋体"/>
                <w:szCs w:val="21"/>
              </w:rPr>
              <w:t>④</w:t>
            </w:r>
            <w:r>
              <w:rPr>
                <w:rFonts w:hint="eastAsia" w:ascii="仿宋_GB2312" w:eastAsia="仿宋_GB2312"/>
                <w:szCs w:val="21"/>
              </w:rPr>
              <w:t>资产账务管理是否合规，是否帐实相符；</w:t>
            </w:r>
          </w:p>
          <w:p>
            <w:pPr>
              <w:spacing w:line="320" w:lineRule="exact"/>
              <w:ind w:left="105" w:leftChars="50" w:right="105" w:rightChars="50"/>
              <w:rPr>
                <w:rFonts w:ascii="仿宋_GB2312" w:eastAsia="仿宋_GB2312"/>
                <w:szCs w:val="21"/>
              </w:rPr>
            </w:pPr>
            <w:r>
              <w:rPr>
                <w:rFonts w:hint="eastAsia" w:ascii="仿宋_GB2312" w:hAnsi="宋体" w:eastAsia="仿宋_GB2312" w:cs="宋体"/>
                <w:szCs w:val="21"/>
              </w:rPr>
              <w:t>⑤</w:t>
            </w:r>
            <w:r>
              <w:rPr>
                <w:rFonts w:hint="eastAsia" w:ascii="仿宋_GB2312" w:eastAsia="仿宋_GB2312"/>
                <w:szCs w:val="21"/>
              </w:rPr>
              <w:t>资产是否有偿使用及处置收入及时足额上缴。</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9"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jc w:val="center"/>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实际</w:t>
            </w:r>
          </w:p>
          <w:p>
            <w:pPr>
              <w:spacing w:line="320" w:lineRule="exact"/>
              <w:jc w:val="center"/>
              <w:rPr>
                <w:rFonts w:ascii="仿宋_GB2312" w:eastAsia="仿宋_GB2312"/>
                <w:szCs w:val="21"/>
              </w:rPr>
            </w:pPr>
            <w:r>
              <w:rPr>
                <w:rFonts w:hint="eastAsia" w:ascii="仿宋_GB2312" w:eastAsia="仿宋_GB2312"/>
                <w:szCs w:val="21"/>
              </w:rPr>
              <w:t>完成率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实际完成率</w:t>
            </w:r>
            <w:r>
              <w:rPr>
                <w:rFonts w:ascii="仿宋_GB2312" w:eastAsia="仿宋_GB2312"/>
                <w:szCs w:val="21"/>
              </w:rPr>
              <w:t>=</w:t>
            </w:r>
            <w:r>
              <w:rPr>
                <w:rFonts w:hint="eastAsia" w:ascii="仿宋_GB2312" w:eastAsia="仿宋_GB2312"/>
                <w:szCs w:val="21"/>
              </w:rPr>
              <w:t>（实际完成工作数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实际完成工作数：一定时期（年度或规划期）内部门实际完成工作任务的数量。</w:t>
            </w:r>
          </w:p>
          <w:p>
            <w:pPr>
              <w:spacing w:line="320" w:lineRule="exact"/>
              <w:ind w:left="105" w:leftChars="50" w:right="105" w:rightChars="50"/>
              <w:rPr>
                <w:rFonts w:ascii="仿宋_GB2312" w:eastAsia="仿宋_GB2312"/>
                <w:szCs w:val="21"/>
              </w:rPr>
            </w:pPr>
            <w:r>
              <w:rPr>
                <w:rFonts w:hint="eastAsia" w:ascii="仿宋_GB2312" w:eastAsia="仿宋_GB2312"/>
                <w:szCs w:val="21"/>
              </w:rPr>
              <w:t>计划工作数：部门整体绩效目标确定的一定时期（年度或规划期）内预计完成工作任务的数量。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5" w:hRule="atLeast"/>
          <w:jc w:val="center"/>
        </w:trPr>
        <w:tc>
          <w:tcPr>
            <w:tcW w:w="666" w:type="dxa"/>
            <w:vMerge w:val="continue"/>
            <w:vAlign w:val="center"/>
          </w:tcPr>
          <w:p>
            <w:pPr>
              <w:spacing w:line="320" w:lineRule="exact"/>
              <w:jc w:val="center"/>
              <w:rPr>
                <w:rFonts w:ascii="仿宋_GB2312" w:eastAsia="仿宋_GB2312"/>
                <w:szCs w:val="21"/>
              </w:rPr>
            </w:pPr>
          </w:p>
        </w:tc>
        <w:tc>
          <w:tcPr>
            <w:tcW w:w="866" w:type="dxa"/>
            <w:vMerge w:val="continue"/>
            <w:vAlign w:val="center"/>
          </w:tcPr>
          <w:p>
            <w:pPr>
              <w:spacing w:line="320" w:lineRule="exact"/>
              <w:jc w:val="center"/>
              <w:rPr>
                <w:rFonts w:hint="eastAsia"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完成</w:t>
            </w:r>
          </w:p>
          <w:p>
            <w:pPr>
              <w:spacing w:line="320" w:lineRule="exact"/>
              <w:jc w:val="center"/>
              <w:rPr>
                <w:rFonts w:ascii="仿宋_GB2312" w:eastAsia="仿宋_GB2312"/>
                <w:szCs w:val="21"/>
              </w:rPr>
            </w:pPr>
            <w:r>
              <w:rPr>
                <w:rFonts w:hint="eastAsia" w:ascii="仿宋_GB2312" w:eastAsia="仿宋_GB2312"/>
                <w:szCs w:val="21"/>
              </w:rPr>
              <w:t>及时率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以下（含）计满分，每超出</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完成及时率</w:t>
            </w:r>
            <w:r>
              <w:rPr>
                <w:rFonts w:ascii="仿宋_GB2312" w:eastAsia="仿宋_GB2312"/>
                <w:szCs w:val="21"/>
              </w:rPr>
              <w:t>=</w:t>
            </w:r>
            <w:r>
              <w:rPr>
                <w:rFonts w:hint="eastAsia" w:ascii="仿宋_GB2312" w:eastAsia="仿宋_GB2312"/>
                <w:szCs w:val="21"/>
              </w:rPr>
              <w:t>（及时完成实际工作数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及时完成实际工作数：部门按照整体绩效目标确定的时限实际完成的工作任务数量。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666" w:type="dxa"/>
            <w:vMerge w:val="restart"/>
            <w:vAlign w:val="center"/>
          </w:tcPr>
          <w:p>
            <w:pPr>
              <w:spacing w:line="320" w:lineRule="exact"/>
              <w:rPr>
                <w:rFonts w:ascii="仿宋_GB2312" w:eastAsia="仿宋_GB2312"/>
                <w:szCs w:val="21"/>
              </w:rPr>
            </w:pPr>
            <w:r>
              <w:rPr>
                <w:rFonts w:hint="eastAsia" w:ascii="仿宋_GB2312" w:eastAsia="仿宋_GB2312"/>
                <w:szCs w:val="21"/>
              </w:rPr>
              <w:t>产出（</w:t>
            </w:r>
            <w:r>
              <w:rPr>
                <w:rFonts w:ascii="仿宋_GB2312" w:eastAsia="仿宋_GB2312"/>
                <w:szCs w:val="21"/>
              </w:rPr>
              <w:t>20</w:t>
            </w:r>
            <w:r>
              <w:rPr>
                <w:rFonts w:hint="eastAsia" w:ascii="仿宋_GB2312" w:eastAsia="仿宋_GB2312"/>
                <w:szCs w:val="21"/>
              </w:rPr>
              <w:t>分</w:t>
            </w:r>
          </w:p>
        </w:tc>
        <w:tc>
          <w:tcPr>
            <w:tcW w:w="866" w:type="dxa"/>
            <w:vMerge w:val="restart"/>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职责</w:t>
            </w:r>
          </w:p>
          <w:p>
            <w:pPr>
              <w:spacing w:line="320" w:lineRule="exact"/>
              <w:rPr>
                <w:rFonts w:ascii="仿宋_GB2312" w:eastAsia="仿宋_GB2312"/>
                <w:szCs w:val="21"/>
              </w:rPr>
            </w:pPr>
            <w:r>
              <w:rPr>
                <w:rFonts w:hint="eastAsia" w:ascii="仿宋_GB2312" w:eastAsia="仿宋_GB2312"/>
                <w:szCs w:val="21"/>
              </w:rPr>
              <w:t>履行</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质量</w:t>
            </w:r>
          </w:p>
          <w:p>
            <w:pPr>
              <w:spacing w:line="320" w:lineRule="exact"/>
              <w:jc w:val="center"/>
              <w:rPr>
                <w:rFonts w:ascii="仿宋_GB2312" w:eastAsia="仿宋_GB2312"/>
                <w:szCs w:val="21"/>
              </w:rPr>
            </w:pPr>
            <w:r>
              <w:rPr>
                <w:rFonts w:hint="eastAsia" w:ascii="仿宋_GB2312" w:eastAsia="仿宋_GB2312"/>
                <w:szCs w:val="21"/>
              </w:rPr>
              <w:t>达标率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ascii="仿宋_GB2312" w:eastAsia="仿宋_GB2312"/>
                <w:szCs w:val="21"/>
              </w:rPr>
              <w:t>100%</w:t>
            </w:r>
            <w:r>
              <w:rPr>
                <w:rFonts w:hint="eastAsia" w:ascii="仿宋_GB2312" w:eastAsia="仿宋_GB2312"/>
                <w:szCs w:val="21"/>
              </w:rPr>
              <w:t>计满分，每超过</w:t>
            </w:r>
            <w:r>
              <w:rPr>
                <w:rFonts w:ascii="仿宋_GB2312" w:eastAsia="仿宋_GB2312"/>
                <w:szCs w:val="21"/>
              </w:rPr>
              <w:t>1%</w:t>
            </w:r>
            <w:r>
              <w:rPr>
                <w:rFonts w:hint="eastAsia" w:ascii="仿宋_GB2312" w:eastAsia="仿宋_GB2312"/>
                <w:szCs w:val="21"/>
              </w:rPr>
              <w:t>扣</w:t>
            </w:r>
            <w:r>
              <w:rPr>
                <w:rFonts w:ascii="仿宋_GB2312" w:eastAsia="仿宋_GB2312"/>
                <w:szCs w:val="21"/>
              </w:rPr>
              <w:t>1</w:t>
            </w:r>
            <w:r>
              <w:rPr>
                <w:rFonts w:hint="eastAsia" w:ascii="仿宋_GB2312" w:eastAsia="仿宋_GB2312"/>
                <w:szCs w:val="21"/>
              </w:rPr>
              <w:t>分，扣完为止。</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质量达标率</w:t>
            </w:r>
            <w:r>
              <w:rPr>
                <w:rFonts w:ascii="仿宋_GB2312" w:eastAsia="仿宋_GB2312"/>
                <w:szCs w:val="21"/>
              </w:rPr>
              <w:t>=</w:t>
            </w:r>
            <w:r>
              <w:rPr>
                <w:rFonts w:hint="eastAsia" w:ascii="仿宋_GB2312" w:eastAsia="仿宋_GB2312"/>
                <w:szCs w:val="21"/>
              </w:rPr>
              <w:t>（质量达标实际工作数</w:t>
            </w:r>
            <w:r>
              <w:rPr>
                <w:rFonts w:ascii="仿宋_GB2312" w:eastAsia="仿宋_GB2312"/>
                <w:szCs w:val="21"/>
              </w:rPr>
              <w:t>/</w:t>
            </w:r>
            <w:r>
              <w:rPr>
                <w:rFonts w:hint="eastAsia" w:ascii="仿宋_GB2312" w:eastAsia="仿宋_GB2312"/>
                <w:szCs w:val="21"/>
              </w:rPr>
              <w:t>计划工作数）×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质量达标实际工作数：一定时期（年度或规划期）内部门实际完成工作数中达到部门绩效目标要求（绩效标准值）的工作任务数量。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重点工作</w:t>
            </w:r>
          </w:p>
          <w:p>
            <w:pPr>
              <w:spacing w:line="320" w:lineRule="exact"/>
              <w:jc w:val="center"/>
              <w:rPr>
                <w:rFonts w:ascii="仿宋_GB2312" w:eastAsia="仿宋_GB2312"/>
                <w:szCs w:val="21"/>
              </w:rPr>
            </w:pPr>
            <w:r>
              <w:rPr>
                <w:rFonts w:hint="eastAsia" w:ascii="仿宋_GB2312" w:eastAsia="仿宋_GB2312"/>
                <w:szCs w:val="21"/>
              </w:rPr>
              <w:t>办结率</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根据绩效办</w:t>
            </w:r>
            <w:r>
              <w:rPr>
                <w:rFonts w:ascii="仿宋_GB2312" w:eastAsia="仿宋_GB2312"/>
                <w:szCs w:val="21"/>
              </w:rPr>
              <w:t>2019</w:t>
            </w:r>
            <w:r>
              <w:rPr>
                <w:rFonts w:hint="eastAsia" w:ascii="仿宋_GB2312" w:eastAsia="仿宋_GB2312"/>
                <w:szCs w:val="21"/>
              </w:rPr>
              <w:t>年对各部门为民办实事和部门重点工程与重点工作考核分数折算。该项得分</w:t>
            </w:r>
            <w:r>
              <w:rPr>
                <w:rFonts w:ascii="仿宋_GB2312" w:eastAsia="仿宋_GB2312"/>
                <w:szCs w:val="21"/>
              </w:rPr>
              <w:t>=</w:t>
            </w:r>
            <w:r>
              <w:rPr>
                <w:rFonts w:hint="eastAsia" w:ascii="仿宋_GB2312" w:eastAsia="仿宋_GB2312"/>
                <w:szCs w:val="21"/>
              </w:rPr>
              <w:t>（绩效办对应部分考核得分）</w:t>
            </w:r>
          </w:p>
        </w:tc>
        <w:tc>
          <w:tcPr>
            <w:tcW w:w="4252" w:type="dxa"/>
            <w:tcMar>
              <w:top w:w="10" w:type="dxa"/>
              <w:left w:w="10" w:type="dxa"/>
              <w:bottom w:w="0" w:type="dxa"/>
              <w:right w:w="10" w:type="dxa"/>
            </w:tcMar>
            <w:vAlign w:val="center"/>
          </w:tcPr>
          <w:p>
            <w:pPr>
              <w:spacing w:line="320" w:lineRule="exact"/>
              <w:ind w:left="105" w:leftChars="50" w:right="105" w:rightChars="50"/>
              <w:rPr>
                <w:rFonts w:hint="eastAsia" w:ascii="仿宋_GB2312" w:eastAsia="仿宋_GB2312"/>
                <w:szCs w:val="21"/>
                <w:lang w:eastAsia="zh-CN"/>
              </w:rPr>
            </w:pPr>
            <w:r>
              <w:rPr>
                <w:rFonts w:hint="eastAsia" w:ascii="仿宋_GB2312" w:eastAsia="仿宋_GB2312"/>
                <w:szCs w:val="21"/>
              </w:rPr>
              <w:t>重点工作办结率</w:t>
            </w:r>
            <w:r>
              <w:rPr>
                <w:rFonts w:ascii="仿宋_GB2312" w:eastAsia="仿宋_GB2312"/>
                <w:szCs w:val="21"/>
              </w:rPr>
              <w:t>=</w:t>
            </w:r>
            <w:r>
              <w:rPr>
                <w:rFonts w:hint="eastAsia" w:ascii="仿宋_GB2312" w:eastAsia="仿宋_GB2312"/>
                <w:szCs w:val="21"/>
              </w:rPr>
              <w:t>（重点工作实际完成数</w:t>
            </w:r>
            <w:r>
              <w:rPr>
                <w:rFonts w:ascii="仿宋_GB2312" w:eastAsia="仿宋_GB2312"/>
                <w:szCs w:val="21"/>
              </w:rPr>
              <w:t>/</w:t>
            </w:r>
            <w:r>
              <w:rPr>
                <w:rFonts w:hint="eastAsia" w:ascii="仿宋_GB2312" w:eastAsia="仿宋_GB2312"/>
                <w:szCs w:val="21"/>
              </w:rPr>
              <w:t>交办或下达数）×</w:t>
            </w:r>
            <w:r>
              <w:rPr>
                <w:rFonts w:ascii="仿宋_GB2312" w:eastAsia="仿宋_GB2312"/>
                <w:szCs w:val="21"/>
              </w:rPr>
              <w:t>100%</w:t>
            </w:r>
            <w:r>
              <w:rPr>
                <w:rFonts w:hint="eastAsia" w:ascii="仿宋_GB2312" w:eastAsia="仿宋_GB2312"/>
                <w:szCs w:val="21"/>
              </w:rPr>
              <w:t>。</w:t>
            </w:r>
          </w:p>
          <w:p>
            <w:pPr>
              <w:spacing w:line="320" w:lineRule="exact"/>
              <w:ind w:left="105" w:leftChars="50" w:right="105" w:rightChars="50"/>
              <w:rPr>
                <w:rFonts w:ascii="仿宋_GB2312" w:eastAsia="仿宋_GB2312"/>
                <w:szCs w:val="21"/>
              </w:rPr>
            </w:pPr>
            <w:r>
              <w:rPr>
                <w:rFonts w:hint="eastAsia" w:ascii="仿宋_GB2312" w:eastAsia="仿宋_GB2312"/>
                <w:szCs w:val="21"/>
              </w:rPr>
              <w:t>重点工作是指党委、政府、人大、相关部门交办或下达的工作任务。</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restart"/>
            <w:noWrap/>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效</w:t>
            </w:r>
          </w:p>
          <w:p>
            <w:pPr>
              <w:spacing w:line="320" w:lineRule="exact"/>
              <w:jc w:val="center"/>
              <w:rPr>
                <w:rFonts w:ascii="仿宋_GB2312" w:eastAsia="仿宋_GB2312"/>
                <w:szCs w:val="21"/>
              </w:rPr>
            </w:pPr>
            <w:r>
              <w:rPr>
                <w:rFonts w:hint="eastAsia" w:ascii="仿宋_GB2312" w:eastAsia="仿宋_GB2312"/>
                <w:szCs w:val="21"/>
              </w:rPr>
              <w:t>果</w:t>
            </w:r>
          </w:p>
          <w:p>
            <w:pPr>
              <w:spacing w:line="320" w:lineRule="exact"/>
              <w:jc w:val="center"/>
              <w:rPr>
                <w:rFonts w:ascii="仿宋_GB2312" w:eastAsia="仿宋_GB2312"/>
                <w:szCs w:val="21"/>
              </w:rPr>
            </w:pP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866" w:type="dxa"/>
            <w:vMerge w:val="restart"/>
            <w:tcMar>
              <w:top w:w="10" w:type="dxa"/>
              <w:left w:w="10" w:type="dxa"/>
              <w:bottom w:w="0" w:type="dxa"/>
              <w:right w:w="10" w:type="dxa"/>
            </w:tcMar>
            <w:vAlign w:val="center"/>
          </w:tcPr>
          <w:p>
            <w:pPr>
              <w:spacing w:line="320" w:lineRule="exact"/>
              <w:jc w:val="center"/>
              <w:rPr>
                <w:rFonts w:hint="eastAsia" w:ascii="仿宋_GB2312" w:eastAsia="仿宋_GB2312"/>
                <w:szCs w:val="21"/>
                <w:lang w:eastAsia="zh-CN"/>
              </w:rPr>
            </w:pPr>
            <w:r>
              <w:rPr>
                <w:rFonts w:hint="eastAsia" w:ascii="仿宋_GB2312" w:eastAsia="仿宋_GB2312"/>
                <w:szCs w:val="21"/>
              </w:rPr>
              <w:t>履职</w:t>
            </w:r>
          </w:p>
          <w:p>
            <w:pPr>
              <w:spacing w:line="320" w:lineRule="exact"/>
              <w:jc w:val="center"/>
              <w:rPr>
                <w:rFonts w:ascii="仿宋_GB2312" w:eastAsia="仿宋_GB2312"/>
                <w:szCs w:val="21"/>
              </w:rPr>
            </w:pPr>
            <w:r>
              <w:rPr>
                <w:rFonts w:hint="eastAsia" w:ascii="仿宋_GB2312" w:eastAsia="仿宋_GB2312"/>
                <w:szCs w:val="21"/>
              </w:rPr>
              <w:t>效益</w:t>
            </w:r>
            <w:r>
              <w:rPr>
                <w:rFonts w:ascii="仿宋_GB2312" w:eastAsia="仿宋_GB2312"/>
                <w:szCs w:val="21"/>
              </w:rPr>
              <w:t xml:space="preserve"> </w:t>
            </w:r>
            <w:r>
              <w:rPr>
                <w:rFonts w:hint="eastAsia" w:ascii="仿宋_GB2312" w:eastAsia="仿宋_GB2312"/>
                <w:szCs w:val="21"/>
              </w:rPr>
              <w:t>（</w:t>
            </w:r>
            <w:r>
              <w:rPr>
                <w:rFonts w:ascii="仿宋_GB2312" w:eastAsia="仿宋_GB2312"/>
                <w:szCs w:val="21"/>
              </w:rPr>
              <w:t>20</w:t>
            </w:r>
            <w:r>
              <w:rPr>
                <w:rFonts w:hint="eastAsia" w:ascii="仿宋_GB2312" w:eastAsia="仿宋_GB2312"/>
                <w:szCs w:val="21"/>
              </w:rPr>
              <w:t>分）</w:t>
            </w: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经济效益（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部门履行职责对经济发展所带来的直接或间接影响。</w:t>
            </w:r>
          </w:p>
        </w:tc>
        <w:tc>
          <w:tcPr>
            <w:tcW w:w="4252" w:type="dxa"/>
            <w:vMerge w:val="restart"/>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此三项指标为设置部门整体支出绩效评价指标时必须考虑的共性要素，可根据部门实际并结合部门整体支出绩效目标设立情况有选择的进行设置，并将其细化为相应的个性化指标。</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部门履行职责对社会发展所带来的直接或间接影响。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生态效益（</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部门履行职责对生态环境所带来的直接或间接影响。</w:t>
            </w:r>
          </w:p>
        </w:tc>
        <w:tc>
          <w:tcPr>
            <w:tcW w:w="4252" w:type="dxa"/>
            <w:vMerge w:val="continue"/>
            <w:vAlign w:val="center"/>
          </w:tcPr>
          <w:p>
            <w:pPr>
              <w:spacing w:line="320" w:lineRule="exact"/>
              <w:ind w:left="105" w:leftChars="50" w:right="105" w:rightChars="50"/>
              <w:rPr>
                <w:rFonts w:ascii="仿宋_GB2312" w:eastAsia="仿宋_GB2312"/>
                <w:szCs w:val="21"/>
              </w:rPr>
            </w:pP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666" w:type="dxa"/>
            <w:vMerge w:val="continue"/>
            <w:vAlign w:val="center"/>
          </w:tcPr>
          <w:p>
            <w:pPr>
              <w:spacing w:line="320" w:lineRule="exact"/>
              <w:rPr>
                <w:rFonts w:ascii="仿宋_GB2312" w:eastAsia="仿宋_GB2312"/>
                <w:szCs w:val="21"/>
              </w:rPr>
            </w:pPr>
          </w:p>
        </w:tc>
        <w:tc>
          <w:tcPr>
            <w:tcW w:w="866" w:type="dxa"/>
            <w:vMerge w:val="continue"/>
            <w:vAlign w:val="center"/>
          </w:tcPr>
          <w:p>
            <w:pPr>
              <w:spacing w:line="320" w:lineRule="exact"/>
              <w:rPr>
                <w:rFonts w:ascii="仿宋_GB2312" w:eastAsia="仿宋_GB2312"/>
                <w:szCs w:val="21"/>
              </w:rPr>
            </w:pPr>
          </w:p>
        </w:tc>
        <w:tc>
          <w:tcPr>
            <w:tcW w:w="951" w:type="dxa"/>
            <w:tcMar>
              <w:top w:w="10" w:type="dxa"/>
              <w:left w:w="10" w:type="dxa"/>
              <w:bottom w:w="0" w:type="dxa"/>
              <w:right w:w="10" w:type="dxa"/>
            </w:tcMar>
            <w:vAlign w:val="center"/>
          </w:tcPr>
          <w:p>
            <w:pPr>
              <w:spacing w:line="320" w:lineRule="exact"/>
              <w:jc w:val="center"/>
              <w:rPr>
                <w:rFonts w:ascii="仿宋_GB2312" w:eastAsia="仿宋_GB2312"/>
                <w:szCs w:val="21"/>
              </w:rPr>
            </w:pPr>
            <w:r>
              <w:rPr>
                <w:rFonts w:hint="eastAsia" w:ascii="仿宋_GB2312" w:eastAsia="仿宋_GB2312"/>
                <w:szCs w:val="21"/>
              </w:rPr>
              <w:t>社会公众</w:t>
            </w:r>
          </w:p>
          <w:p>
            <w:pPr>
              <w:spacing w:line="320" w:lineRule="exact"/>
              <w:jc w:val="center"/>
              <w:rPr>
                <w:rFonts w:ascii="仿宋_GB2312" w:eastAsia="仿宋_GB2312"/>
                <w:szCs w:val="21"/>
              </w:rPr>
            </w:pPr>
            <w:r>
              <w:rPr>
                <w:rFonts w:hint="eastAsia" w:ascii="仿宋_GB2312" w:eastAsia="仿宋_GB2312"/>
                <w:szCs w:val="21"/>
              </w:rPr>
              <w:t>或服务对</w:t>
            </w:r>
          </w:p>
          <w:p>
            <w:pPr>
              <w:spacing w:line="320" w:lineRule="exact"/>
              <w:jc w:val="center"/>
              <w:rPr>
                <w:rFonts w:ascii="仿宋_GB2312" w:eastAsia="仿宋_GB2312"/>
                <w:szCs w:val="21"/>
              </w:rPr>
            </w:pPr>
            <w:r>
              <w:rPr>
                <w:rFonts w:hint="eastAsia" w:ascii="仿宋_GB2312" w:eastAsia="仿宋_GB2312"/>
                <w:szCs w:val="21"/>
              </w:rPr>
              <w:t>象满意度（</w:t>
            </w:r>
            <w:r>
              <w:rPr>
                <w:rFonts w:ascii="仿宋_GB2312" w:eastAsia="仿宋_GB2312"/>
                <w:szCs w:val="21"/>
              </w:rPr>
              <w:t>5</w:t>
            </w:r>
            <w:r>
              <w:rPr>
                <w:rFonts w:hint="eastAsia" w:ascii="仿宋_GB2312" w:eastAsia="仿宋_GB2312"/>
                <w:szCs w:val="21"/>
              </w:rPr>
              <w:t>分）</w:t>
            </w:r>
          </w:p>
        </w:tc>
        <w:tc>
          <w:tcPr>
            <w:tcW w:w="2908" w:type="dxa"/>
            <w:tcMar>
              <w:top w:w="10" w:type="dxa"/>
              <w:left w:w="10" w:type="dxa"/>
              <w:bottom w:w="0" w:type="dxa"/>
              <w:right w:w="10" w:type="dxa"/>
            </w:tcMar>
            <w:vAlign w:val="center"/>
          </w:tcPr>
          <w:p>
            <w:pPr>
              <w:tabs>
                <w:tab w:val="left" w:pos="2604"/>
              </w:tabs>
              <w:spacing w:line="320" w:lineRule="exact"/>
              <w:ind w:left="105" w:leftChars="50" w:right="105" w:rightChars="50" w:firstLine="96" w:firstLineChars="46"/>
              <w:rPr>
                <w:rFonts w:ascii="仿宋_GB2312" w:eastAsia="仿宋_GB2312"/>
                <w:szCs w:val="21"/>
              </w:rPr>
            </w:pPr>
            <w:r>
              <w:rPr>
                <w:rFonts w:hint="eastAsia" w:ascii="仿宋_GB2312" w:eastAsia="仿宋_GB2312"/>
                <w:szCs w:val="21"/>
              </w:rPr>
              <w:t>社会公众或部门的服务对象对部门履职效果的满意程度。</w:t>
            </w:r>
          </w:p>
        </w:tc>
        <w:tc>
          <w:tcPr>
            <w:tcW w:w="4252" w:type="dxa"/>
            <w:tcMar>
              <w:top w:w="10" w:type="dxa"/>
              <w:left w:w="10" w:type="dxa"/>
              <w:bottom w:w="0" w:type="dxa"/>
              <w:right w:w="10" w:type="dxa"/>
            </w:tcMar>
            <w:vAlign w:val="center"/>
          </w:tcPr>
          <w:p>
            <w:pPr>
              <w:spacing w:line="320" w:lineRule="exact"/>
              <w:ind w:left="105" w:leftChars="50" w:right="105" w:rightChars="50"/>
              <w:rPr>
                <w:rFonts w:ascii="仿宋_GB2312" w:eastAsia="仿宋_GB2312"/>
                <w:szCs w:val="21"/>
              </w:rPr>
            </w:pPr>
            <w:r>
              <w:rPr>
                <w:rFonts w:hint="eastAsia" w:ascii="仿宋_GB2312" w:eastAsia="仿宋_GB2312"/>
                <w:szCs w:val="21"/>
              </w:rPr>
              <w:t>社会公众或服务对象是指部门履行职责而影响到的部门、群体或个人。一般采取社会调查的方式。</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2" w:hRule="atLeast"/>
          <w:jc w:val="center"/>
        </w:trPr>
        <w:tc>
          <w:tcPr>
            <w:tcW w:w="9643" w:type="dxa"/>
            <w:gridSpan w:val="5"/>
            <w:vAlign w:val="center"/>
          </w:tcPr>
          <w:p>
            <w:pPr>
              <w:spacing w:line="320" w:lineRule="exact"/>
              <w:ind w:left="105" w:leftChars="50" w:right="105" w:rightChars="50"/>
              <w:jc w:val="center"/>
              <w:rPr>
                <w:rFonts w:hint="eastAsia" w:ascii="仿宋_GB2312" w:eastAsia="仿宋_GB2312"/>
                <w:szCs w:val="21"/>
                <w:lang w:val="en-US" w:eastAsia="zh-CN"/>
              </w:rPr>
            </w:pPr>
            <w:r>
              <w:rPr>
                <w:rFonts w:hint="eastAsia" w:ascii="仿宋_GB2312" w:eastAsia="仿宋_GB2312"/>
                <w:szCs w:val="21"/>
                <w:lang w:val="en-US" w:eastAsia="zh-CN"/>
              </w:rPr>
              <w:t>得分</w:t>
            </w:r>
          </w:p>
        </w:tc>
        <w:tc>
          <w:tcPr>
            <w:tcW w:w="938" w:type="dxa"/>
            <w:vAlign w:val="center"/>
          </w:tcPr>
          <w:p>
            <w:pPr>
              <w:spacing w:line="320" w:lineRule="exact"/>
              <w:ind w:left="105" w:leftChars="50" w:right="105" w:rightChars="50"/>
              <w:jc w:val="center"/>
              <w:rPr>
                <w:rFonts w:hint="default" w:ascii="仿宋_GB2312" w:eastAsia="仿宋_GB2312"/>
                <w:szCs w:val="21"/>
                <w:lang w:val="en-US" w:eastAsia="zh-CN"/>
              </w:rPr>
            </w:pPr>
            <w:r>
              <w:rPr>
                <w:rFonts w:hint="eastAsia" w:ascii="仿宋_GB2312" w:eastAsia="仿宋_GB2312"/>
                <w:szCs w:val="21"/>
                <w:lang w:val="en-US" w:eastAsia="zh-CN"/>
              </w:rPr>
              <w:t>96</w:t>
            </w:r>
          </w:p>
        </w:tc>
      </w:tr>
    </w:tbl>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cs="宋体"/>
          <w:color w:val="000000"/>
          <w:spacing w:val="0"/>
          <w:w w:val="100"/>
          <w:position w:val="0"/>
          <w:sz w:val="24"/>
          <w:szCs w:val="24"/>
          <w:lang w:eastAsia="zh-CN"/>
        </w:rPr>
      </w:pP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2</w:t>
      </w:r>
    </w:p>
    <w:p>
      <w:pPr>
        <w:pStyle w:val="15"/>
        <w:spacing w:line="560" w:lineRule="exact"/>
        <w:jc w:val="cente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部门整体支出绩效评价基础数据表</w:t>
      </w: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color w:val="000000"/>
          <w:spacing w:val="0"/>
          <w:w w:val="100"/>
          <w:position w:val="0"/>
          <w:sz w:val="24"/>
          <w:szCs w:val="24"/>
        </w:rPr>
      </w:pPr>
    </w:p>
    <w:p>
      <w:pPr>
        <w:pStyle w:val="10"/>
        <w:keepNext w:val="0"/>
        <w:keepLines w:val="0"/>
        <w:widowControl w:val="0"/>
        <w:shd w:val="clear" w:color="auto" w:fill="auto"/>
        <w:bidi w:val="0"/>
        <w:spacing w:before="0" w:line="240" w:lineRule="auto"/>
        <w:ind w:left="0" w:leftChars="0" w:right="0" w:firstLine="0" w:firstLineChars="0"/>
        <w:jc w:val="left"/>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填报单位：</w:t>
      </w:r>
      <w:r>
        <w:rPr>
          <w:rFonts w:hint="eastAsia" w:cs="宋体"/>
          <w:color w:val="000000"/>
          <w:spacing w:val="0"/>
          <w:w w:val="100"/>
          <w:position w:val="0"/>
          <w:sz w:val="24"/>
          <w:szCs w:val="24"/>
          <w:lang w:eastAsia="zh-CN"/>
        </w:rPr>
        <w:t>（盖章）</w:t>
      </w:r>
    </w:p>
    <w:tbl>
      <w:tblPr>
        <w:tblStyle w:val="5"/>
        <w:tblW w:w="9437" w:type="dxa"/>
        <w:jc w:val="center"/>
        <w:tblLayout w:type="fixed"/>
        <w:tblCellMar>
          <w:top w:w="0" w:type="dxa"/>
          <w:left w:w="10" w:type="dxa"/>
          <w:bottom w:w="0" w:type="dxa"/>
          <w:right w:w="10" w:type="dxa"/>
        </w:tblCellMar>
      </w:tblPr>
      <w:tblGrid>
        <w:gridCol w:w="2732"/>
        <w:gridCol w:w="1080"/>
        <w:gridCol w:w="1005"/>
        <w:gridCol w:w="1172"/>
        <w:gridCol w:w="1142"/>
        <w:gridCol w:w="1255"/>
        <w:gridCol w:w="1051"/>
      </w:tblGrid>
      <w:tr>
        <w:tblPrEx>
          <w:tblCellMar>
            <w:top w:w="0" w:type="dxa"/>
            <w:left w:w="10" w:type="dxa"/>
            <w:bottom w:w="0" w:type="dxa"/>
            <w:right w:w="10" w:type="dxa"/>
          </w:tblCellMar>
        </w:tblPrEx>
        <w:trPr>
          <w:trHeight w:val="619"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财政供养人员情况</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编制数</w:t>
            </w:r>
          </w:p>
        </w:tc>
        <w:tc>
          <w:tcPr>
            <w:tcW w:w="2314"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3</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p>
        </w:tc>
        <w:tc>
          <w:tcPr>
            <w:tcW w:w="2306" w:type="dxa"/>
            <w:gridSpan w:val="2"/>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pacing w:val="0"/>
                <w:w w:val="100"/>
                <w:position w:val="0"/>
                <w:sz w:val="21"/>
                <w:szCs w:val="21"/>
              </w:rPr>
              <w:t>控制率</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3</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b w:val="0"/>
                <w:bCs w:val="0"/>
                <w:color w:val="000000"/>
                <w:spacing w:val="0"/>
                <w:w w:val="100"/>
                <w:position w:val="0"/>
                <w:sz w:val="21"/>
                <w:szCs w:val="21"/>
              </w:rPr>
              <w:t>实际在职人数</w:t>
            </w:r>
            <w:r>
              <w:rPr>
                <w:rFonts w:hint="eastAsia" w:ascii="仿宋_GB2312" w:hAnsi="仿宋_GB2312" w:eastAsia="仿宋_GB2312" w:cs="仿宋_GB2312"/>
                <w:b w:val="0"/>
                <w:bCs w:val="0"/>
                <w:color w:val="000000"/>
                <w:spacing w:val="0"/>
                <w:w w:val="100"/>
                <w:position w:val="0"/>
                <w:sz w:val="21"/>
                <w:szCs w:val="21"/>
                <w:lang w:val="en-US" w:eastAsia="zh-CN"/>
              </w:rPr>
              <w:t>/</w:t>
            </w:r>
            <w:r>
              <w:rPr>
                <w:rFonts w:hint="eastAsia" w:ascii="仿宋_GB2312" w:hAnsi="仿宋_GB2312" w:eastAsia="仿宋_GB2312" w:cs="仿宋_GB2312"/>
                <w:b w:val="0"/>
                <w:bCs w:val="0"/>
                <w:color w:val="000000"/>
                <w:spacing w:val="0"/>
                <w:w w:val="100"/>
                <w:position w:val="0"/>
                <w:sz w:val="21"/>
                <w:szCs w:val="21"/>
              </w:rPr>
              <w:t>编制数</w:t>
            </w:r>
          </w:p>
        </w:tc>
      </w:tr>
      <w:tr>
        <w:tblPrEx>
          <w:tblCellMar>
            <w:top w:w="0" w:type="dxa"/>
            <w:left w:w="10" w:type="dxa"/>
            <w:bottom w:w="0" w:type="dxa"/>
            <w:right w:w="10" w:type="dxa"/>
          </w:tblCellMar>
        </w:tblPrEx>
        <w:trPr>
          <w:trHeight w:val="455" w:hRule="exact"/>
          <w:jc w:val="center"/>
        </w:trPr>
        <w:tc>
          <w:tcPr>
            <w:tcW w:w="2732" w:type="dxa"/>
            <w:vMerge w:val="continue"/>
            <w:tcBorders>
              <w:left w:val="single" w:color="auto" w:sz="4" w:space="0"/>
              <w:bottom w:val="single" w:color="auto" w:sz="4" w:space="0"/>
            </w:tcBorders>
            <w:shd w:val="clear" w:color="auto" w:fill="FFFFFF"/>
            <w:noWrap w:val="0"/>
            <w:vAlign w:val="center"/>
          </w:tcPr>
          <w:p>
            <w:pPr>
              <w:jc w:val="center"/>
              <w:rPr>
                <w:rFonts w:hint="eastAsia" w:ascii="仿宋_GB2312" w:hAnsi="仿宋_GB2312" w:eastAsia="仿宋_GB2312" w:cs="仿宋_GB2312"/>
                <w:sz w:val="21"/>
                <w:szCs w:val="21"/>
              </w:rPr>
            </w:pPr>
          </w:p>
        </w:tc>
        <w:tc>
          <w:tcPr>
            <w:tcW w:w="2085"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w:t>
            </w:r>
          </w:p>
        </w:tc>
        <w:tc>
          <w:tcPr>
            <w:tcW w:w="2314"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w:t>
            </w:r>
          </w:p>
        </w:tc>
        <w:tc>
          <w:tcPr>
            <w:tcW w:w="230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92%</w:t>
            </w:r>
          </w:p>
        </w:tc>
      </w:tr>
      <w:tr>
        <w:tblPrEx>
          <w:tblCellMar>
            <w:top w:w="0" w:type="dxa"/>
            <w:left w:w="10" w:type="dxa"/>
            <w:bottom w:w="0" w:type="dxa"/>
            <w:right w:w="10" w:type="dxa"/>
          </w:tblCellMar>
        </w:tblPrEx>
        <w:trPr>
          <w:trHeight w:val="5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经费控制情况</w:t>
            </w:r>
          </w:p>
        </w:tc>
        <w:tc>
          <w:tcPr>
            <w:tcW w:w="2085"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rPr>
              <w:t>20</w:t>
            </w:r>
            <w:r>
              <w:rPr>
                <w:rFonts w:hint="eastAsia" w:ascii="仿宋_GB2312" w:hAnsi="仿宋_GB2312" w:eastAsia="仿宋_GB2312" w:cs="仿宋_GB2312"/>
                <w:b/>
                <w:bCs/>
                <w:color w:val="000000"/>
                <w:spacing w:val="0"/>
                <w:w w:val="100"/>
                <w:position w:val="0"/>
                <w:sz w:val="21"/>
                <w:szCs w:val="21"/>
                <w:lang w:val="en-US" w:eastAsia="zh-CN"/>
              </w:rPr>
              <w:t>22</w:t>
            </w:r>
            <w:r>
              <w:rPr>
                <w:rFonts w:hint="eastAsia" w:ascii="仿宋_GB2312" w:hAnsi="仿宋_GB2312" w:eastAsia="仿宋_GB2312" w:cs="仿宋_GB2312"/>
                <w:b/>
                <w:bCs/>
                <w:color w:val="000000"/>
                <w:spacing w:val="0"/>
                <w:w w:val="100"/>
                <w:position w:val="0"/>
                <w:sz w:val="21"/>
                <w:szCs w:val="21"/>
              </w:rPr>
              <w:t>年决算数</w:t>
            </w:r>
          </w:p>
        </w:tc>
        <w:tc>
          <w:tcPr>
            <w:tcW w:w="2314" w:type="dxa"/>
            <w:gridSpan w:val="2"/>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3</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预算数</w:t>
            </w:r>
          </w:p>
        </w:tc>
        <w:tc>
          <w:tcPr>
            <w:tcW w:w="2306" w:type="dxa"/>
            <w:gridSpan w:val="2"/>
            <w:tcBorders>
              <w:top w:val="single" w:color="auto" w:sz="4" w:space="0"/>
              <w:left w:val="single" w:color="auto" w:sz="4" w:space="0"/>
              <w:righ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leftChars="0" w:right="0" w:rightChars="0" w:firstLine="0" w:firstLineChars="0"/>
              <w:jc w:val="center"/>
              <w:rPr>
                <w:rFonts w:hint="eastAsia" w:ascii="仿宋_GB2312" w:hAnsi="仿宋_GB2312" w:eastAsia="仿宋_GB2312" w:cs="仿宋_GB2312"/>
                <w:b/>
                <w:bCs/>
                <w:kern w:val="2"/>
                <w:sz w:val="21"/>
                <w:szCs w:val="21"/>
                <w:u w:val="none"/>
                <w:shd w:val="clear" w:color="auto" w:fill="auto"/>
                <w:lang w:val="zh-CN" w:eastAsia="zh-CN" w:bidi="zh-CN"/>
              </w:rPr>
            </w:pPr>
            <w:r>
              <w:rPr>
                <w:rFonts w:hint="eastAsia" w:ascii="仿宋_GB2312" w:hAnsi="仿宋_GB2312" w:eastAsia="仿宋_GB2312" w:cs="仿宋_GB2312"/>
                <w:b/>
                <w:bCs/>
                <w:color w:val="000000"/>
                <w:spacing w:val="0"/>
                <w:w w:val="100"/>
                <w:position w:val="0"/>
                <w:sz w:val="21"/>
                <w:szCs w:val="21"/>
                <w:lang w:eastAsia="zh-CN"/>
              </w:rPr>
              <w:t>202</w:t>
            </w:r>
            <w:r>
              <w:rPr>
                <w:rFonts w:hint="eastAsia" w:ascii="仿宋_GB2312" w:hAnsi="仿宋_GB2312" w:eastAsia="仿宋_GB2312" w:cs="仿宋_GB2312"/>
                <w:b/>
                <w:bCs/>
                <w:color w:val="000000"/>
                <w:spacing w:val="0"/>
                <w:w w:val="100"/>
                <w:position w:val="0"/>
                <w:sz w:val="21"/>
                <w:szCs w:val="21"/>
                <w:lang w:val="en-US" w:eastAsia="zh-CN"/>
              </w:rPr>
              <w:t>3</w:t>
            </w:r>
            <w:r>
              <w:rPr>
                <w:rFonts w:hint="eastAsia" w:ascii="仿宋_GB2312" w:hAnsi="仿宋_GB2312" w:eastAsia="仿宋_GB2312" w:cs="仿宋_GB2312"/>
                <w:b/>
                <w:bCs/>
                <w:color w:val="000000"/>
                <w:spacing w:val="0"/>
                <w:w w:val="100"/>
                <w:position w:val="0"/>
                <w:sz w:val="21"/>
                <w:szCs w:val="21"/>
                <w:lang w:eastAsia="zh-CN"/>
              </w:rPr>
              <w:t>年</w:t>
            </w:r>
            <w:r>
              <w:rPr>
                <w:rFonts w:hint="eastAsia" w:ascii="仿宋_GB2312" w:hAnsi="仿宋_GB2312" w:eastAsia="仿宋_GB2312" w:cs="仿宋_GB2312"/>
                <w:b/>
                <w:bCs/>
                <w:color w:val="000000"/>
                <w:spacing w:val="0"/>
                <w:w w:val="100"/>
                <w:position w:val="0"/>
                <w:sz w:val="21"/>
                <w:szCs w:val="21"/>
              </w:rPr>
              <w:t>决算数</w:t>
            </w:r>
          </w:p>
        </w:tc>
      </w:tr>
      <w:tr>
        <w:tblPrEx>
          <w:tblCellMar>
            <w:top w:w="0" w:type="dxa"/>
            <w:left w:w="10" w:type="dxa"/>
            <w:bottom w:w="0" w:type="dxa"/>
            <w:right w:w="10" w:type="dxa"/>
          </w:tblCellMar>
        </w:tblPrEx>
        <w:trPr>
          <w:trHeight w:val="46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三公经费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65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、公务用车购置和维护经费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52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其中：公车购置</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116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公车运行维护</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、出国经费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3</w:t>
            </w:r>
            <w:r>
              <w:rPr>
                <w:rFonts w:hint="eastAsia" w:ascii="仿宋_GB2312" w:hAnsi="仿宋_GB2312" w:eastAsia="仿宋_GB2312" w:cs="仿宋_GB2312"/>
                <w:color w:val="000000"/>
                <w:spacing w:val="0"/>
                <w:w w:val="100"/>
                <w:position w:val="0"/>
                <w:sz w:val="21"/>
                <w:szCs w:val="21"/>
              </w:rPr>
              <w:t>、公务接待</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项目支出：</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3976.28</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3454.66</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4562.28</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1</w:t>
            </w:r>
            <w:r>
              <w:rPr>
                <w:rFonts w:hint="eastAsia" w:ascii="仿宋_GB2312" w:hAnsi="仿宋_GB2312" w:eastAsia="仿宋_GB2312" w:cs="仿宋_GB2312"/>
                <w:color w:val="000000"/>
                <w:spacing w:val="0"/>
                <w:w w:val="100"/>
                <w:position w:val="0"/>
                <w:sz w:val="21"/>
                <w:szCs w:val="21"/>
              </w:rPr>
              <w:t>、业务工作专项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200"/>
              <w:jc w:val="left"/>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pacing w:val="0"/>
                <w:w w:val="100"/>
                <w:position w:val="0"/>
                <w:sz w:val="21"/>
                <w:szCs w:val="21"/>
              </w:rPr>
              <w:t>2</w:t>
            </w:r>
            <w:r>
              <w:rPr>
                <w:rFonts w:hint="eastAsia" w:ascii="仿宋_GB2312" w:hAnsi="仿宋_GB2312" w:eastAsia="仿宋_GB2312" w:cs="仿宋_GB2312"/>
                <w:color w:val="000000"/>
                <w:spacing w:val="0"/>
                <w:w w:val="100"/>
                <w:position w:val="0"/>
                <w:sz w:val="21"/>
                <w:szCs w:val="21"/>
              </w:rPr>
              <w:t>、运行维护专项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3976.28</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3454.66</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4562.28</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公用经费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17.58</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11.1</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26.19</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left="0" w:right="0" w:firstLine="3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其中：办公经费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4.57</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12.89</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水费、电费、差旅费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0.75</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1.99</w:t>
            </w:r>
          </w:p>
        </w:tc>
      </w:tr>
      <w:tr>
        <w:tblPrEx>
          <w:tblCellMar>
            <w:top w:w="0" w:type="dxa"/>
            <w:left w:w="10" w:type="dxa"/>
            <w:bottom w:w="0" w:type="dxa"/>
            <w:right w:w="10" w:type="dxa"/>
          </w:tblCellMar>
        </w:tblPrEx>
        <w:trPr>
          <w:trHeight w:val="432" w:hRule="exact"/>
          <w:jc w:val="center"/>
        </w:trPr>
        <w:tc>
          <w:tcPr>
            <w:tcW w:w="2732" w:type="dxa"/>
            <w:tcBorders>
              <w:top w:val="single" w:color="auto" w:sz="4" w:space="0"/>
              <w:left w:val="single" w:color="auto" w:sz="4" w:space="0"/>
            </w:tcBorders>
            <w:shd w:val="clear" w:color="auto" w:fill="FFFFFF"/>
            <w:noWrap w:val="0"/>
            <w:vAlign w:val="bottom"/>
          </w:tcPr>
          <w:p>
            <w:pPr>
              <w:pStyle w:val="9"/>
              <w:keepNext w:val="0"/>
              <w:keepLines w:val="0"/>
              <w:widowControl w:val="0"/>
              <w:shd w:val="clear" w:color="auto" w:fill="auto"/>
              <w:bidi w:val="0"/>
              <w:spacing w:before="0" w:after="0" w:line="240" w:lineRule="auto"/>
              <w:ind w:right="0" w:firstLine="420" w:firstLineChars="2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会议费、培训费</w:t>
            </w:r>
          </w:p>
        </w:tc>
        <w:tc>
          <w:tcPr>
            <w:tcW w:w="2085"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0.14</w:t>
            </w: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政府采购金额</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437" w:hRule="exact"/>
          <w:jc w:val="center"/>
        </w:trPr>
        <w:tc>
          <w:tcPr>
            <w:tcW w:w="273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部门整体支出预算调整</w:t>
            </w:r>
          </w:p>
        </w:tc>
        <w:tc>
          <w:tcPr>
            <w:tcW w:w="2085" w:type="dxa"/>
            <w:gridSpan w:val="2"/>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w:t>
            </w:r>
          </w:p>
        </w:tc>
        <w:tc>
          <w:tcPr>
            <w:tcW w:w="2314" w:type="dxa"/>
            <w:gridSpan w:val="2"/>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230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782" w:hRule="exact"/>
          <w:jc w:val="center"/>
        </w:trPr>
        <w:tc>
          <w:tcPr>
            <w:tcW w:w="2732" w:type="dxa"/>
            <w:vMerge w:val="restart"/>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楼堂馆所控制情况 </w:t>
            </w:r>
            <w:r>
              <w:rPr>
                <w:rFonts w:hint="eastAsia" w:ascii="仿宋_GB2312" w:hAnsi="仿宋_GB2312" w:eastAsia="仿宋_GB2312" w:cs="仿宋_GB2312"/>
                <w:b w:val="0"/>
                <w:bCs w:val="0"/>
                <w:color w:val="000000"/>
                <w:spacing w:val="0"/>
                <w:w w:val="100"/>
                <w:position w:val="0"/>
                <w:sz w:val="21"/>
                <w:szCs w:val="21"/>
              </w:rPr>
              <w:t>（</w:t>
            </w:r>
            <w:r>
              <w:rPr>
                <w:rFonts w:hint="eastAsia" w:ascii="仿宋_GB2312" w:hAnsi="仿宋_GB2312" w:eastAsia="仿宋_GB2312" w:cs="仿宋_GB2312"/>
                <w:b w:val="0"/>
                <w:bCs w:val="0"/>
                <w:color w:val="000000"/>
                <w:spacing w:val="0"/>
                <w:w w:val="100"/>
                <w:position w:val="0"/>
                <w:sz w:val="21"/>
                <w:szCs w:val="21"/>
                <w:lang w:eastAsia="zh-CN"/>
              </w:rPr>
              <w:t>202</w:t>
            </w:r>
            <w:r>
              <w:rPr>
                <w:rFonts w:hint="eastAsia" w:ascii="仿宋_GB2312" w:hAnsi="仿宋_GB2312" w:eastAsia="仿宋_GB2312" w:cs="仿宋_GB2312"/>
                <w:b w:val="0"/>
                <w:bCs w:val="0"/>
                <w:color w:val="000000"/>
                <w:spacing w:val="0"/>
                <w:w w:val="100"/>
                <w:position w:val="0"/>
                <w:sz w:val="21"/>
                <w:szCs w:val="21"/>
                <w:lang w:val="en-US" w:eastAsia="zh-CN"/>
              </w:rPr>
              <w:t>2</w:t>
            </w:r>
            <w:r>
              <w:rPr>
                <w:rFonts w:hint="eastAsia" w:ascii="仿宋_GB2312" w:hAnsi="仿宋_GB2312" w:eastAsia="仿宋_GB2312" w:cs="仿宋_GB2312"/>
                <w:b w:val="0"/>
                <w:bCs w:val="0"/>
                <w:color w:val="000000"/>
                <w:spacing w:val="0"/>
                <w:w w:val="100"/>
                <w:position w:val="0"/>
                <w:sz w:val="21"/>
                <w:szCs w:val="21"/>
                <w:lang w:eastAsia="zh-CN"/>
              </w:rPr>
              <w:t>年</w:t>
            </w:r>
            <w:r>
              <w:rPr>
                <w:rFonts w:hint="eastAsia" w:ascii="仿宋_GB2312" w:hAnsi="仿宋_GB2312" w:eastAsia="仿宋_GB2312" w:cs="仿宋_GB2312"/>
                <w:color w:val="000000"/>
                <w:spacing w:val="0"/>
                <w:w w:val="100"/>
                <w:position w:val="0"/>
                <w:sz w:val="21"/>
                <w:szCs w:val="21"/>
              </w:rPr>
              <w:t>完工项目）</w:t>
            </w:r>
          </w:p>
        </w:tc>
        <w:tc>
          <w:tcPr>
            <w:tcW w:w="1080"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98"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 xml:space="preserve">批复规模 </w:t>
            </w: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1</w:t>
            </w:r>
            <w:r>
              <w:rPr>
                <w:rFonts w:hint="eastAsia" w:ascii="仿宋_GB2312" w:hAnsi="仿宋_GB2312" w:eastAsia="仿宋_GB2312" w:cs="仿宋_GB2312"/>
                <w:color w:val="000000"/>
                <w:spacing w:val="0"/>
                <w:w w:val="100"/>
                <w:position w:val="0"/>
                <w:sz w:val="21"/>
                <w:szCs w:val="21"/>
                <w:lang w:val="en-US" w:eastAsia="en-US" w:bidi="en-US"/>
              </w:rPr>
              <w:t>）</w:t>
            </w:r>
          </w:p>
        </w:tc>
        <w:tc>
          <w:tcPr>
            <w:tcW w:w="100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40" w:line="312" w:lineRule="exact"/>
              <w:ind w:right="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实际规模</w:t>
            </w:r>
          </w:p>
          <w:p>
            <w:pPr>
              <w:pStyle w:val="9"/>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lang w:val="en-US" w:eastAsia="en-US" w:bidi="en-US"/>
              </w:rPr>
              <w:t>（m</w:t>
            </w:r>
            <w:r>
              <w:rPr>
                <w:rFonts w:hint="eastAsia" w:ascii="仿宋_GB2312" w:hAnsi="仿宋_GB2312" w:eastAsia="仿宋_GB2312" w:cs="仿宋_GB2312"/>
                <w:color w:val="000000"/>
                <w:spacing w:val="0"/>
                <w:w w:val="100"/>
                <w:position w:val="0"/>
                <w:sz w:val="21"/>
                <w:szCs w:val="21"/>
                <w:vertAlign w:val="superscript"/>
                <w:lang w:val="en-US" w:eastAsia="en-US" w:bidi="en-US"/>
              </w:rPr>
              <w:t>2</w:t>
            </w:r>
            <w:r>
              <w:rPr>
                <w:rFonts w:hint="eastAsia" w:ascii="仿宋_GB2312" w:hAnsi="仿宋_GB2312" w:eastAsia="仿宋_GB2312" w:cs="仿宋_GB2312"/>
                <w:color w:val="000000"/>
                <w:spacing w:val="0"/>
                <w:w w:val="100"/>
                <w:position w:val="0"/>
                <w:sz w:val="21"/>
                <w:szCs w:val="21"/>
                <w:lang w:val="en-US" w:eastAsia="en-US" w:bidi="en-US"/>
              </w:rPr>
              <w:t>）</w:t>
            </w:r>
          </w:p>
        </w:tc>
        <w:tc>
          <w:tcPr>
            <w:tcW w:w="117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规模控制率</w:t>
            </w:r>
          </w:p>
        </w:tc>
        <w:tc>
          <w:tcPr>
            <w:tcW w:w="1142"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预算投资</w:t>
            </w:r>
            <w:r>
              <w:rPr>
                <w:rFonts w:hint="eastAsia" w:ascii="仿宋_GB2312" w:hAnsi="仿宋_GB2312" w:eastAsia="仿宋_GB2312" w:cs="仿宋_GB2312"/>
                <w:color w:val="000000"/>
                <w:spacing w:val="0"/>
                <w:w w:val="100"/>
                <w:position w:val="0"/>
                <w:sz w:val="21"/>
                <w:szCs w:val="21"/>
                <w:lang w:val="en-US" w:eastAsia="zh-CN"/>
              </w:rPr>
              <w:t xml:space="preserve">     </w:t>
            </w:r>
            <w:r>
              <w:rPr>
                <w:rFonts w:hint="eastAsia" w:ascii="仿宋_GB2312" w:hAnsi="仿宋_GB2312" w:eastAsia="仿宋_GB2312" w:cs="仿宋_GB2312"/>
                <w:color w:val="000000"/>
                <w:spacing w:val="0"/>
                <w:w w:val="100"/>
                <w:position w:val="0"/>
                <w:sz w:val="21"/>
                <w:szCs w:val="21"/>
              </w:rPr>
              <w:t>（万元）</w:t>
            </w:r>
          </w:p>
        </w:tc>
        <w:tc>
          <w:tcPr>
            <w:tcW w:w="1255" w:type="dxa"/>
            <w:tcBorders>
              <w:top w:val="single" w:color="auto" w:sz="4" w:space="0"/>
              <w:left w:val="single" w:color="auto" w:sz="4" w:space="0"/>
            </w:tcBorders>
            <w:shd w:val="clear" w:color="auto" w:fill="FFFFFF"/>
            <w:noWrap w:val="0"/>
            <w:vAlign w:val="center"/>
          </w:tcPr>
          <w:p>
            <w:pPr>
              <w:pStyle w:val="9"/>
              <w:keepNext w:val="0"/>
              <w:keepLines w:val="0"/>
              <w:widowControl w:val="0"/>
              <w:shd w:val="clear" w:color="auto" w:fill="auto"/>
              <w:bidi w:val="0"/>
              <w:spacing w:before="0" w:after="0" w:line="312"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实际投资 （万元）</w:t>
            </w:r>
          </w:p>
        </w:tc>
        <w:tc>
          <w:tcPr>
            <w:tcW w:w="1051" w:type="dxa"/>
            <w:tcBorders>
              <w:top w:val="single" w:color="auto" w:sz="4" w:space="0"/>
              <w:left w:val="single" w:color="auto" w:sz="4" w:space="0"/>
              <w:right w:val="single" w:color="auto" w:sz="4" w:space="0"/>
            </w:tcBorders>
            <w:shd w:val="clear" w:color="auto" w:fill="FFFFFF"/>
            <w:noWrap w:val="0"/>
            <w:vAlign w:val="center"/>
          </w:tcPr>
          <w:p>
            <w:pPr>
              <w:pStyle w:val="9"/>
              <w:keepNext w:val="0"/>
              <w:keepLines w:val="0"/>
              <w:widowControl w:val="0"/>
              <w:shd w:val="clear" w:color="auto" w:fill="auto"/>
              <w:bidi w:val="0"/>
              <w:spacing w:before="0" w:after="0" w:line="283" w:lineRule="exact"/>
              <w:ind w:left="0" w:right="0"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投资概算控制率</w:t>
            </w:r>
          </w:p>
        </w:tc>
      </w:tr>
      <w:tr>
        <w:tblPrEx>
          <w:tblCellMar>
            <w:top w:w="0" w:type="dxa"/>
            <w:left w:w="10" w:type="dxa"/>
            <w:bottom w:w="0" w:type="dxa"/>
            <w:right w:w="10" w:type="dxa"/>
          </w:tblCellMar>
        </w:tblPrEx>
        <w:trPr>
          <w:trHeight w:val="466" w:hRule="exact"/>
          <w:jc w:val="center"/>
        </w:trPr>
        <w:tc>
          <w:tcPr>
            <w:tcW w:w="2732" w:type="dxa"/>
            <w:vMerge w:val="continue"/>
            <w:tcBorders>
              <w:left w:val="single" w:color="auto" w:sz="4" w:space="0"/>
            </w:tcBorders>
            <w:shd w:val="clear" w:color="auto" w:fill="FFFFFF"/>
            <w:noWrap w:val="0"/>
            <w:vAlign w:val="center"/>
          </w:tcPr>
          <w:p>
            <w:pPr>
              <w:rPr>
                <w:rFonts w:hint="eastAsia" w:ascii="仿宋_GB2312" w:hAnsi="仿宋_GB2312" w:eastAsia="仿宋_GB2312" w:cs="仿宋_GB2312"/>
                <w:sz w:val="21"/>
                <w:szCs w:val="21"/>
              </w:rPr>
            </w:pPr>
          </w:p>
        </w:tc>
        <w:tc>
          <w:tcPr>
            <w:tcW w:w="1080"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00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17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142"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255" w:type="dxa"/>
            <w:tcBorders>
              <w:top w:val="single" w:color="auto" w:sz="4" w:space="0"/>
              <w:lef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c>
          <w:tcPr>
            <w:tcW w:w="1051" w:type="dxa"/>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p>
        </w:tc>
      </w:tr>
      <w:tr>
        <w:tblPrEx>
          <w:tblCellMar>
            <w:top w:w="0" w:type="dxa"/>
            <w:left w:w="10" w:type="dxa"/>
            <w:bottom w:w="0" w:type="dxa"/>
            <w:right w:w="10" w:type="dxa"/>
          </w:tblCellMar>
        </w:tblPrEx>
        <w:trPr>
          <w:trHeight w:val="1480" w:hRule="exact"/>
          <w:jc w:val="center"/>
        </w:trPr>
        <w:tc>
          <w:tcPr>
            <w:tcW w:w="2732" w:type="dxa"/>
            <w:tcBorders>
              <w:top w:val="single" w:color="auto" w:sz="4" w:space="0"/>
              <w:left w:val="single" w:color="auto" w:sz="4" w:space="0"/>
              <w:bottom w:val="single" w:color="auto" w:sz="4" w:space="0"/>
            </w:tcBorders>
            <w:shd w:val="clear" w:color="auto" w:fill="FFFFFF"/>
            <w:noWrap w:val="0"/>
            <w:vAlign w:val="top"/>
          </w:tcPr>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color w:val="000000"/>
                <w:spacing w:val="0"/>
                <w:w w:val="100"/>
                <w:position w:val="0"/>
                <w:sz w:val="21"/>
                <w:szCs w:val="21"/>
              </w:rPr>
            </w:pPr>
          </w:p>
          <w:p>
            <w:pPr>
              <w:pStyle w:val="9"/>
              <w:keepNext w:val="0"/>
              <w:keepLines w:val="0"/>
              <w:widowControl w:val="0"/>
              <w:shd w:val="clear" w:color="auto" w:fill="auto"/>
              <w:bidi w:val="0"/>
              <w:spacing w:before="80" w:after="0" w:line="240" w:lineRule="auto"/>
              <w:ind w:left="0" w:right="0" w:firstLine="60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spacing w:val="0"/>
                <w:w w:val="100"/>
                <w:position w:val="0"/>
                <w:sz w:val="21"/>
                <w:szCs w:val="21"/>
              </w:rPr>
              <w:t>厉行节约保障措施</w:t>
            </w:r>
          </w:p>
        </w:tc>
        <w:tc>
          <w:tcPr>
            <w:tcW w:w="6705"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仿宋_GB2312" w:hAnsi="仿宋_GB2312" w:eastAsia="仿宋_GB2312" w:cs="仿宋_GB2312"/>
                <w:sz w:val="21"/>
                <w:szCs w:val="21"/>
              </w:rPr>
            </w:pPr>
            <w:r>
              <w:rPr>
                <w:rFonts w:hint="eastAsia" w:ascii="宋体" w:hAnsi="宋体" w:cs="宋体"/>
                <w:sz w:val="24"/>
                <w:szCs w:val="24"/>
                <w:lang w:val="en-US" w:eastAsia="zh-CN"/>
              </w:rPr>
              <w:t>制定《财政局内部控制基本制度》、《政府采购管理制度》、《预算业务管理制度》、《财政局固定资产管理制度》、《政府会计管理制度》；印发《珠晖区区直机关会议、差旅费、培训费管理办法》（暂行）</w:t>
            </w:r>
          </w:p>
        </w:tc>
      </w:tr>
    </w:tbl>
    <w:p>
      <w:pPr>
        <w:pStyle w:val="11"/>
        <w:keepNext w:val="0"/>
        <w:keepLines w:val="0"/>
        <w:widowControl w:val="0"/>
        <w:shd w:val="clear" w:color="auto" w:fill="auto"/>
        <w:bidi w:val="0"/>
        <w:spacing w:before="0" w:after="0"/>
        <w:ind w:left="0" w:right="0" w:firstLine="0"/>
        <w:jc w:val="left"/>
        <w:rPr>
          <w:rFonts w:hint="eastAsia" w:ascii="宋体" w:hAnsi="宋体" w:eastAsia="宋体" w:cs="宋体"/>
          <w:color w:val="000000"/>
          <w:spacing w:val="0"/>
          <w:w w:val="100"/>
          <w:position w:val="0"/>
          <w:sz w:val="24"/>
          <w:szCs w:val="24"/>
        </w:rPr>
      </w:pPr>
    </w:p>
    <w:p>
      <w:pPr>
        <w:pStyle w:val="11"/>
        <w:keepNext w:val="0"/>
        <w:keepLines w:val="0"/>
        <w:widowControl w:val="0"/>
        <w:shd w:val="clear" w:color="auto" w:fill="auto"/>
        <w:bidi w:val="0"/>
        <w:spacing w:before="0" w:after="0"/>
        <w:ind w:left="0" w:right="0" w:firstLine="0"/>
        <w:jc w:val="left"/>
        <w:rPr>
          <w:rFonts w:hint="eastAsia" w:ascii="宋体" w:hAnsi="宋体" w:eastAsia="宋体" w:cs="宋体"/>
          <w:sz w:val="32"/>
          <w:szCs w:val="32"/>
        </w:rPr>
        <w:sectPr>
          <w:footerReference r:id="rId3" w:type="default"/>
          <w:footerReference r:id="rId4" w:type="even"/>
          <w:footnotePr>
            <w:numFmt w:val="decimal"/>
          </w:footnotePr>
          <w:pgSz w:w="11850" w:h="16783"/>
          <w:pgMar w:top="1440" w:right="1803" w:bottom="1440" w:left="1803" w:header="0" w:footer="850" w:gutter="0"/>
          <w:cols w:space="720" w:num="1"/>
          <w:rtlGutter w:val="0"/>
          <w:docGrid w:linePitch="360" w:charSpace="0"/>
        </w:sectPr>
      </w:pPr>
      <w:r>
        <w:rPr>
          <w:rFonts w:hint="eastAsia" w:ascii="宋体" w:hAnsi="宋体" w:eastAsia="宋体" w:cs="宋体"/>
          <w:color w:val="000000"/>
          <w:spacing w:val="0"/>
          <w:w w:val="100"/>
          <w:position w:val="0"/>
          <w:sz w:val="24"/>
          <w:szCs w:val="24"/>
        </w:rPr>
        <w:t>说明：“项目支出”需要填报基本支出以外的所有项目情况，包括业务工作项目、运行维护项目等；“公用经费”填报基本支出中的一般商品和服务支出。</w:t>
      </w:r>
    </w:p>
    <w:p>
      <w:pPr>
        <w:pStyle w:val="10"/>
        <w:keepNext w:val="0"/>
        <w:keepLines w:val="0"/>
        <w:widowControl w:val="0"/>
        <w:shd w:val="clear" w:color="auto" w:fill="auto"/>
        <w:bidi w:val="0"/>
        <w:spacing w:before="0" w:line="240" w:lineRule="auto"/>
        <w:ind w:left="0" w:leftChars="0" w:right="0" w:firstLine="0" w:firstLineChars="0"/>
        <w:jc w:val="left"/>
        <w:rPr>
          <w:rFonts w:hint="default" w:ascii="宋体" w:hAnsi="宋体" w:eastAsia="宋体" w:cs="宋体"/>
          <w:color w:val="000000"/>
          <w:spacing w:val="0"/>
          <w:w w:val="100"/>
          <w:position w:val="0"/>
          <w:sz w:val="24"/>
          <w:szCs w:val="24"/>
          <w:lang w:val="en-US" w:eastAsia="zh-CN"/>
        </w:rPr>
      </w:pPr>
      <w:r>
        <w:rPr>
          <w:rFonts w:hint="eastAsia" w:cs="宋体"/>
          <w:color w:val="000000"/>
          <w:spacing w:val="0"/>
          <w:w w:val="100"/>
          <w:position w:val="0"/>
          <w:sz w:val="24"/>
          <w:szCs w:val="24"/>
          <w:lang w:eastAsia="zh-CN"/>
        </w:rPr>
        <w:t>附件</w:t>
      </w:r>
      <w:r>
        <w:rPr>
          <w:rFonts w:hint="eastAsia" w:cs="宋体"/>
          <w:color w:val="000000"/>
          <w:spacing w:val="0"/>
          <w:w w:val="100"/>
          <w:position w:val="0"/>
          <w:sz w:val="24"/>
          <w:szCs w:val="24"/>
          <w:lang w:val="en-US" w:eastAsia="zh-CN"/>
        </w:rPr>
        <w:t>3</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leftChars="200" w:right="0" w:rightChars="0"/>
        <w:jc w:val="center"/>
        <w:textAlignment w:val="auto"/>
        <w:rPr>
          <w:rFonts w:hint="eastAsia" w:ascii="仿宋_GB2312" w:hAnsi="仿宋_GB2312" w:eastAsia="方正小标宋_GBK" w:cs="仿宋_GB2312"/>
          <w:b/>
          <w:bCs/>
          <w:color w:val="000000"/>
          <w:spacing w:val="0"/>
          <w:w w:val="100"/>
          <w:position w:val="0"/>
          <w:sz w:val="32"/>
          <w:szCs w:val="32"/>
          <w:lang w:eastAsia="zh-CN"/>
        </w:rPr>
      </w:pPr>
      <w:r>
        <w:rPr>
          <w:rFonts w:hint="default" w:ascii="Times New Roman" w:hAnsi="Times New Roman" w:eastAsia="方正小标宋_GBK" w:cs="Times New Roman"/>
          <w:kern w:val="0"/>
          <w:sz w:val="36"/>
          <w:szCs w:val="36"/>
        </w:rPr>
        <w:t>部门整体支出绩效评价</w:t>
      </w:r>
      <w:r>
        <w:rPr>
          <w:rFonts w:hint="eastAsia" w:ascii="Times New Roman" w:hAnsi="Times New Roman" w:eastAsia="方正小标宋_GBK" w:cs="Times New Roman"/>
          <w:kern w:val="0"/>
          <w:sz w:val="36"/>
          <w:szCs w:val="36"/>
          <w:lang w:eastAsia="zh-CN"/>
        </w:rPr>
        <w:t>报告</w:t>
      </w:r>
    </w:p>
    <w:p>
      <w:pPr>
        <w:pStyle w:val="7"/>
        <w:keepNext w:val="0"/>
        <w:keepLines w:val="0"/>
        <w:pageBreakBefore w:val="0"/>
        <w:widowControl w:val="0"/>
        <w:numPr>
          <w:ilvl w:val="0"/>
          <w:numId w:val="0"/>
        </w:numPr>
        <w:shd w:val="clear" w:color="auto" w:fill="auto"/>
        <w:tabs>
          <w:tab w:val="left" w:pos="867"/>
        </w:tabs>
        <w:kinsoku/>
        <w:wordWrap/>
        <w:overflowPunct/>
        <w:topLinePunct w:val="0"/>
        <w:autoSpaceDE/>
        <w:autoSpaceDN/>
        <w:bidi w:val="0"/>
        <w:adjustRightInd/>
        <w:snapToGrid/>
        <w:spacing w:before="0" w:after="0" w:line="560" w:lineRule="exact"/>
        <w:ind w:right="0" w:rightChars="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一、</w:t>
      </w:r>
      <w:r>
        <w:rPr>
          <w:rFonts w:hint="eastAsia" w:ascii="仿宋_GB2312" w:hAnsi="仿宋_GB2312" w:eastAsia="仿宋_GB2312" w:cs="仿宋_GB2312"/>
          <w:b/>
          <w:bCs/>
          <w:color w:val="000000"/>
          <w:spacing w:val="0"/>
          <w:w w:val="100"/>
          <w:position w:val="0"/>
          <w:sz w:val="32"/>
          <w:szCs w:val="32"/>
        </w:rPr>
        <w:t>部门概况</w:t>
      </w:r>
      <w:bookmarkStart w:id="0" w:name="bookmark92"/>
    </w:p>
    <w:bookmarkEnd w:id="0"/>
    <w:p>
      <w:pPr>
        <w:spacing w:line="590" w:lineRule="exact"/>
        <w:rPr>
          <w:rFonts w:hint="eastAsia" w:ascii="仿宋_GB2312" w:hAnsi="仿宋_GB2312" w:eastAsia="仿宋_GB2312" w:cs="仿宋_GB2312"/>
          <w:color w:val="000000"/>
          <w:spacing w:val="0"/>
          <w:w w:val="100"/>
          <w:position w:val="0"/>
          <w:sz w:val="32"/>
          <w:szCs w:val="32"/>
          <w:lang w:eastAsia="zh-CN"/>
        </w:rPr>
      </w:pPr>
      <w:r>
        <w:rPr>
          <w:rFonts w:hint="eastAsia" w:ascii="宋体" w:hAnsi="宋体" w:eastAsia="宋体" w:cs="宋体"/>
          <w:color w:val="000000"/>
          <w:kern w:val="2"/>
          <w:sz w:val="28"/>
          <w:szCs w:val="28"/>
          <w:u w:val="none"/>
          <w:shd w:val="clear" w:color="auto" w:fill="auto"/>
          <w:lang w:val="zh-CN" w:eastAsia="zh-CN" w:bidi="zh-CN"/>
        </w:rPr>
        <w:t>（一）</w:t>
      </w:r>
      <w:r>
        <w:rPr>
          <w:rFonts w:hint="eastAsia" w:ascii="仿宋_GB2312" w:hAnsi="仿宋_GB2312" w:eastAsia="仿宋_GB2312" w:cs="仿宋_GB2312"/>
          <w:color w:val="000000"/>
          <w:spacing w:val="0"/>
          <w:w w:val="100"/>
          <w:position w:val="0"/>
          <w:sz w:val="32"/>
          <w:szCs w:val="32"/>
        </w:rPr>
        <w:t>部门基本情况（包括部门的在职人员情况、机构设置、主要职能及重点工作计划等）</w:t>
      </w:r>
      <w:r>
        <w:rPr>
          <w:rFonts w:hint="eastAsia" w:ascii="仿宋_GB2312" w:hAnsi="仿宋_GB2312" w:eastAsia="仿宋_GB2312" w:cs="仿宋_GB2312"/>
          <w:color w:val="000000"/>
          <w:spacing w:val="0"/>
          <w:w w:val="100"/>
          <w:position w:val="0"/>
          <w:sz w:val="32"/>
          <w:szCs w:val="32"/>
          <w:lang w:eastAsia="zh-CN"/>
        </w:rPr>
        <w:t>。</w:t>
      </w:r>
    </w:p>
    <w:p>
      <w:pPr>
        <w:spacing w:line="590" w:lineRule="exact"/>
        <w:ind w:firstLine="640" w:firstLineChars="200"/>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珠晖区退役军人事务局内设机构包括：本部门共有编制人数</w:t>
      </w:r>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人，实有人数</w:t>
      </w:r>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人（其中：行政在编3人，事业在编</w:t>
      </w:r>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人，退役士兵1人）。内设股室6个，分别为：办公室、思想政治和权益维护股、拥军优抚股、移交安置和就业创业股、军休服务管理股、规划财务股。</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280" w:firstLineChars="100"/>
        <w:jc w:val="both"/>
        <w:textAlignment w:val="auto"/>
        <w:rPr>
          <w:rFonts w:hint="eastAsia" w:ascii="仿宋_GB2312" w:hAnsi="仿宋_GB2312" w:eastAsia="仿宋_GB2312" w:cs="仿宋_GB2312"/>
          <w:color w:val="000000"/>
          <w:spacing w:val="0"/>
          <w:w w:val="100"/>
          <w:position w:val="0"/>
          <w:sz w:val="32"/>
          <w:szCs w:val="32"/>
        </w:rPr>
      </w:pPr>
      <w:r>
        <w:rPr>
          <w:rFonts w:hint="eastAsia"/>
          <w:color w:val="000000"/>
          <w:sz w:val="28"/>
          <w:szCs w:val="28"/>
          <w:lang w:eastAsia="zh-CN"/>
        </w:rPr>
        <w:t>（二）</w:t>
      </w:r>
      <w:r>
        <w:rPr>
          <w:rFonts w:hint="eastAsia" w:ascii="仿宋_GB2312" w:hAnsi="仿宋_GB2312" w:eastAsia="仿宋_GB2312" w:cs="仿宋_GB2312"/>
          <w:color w:val="000000"/>
          <w:spacing w:val="0"/>
          <w:w w:val="100"/>
          <w:position w:val="0"/>
          <w:sz w:val="32"/>
          <w:szCs w:val="32"/>
        </w:rPr>
        <w:t>部门整体支出规模、使用方向和主要内容、涉及范围等。</w:t>
      </w:r>
    </w:p>
    <w:p>
      <w:pPr>
        <w:pStyle w:val="7"/>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spacing w:before="0" w:after="0" w:line="360" w:lineRule="auto"/>
        <w:ind w:right="0" w:rightChars="0" w:firstLine="640" w:firstLineChars="200"/>
        <w:jc w:val="both"/>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2023年</w:t>
      </w:r>
      <w:r>
        <w:rPr>
          <w:rFonts w:hint="eastAsia" w:ascii="仿宋" w:hAnsi="仿宋" w:eastAsia="仿宋" w:cs="仿宋"/>
          <w:color w:val="000000"/>
          <w:spacing w:val="-4"/>
          <w:kern w:val="0"/>
          <w:sz w:val="32"/>
          <w:szCs w:val="32"/>
        </w:rPr>
        <w:t>全</w:t>
      </w:r>
      <w:r>
        <w:rPr>
          <w:rFonts w:hint="eastAsia" w:ascii="仿宋" w:hAnsi="仿宋" w:eastAsia="仿宋" w:cs="仿宋"/>
          <w:color w:val="000000"/>
          <w:spacing w:val="-4"/>
          <w:kern w:val="0"/>
          <w:sz w:val="32"/>
          <w:szCs w:val="32"/>
          <w:lang w:eastAsia="zh-CN"/>
        </w:rPr>
        <w:t>局部门整体支出</w:t>
      </w:r>
      <w:r>
        <w:rPr>
          <w:rFonts w:hint="eastAsia" w:ascii="仿宋" w:hAnsi="仿宋" w:eastAsia="仿宋" w:cs="仿宋"/>
          <w:color w:val="000000"/>
          <w:spacing w:val="-4"/>
          <w:kern w:val="0"/>
          <w:sz w:val="32"/>
          <w:szCs w:val="32"/>
          <w:lang w:val="en-US" w:eastAsia="zh-CN"/>
        </w:rPr>
        <w:t xml:space="preserve"> 3574.91万</w:t>
      </w:r>
      <w:r>
        <w:rPr>
          <w:rFonts w:hint="eastAsia" w:ascii="仿宋" w:hAnsi="仿宋" w:eastAsia="仿宋" w:cs="仿宋"/>
          <w:sz w:val="32"/>
          <w:szCs w:val="32"/>
        </w:rPr>
        <w:t>元，是为保障单位机构正常运转、完成日常工作任务而发生的各项支出，包括用于基本工资、津贴补贴等人员经费以及办公费、印刷费、水电费、办公设备购置等日常公用经费。</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sz w:val="32"/>
          <w:szCs w:val="32"/>
        </w:rPr>
      </w:pPr>
      <w:bookmarkStart w:id="1" w:name="bookmark94"/>
      <w:r>
        <w:rPr>
          <w:rFonts w:hint="eastAsia" w:ascii="仿宋_GB2312" w:hAnsi="仿宋_GB2312" w:eastAsia="仿宋_GB2312" w:cs="仿宋_GB2312"/>
          <w:b/>
          <w:bCs/>
          <w:color w:val="000000"/>
          <w:spacing w:val="0"/>
          <w:w w:val="100"/>
          <w:position w:val="0"/>
          <w:sz w:val="32"/>
          <w:szCs w:val="32"/>
        </w:rPr>
        <w:t>二</w:t>
      </w:r>
      <w:bookmarkEnd w:id="1"/>
      <w:r>
        <w:rPr>
          <w:rFonts w:hint="eastAsia" w:ascii="仿宋_GB2312" w:hAnsi="仿宋_GB2312" w:eastAsia="仿宋_GB2312" w:cs="仿宋_GB2312"/>
          <w:b/>
          <w:bCs/>
          <w:color w:val="000000"/>
          <w:spacing w:val="0"/>
          <w:w w:val="100"/>
          <w:position w:val="0"/>
          <w:sz w:val="32"/>
          <w:szCs w:val="32"/>
        </w:rPr>
        <w:t>、部门整体支出管理及使用情况</w:t>
      </w:r>
    </w:p>
    <w:p>
      <w:pPr>
        <w:spacing w:before="0" w:beforeAutospacing="0" w:after="2" w:afterAutospacing="0"/>
        <w:ind w:left="0" w:firstLine="660"/>
        <w:rPr>
          <w:rFonts w:hint="eastAsia" w:ascii="仿宋" w:hAnsi="仿宋" w:eastAsia="仿宋" w:cs="仿宋"/>
          <w:kern w:val="2"/>
          <w:sz w:val="32"/>
          <w:szCs w:val="32"/>
          <w:u w:val="none"/>
          <w:shd w:val="clear" w:color="auto" w:fill="auto"/>
          <w:lang w:val="zh-CN" w:eastAsia="zh-CN" w:bidi="zh-CN"/>
        </w:rPr>
      </w:pPr>
      <w:bookmarkStart w:id="2" w:name="bookmark100"/>
      <w:r>
        <w:rPr>
          <w:rFonts w:hint="eastAsia" w:ascii="仿宋" w:hAnsi="仿宋" w:eastAsia="仿宋" w:cs="仿宋"/>
          <w:kern w:val="2"/>
          <w:sz w:val="32"/>
          <w:szCs w:val="32"/>
          <w:u w:val="none"/>
          <w:shd w:val="clear" w:color="auto" w:fill="auto"/>
          <w:lang w:val="zh-CN" w:eastAsia="zh-CN" w:bidi="zh-CN"/>
        </w:rPr>
        <w:t>202</w:t>
      </w:r>
      <w:r>
        <w:rPr>
          <w:rFonts w:hint="eastAsia" w:ascii="仿宋" w:hAnsi="仿宋" w:eastAsia="仿宋" w:cs="仿宋"/>
          <w:kern w:val="2"/>
          <w:sz w:val="32"/>
          <w:szCs w:val="32"/>
          <w:u w:val="none"/>
          <w:shd w:val="clear" w:color="auto" w:fill="auto"/>
          <w:lang w:val="en-US" w:eastAsia="zh-CN" w:bidi="zh-CN"/>
        </w:rPr>
        <w:t>3</w:t>
      </w:r>
      <w:r>
        <w:rPr>
          <w:rFonts w:hint="eastAsia" w:ascii="仿宋" w:hAnsi="仿宋" w:eastAsia="仿宋" w:cs="仿宋"/>
          <w:kern w:val="2"/>
          <w:sz w:val="32"/>
          <w:szCs w:val="32"/>
          <w:u w:val="none"/>
          <w:shd w:val="clear" w:color="auto" w:fill="auto"/>
          <w:lang w:val="zh-CN" w:eastAsia="zh-CN" w:bidi="zh-CN"/>
        </w:rPr>
        <w:t>年本部门一般公共预算拨款支出预算</w:t>
      </w:r>
      <w:r>
        <w:rPr>
          <w:rFonts w:hint="eastAsia" w:ascii="仿宋" w:hAnsi="仿宋" w:eastAsia="仿宋" w:cs="仿宋"/>
          <w:kern w:val="2"/>
          <w:sz w:val="32"/>
          <w:szCs w:val="32"/>
          <w:u w:val="none"/>
          <w:shd w:val="clear" w:color="auto" w:fill="auto"/>
          <w:lang w:val="en-US" w:eastAsia="zh-CN" w:bidi="zh-CN"/>
        </w:rPr>
        <w:t>3574.91</w:t>
      </w:r>
      <w:r>
        <w:rPr>
          <w:rFonts w:hint="eastAsia" w:ascii="仿宋" w:hAnsi="仿宋" w:eastAsia="仿宋" w:cs="仿宋"/>
          <w:kern w:val="2"/>
          <w:sz w:val="32"/>
          <w:szCs w:val="32"/>
          <w:u w:val="none"/>
          <w:shd w:val="clear" w:color="auto" w:fill="auto"/>
          <w:lang w:val="zh-CN" w:eastAsia="zh-CN" w:bidi="zh-CN"/>
        </w:rPr>
        <w:t xml:space="preserve">万元。具体安排情况如下： </w:t>
      </w:r>
    </w:p>
    <w:p>
      <w:pPr>
        <w:spacing w:before="0" w:beforeAutospacing="0" w:after="2" w:afterAutospacing="0"/>
        <w:ind w:left="0" w:firstLine="660"/>
        <w:rPr>
          <w:rFonts w:hint="eastAsia" w:ascii="仿宋" w:hAnsi="仿宋" w:eastAsia="仿宋" w:cs="仿宋"/>
          <w:kern w:val="2"/>
          <w:sz w:val="32"/>
          <w:szCs w:val="32"/>
          <w:u w:val="none"/>
          <w:shd w:val="clear" w:color="auto" w:fill="auto"/>
          <w:lang w:val="zh-CN" w:eastAsia="zh-CN" w:bidi="zh-CN"/>
        </w:rPr>
      </w:pPr>
      <w:r>
        <w:rPr>
          <w:rFonts w:hint="eastAsia" w:ascii="仿宋" w:hAnsi="仿宋" w:eastAsia="仿宋" w:cs="仿宋"/>
          <w:kern w:val="2"/>
          <w:sz w:val="32"/>
          <w:szCs w:val="32"/>
          <w:u w:val="none"/>
          <w:shd w:val="clear" w:color="auto" w:fill="auto"/>
          <w:lang w:val="zh-CN" w:eastAsia="zh-CN" w:bidi="zh-CN"/>
        </w:rPr>
        <w:t>（一）基本支出：202</w:t>
      </w:r>
      <w:r>
        <w:rPr>
          <w:rFonts w:hint="eastAsia" w:ascii="仿宋" w:hAnsi="仿宋" w:eastAsia="仿宋" w:cs="仿宋"/>
          <w:kern w:val="2"/>
          <w:sz w:val="32"/>
          <w:szCs w:val="32"/>
          <w:u w:val="none"/>
          <w:shd w:val="clear" w:color="auto" w:fill="auto"/>
          <w:lang w:val="en-US" w:eastAsia="zh-CN" w:bidi="zh-CN"/>
        </w:rPr>
        <w:t>3</w:t>
      </w:r>
      <w:r>
        <w:rPr>
          <w:rFonts w:hint="eastAsia" w:ascii="仿宋" w:hAnsi="仿宋" w:eastAsia="仿宋" w:cs="仿宋"/>
          <w:kern w:val="2"/>
          <w:sz w:val="32"/>
          <w:szCs w:val="32"/>
          <w:u w:val="none"/>
          <w:shd w:val="clear" w:color="auto" w:fill="auto"/>
          <w:lang w:val="zh-CN" w:eastAsia="zh-CN" w:bidi="zh-CN"/>
        </w:rPr>
        <w:t>年本部门基本支出预算</w:t>
      </w:r>
      <w:r>
        <w:rPr>
          <w:rFonts w:hint="eastAsia" w:ascii="仿宋" w:hAnsi="仿宋" w:eastAsia="仿宋" w:cs="仿宋"/>
          <w:kern w:val="2"/>
          <w:sz w:val="32"/>
          <w:szCs w:val="32"/>
          <w:u w:val="none"/>
          <w:shd w:val="clear" w:color="auto" w:fill="auto"/>
          <w:lang w:val="en-US" w:eastAsia="zh-CN" w:bidi="zh-CN"/>
        </w:rPr>
        <w:t>120.25</w:t>
      </w:r>
      <w:r>
        <w:rPr>
          <w:rFonts w:hint="eastAsia" w:ascii="仿宋" w:hAnsi="仿宋" w:eastAsia="仿宋" w:cs="仿宋"/>
          <w:kern w:val="2"/>
          <w:sz w:val="32"/>
          <w:szCs w:val="32"/>
          <w:u w:val="none"/>
          <w:shd w:val="clear" w:color="auto" w:fill="auto"/>
          <w:lang w:val="zh-CN" w:eastAsia="zh-CN" w:bidi="zh-CN"/>
        </w:rPr>
        <w:t xml:space="preserve">万元，主要是为保障部门正常运转、完成日常工作任务而发生的各项支出，包括用于基本工资、津贴补贴等人员经费以及办公费、印刷费、水电费、办公设备购置等公用经费。 </w:t>
      </w:r>
    </w:p>
    <w:p>
      <w:pPr>
        <w:spacing w:before="0" w:beforeAutospacing="0" w:after="2" w:afterAutospacing="0"/>
        <w:ind w:left="0" w:firstLine="660"/>
        <w:rPr>
          <w:rFonts w:hint="eastAsia" w:ascii="仿宋" w:hAnsi="仿宋" w:eastAsia="仿宋" w:cs="仿宋"/>
          <w:kern w:val="2"/>
          <w:sz w:val="32"/>
          <w:szCs w:val="32"/>
          <w:u w:val="none"/>
          <w:shd w:val="clear" w:color="auto" w:fill="auto"/>
          <w:lang w:val="zh-CN" w:eastAsia="zh-CN" w:bidi="zh-CN"/>
        </w:rPr>
      </w:pPr>
      <w:r>
        <w:rPr>
          <w:rFonts w:hint="eastAsia" w:ascii="仿宋" w:hAnsi="仿宋" w:eastAsia="仿宋" w:cs="仿宋"/>
          <w:kern w:val="2"/>
          <w:sz w:val="32"/>
          <w:szCs w:val="32"/>
          <w:u w:val="none"/>
          <w:shd w:val="clear" w:color="auto" w:fill="auto"/>
          <w:lang w:val="zh-CN" w:eastAsia="zh-CN" w:bidi="zh-CN"/>
        </w:rPr>
        <w:t>1、工资福利支出</w:t>
      </w:r>
      <w:r>
        <w:rPr>
          <w:rFonts w:hint="eastAsia" w:ascii="仿宋" w:hAnsi="仿宋" w:eastAsia="仿宋" w:cs="仿宋"/>
          <w:kern w:val="2"/>
          <w:sz w:val="32"/>
          <w:szCs w:val="32"/>
          <w:u w:val="none"/>
          <w:shd w:val="clear" w:color="auto" w:fill="auto"/>
          <w:lang w:val="en-US" w:eastAsia="zh-CN" w:bidi="zh-CN"/>
        </w:rPr>
        <w:t>109.15</w:t>
      </w:r>
      <w:r>
        <w:rPr>
          <w:rFonts w:hint="eastAsia" w:ascii="仿宋" w:hAnsi="仿宋" w:eastAsia="仿宋" w:cs="仿宋"/>
          <w:kern w:val="2"/>
          <w:sz w:val="32"/>
          <w:szCs w:val="32"/>
          <w:u w:val="none"/>
          <w:shd w:val="clear" w:color="auto" w:fill="auto"/>
          <w:lang w:val="zh-CN" w:eastAsia="zh-CN" w:bidi="zh-CN"/>
        </w:rPr>
        <w:t>万元，其中：基本工资</w:t>
      </w:r>
      <w:r>
        <w:rPr>
          <w:rFonts w:hint="eastAsia" w:ascii="仿宋" w:hAnsi="仿宋" w:eastAsia="仿宋" w:cs="仿宋"/>
          <w:kern w:val="2"/>
          <w:sz w:val="32"/>
          <w:szCs w:val="32"/>
          <w:u w:val="none"/>
          <w:shd w:val="clear" w:color="auto" w:fill="auto"/>
          <w:lang w:val="en-US" w:eastAsia="zh-CN" w:bidi="zh-CN"/>
        </w:rPr>
        <w:t>48.8</w:t>
      </w:r>
      <w:r>
        <w:rPr>
          <w:rFonts w:hint="eastAsia" w:ascii="仿宋" w:hAnsi="仿宋" w:eastAsia="仿宋" w:cs="仿宋"/>
          <w:kern w:val="2"/>
          <w:sz w:val="32"/>
          <w:szCs w:val="32"/>
          <w:u w:val="none"/>
          <w:shd w:val="clear" w:color="auto" w:fill="auto"/>
          <w:lang w:val="zh-CN" w:eastAsia="zh-CN" w:bidi="zh-CN"/>
        </w:rPr>
        <w:t>万元，津贴补贴</w:t>
      </w:r>
      <w:r>
        <w:rPr>
          <w:rFonts w:hint="eastAsia" w:ascii="仿宋" w:hAnsi="仿宋" w:eastAsia="仿宋" w:cs="仿宋"/>
          <w:kern w:val="2"/>
          <w:sz w:val="32"/>
          <w:szCs w:val="32"/>
          <w:u w:val="none"/>
          <w:shd w:val="clear" w:color="auto" w:fill="auto"/>
          <w:lang w:val="en-US" w:eastAsia="zh-CN" w:bidi="zh-CN"/>
        </w:rPr>
        <w:t>8</w:t>
      </w:r>
      <w:r>
        <w:rPr>
          <w:rFonts w:hint="eastAsia" w:ascii="仿宋" w:hAnsi="仿宋" w:eastAsia="仿宋" w:cs="仿宋"/>
          <w:kern w:val="2"/>
          <w:sz w:val="32"/>
          <w:szCs w:val="32"/>
          <w:u w:val="none"/>
          <w:shd w:val="clear" w:color="auto" w:fill="auto"/>
          <w:lang w:val="zh-CN" w:eastAsia="zh-CN" w:bidi="zh-CN"/>
        </w:rPr>
        <w:t>.87万元，奖金</w:t>
      </w:r>
      <w:r>
        <w:rPr>
          <w:rFonts w:hint="eastAsia" w:ascii="仿宋" w:hAnsi="仿宋" w:eastAsia="仿宋" w:cs="仿宋"/>
          <w:kern w:val="2"/>
          <w:sz w:val="32"/>
          <w:szCs w:val="32"/>
          <w:u w:val="none"/>
          <w:shd w:val="clear" w:color="auto" w:fill="auto"/>
          <w:lang w:val="en-US" w:eastAsia="zh-CN" w:bidi="zh-CN"/>
        </w:rPr>
        <w:t>3</w:t>
      </w:r>
      <w:r>
        <w:rPr>
          <w:rFonts w:hint="eastAsia" w:ascii="仿宋" w:hAnsi="仿宋" w:eastAsia="仿宋" w:cs="仿宋"/>
          <w:kern w:val="2"/>
          <w:sz w:val="32"/>
          <w:szCs w:val="32"/>
          <w:u w:val="none"/>
          <w:shd w:val="clear" w:color="auto" w:fill="auto"/>
          <w:lang w:val="zh-CN" w:eastAsia="zh-CN" w:bidi="zh-CN"/>
        </w:rPr>
        <w:t>.49万元，绩效工资</w:t>
      </w:r>
      <w:r>
        <w:rPr>
          <w:rFonts w:hint="eastAsia" w:ascii="仿宋" w:hAnsi="仿宋" w:eastAsia="仿宋" w:cs="仿宋"/>
          <w:kern w:val="2"/>
          <w:sz w:val="32"/>
          <w:szCs w:val="32"/>
          <w:u w:val="none"/>
          <w:shd w:val="clear" w:color="auto" w:fill="auto"/>
          <w:lang w:val="en-US" w:eastAsia="zh-CN" w:bidi="zh-CN"/>
        </w:rPr>
        <w:t>15.38</w:t>
      </w:r>
      <w:r>
        <w:rPr>
          <w:rFonts w:hint="eastAsia" w:ascii="仿宋" w:hAnsi="仿宋" w:eastAsia="仿宋" w:cs="仿宋"/>
          <w:kern w:val="2"/>
          <w:sz w:val="32"/>
          <w:szCs w:val="32"/>
          <w:u w:val="none"/>
          <w:shd w:val="clear" w:color="auto" w:fill="auto"/>
          <w:lang w:val="zh-CN" w:eastAsia="zh-CN" w:bidi="zh-CN"/>
        </w:rPr>
        <w:t>万元，基本养老保险</w:t>
      </w:r>
      <w:r>
        <w:rPr>
          <w:rFonts w:hint="eastAsia" w:ascii="仿宋" w:hAnsi="仿宋" w:eastAsia="仿宋" w:cs="仿宋"/>
          <w:kern w:val="2"/>
          <w:sz w:val="32"/>
          <w:szCs w:val="32"/>
          <w:u w:val="none"/>
          <w:shd w:val="clear" w:color="auto" w:fill="auto"/>
          <w:lang w:val="en-US" w:eastAsia="zh-CN" w:bidi="zh-CN"/>
        </w:rPr>
        <w:t>9.07</w:t>
      </w:r>
      <w:r>
        <w:rPr>
          <w:rFonts w:hint="eastAsia" w:ascii="仿宋" w:hAnsi="仿宋" w:eastAsia="仿宋" w:cs="仿宋"/>
          <w:kern w:val="2"/>
          <w:sz w:val="32"/>
          <w:szCs w:val="32"/>
          <w:u w:val="none"/>
          <w:shd w:val="clear" w:color="auto" w:fill="auto"/>
          <w:lang w:val="zh-CN" w:eastAsia="zh-CN" w:bidi="zh-CN"/>
        </w:rPr>
        <w:t>万元，职工基本医疗保险缴费</w:t>
      </w:r>
      <w:r>
        <w:rPr>
          <w:rFonts w:hint="eastAsia" w:ascii="仿宋" w:hAnsi="仿宋" w:eastAsia="仿宋" w:cs="仿宋"/>
          <w:kern w:val="2"/>
          <w:sz w:val="32"/>
          <w:szCs w:val="32"/>
          <w:u w:val="none"/>
          <w:shd w:val="clear" w:color="auto" w:fill="auto"/>
          <w:lang w:val="en-US" w:eastAsia="zh-CN" w:bidi="zh-CN"/>
        </w:rPr>
        <w:t>6.85</w:t>
      </w:r>
      <w:r>
        <w:rPr>
          <w:rFonts w:hint="eastAsia" w:ascii="仿宋" w:hAnsi="仿宋" w:eastAsia="仿宋" w:cs="仿宋"/>
          <w:kern w:val="2"/>
          <w:sz w:val="32"/>
          <w:szCs w:val="32"/>
          <w:u w:val="none"/>
          <w:shd w:val="clear" w:color="auto" w:fill="auto"/>
          <w:lang w:val="zh-CN" w:eastAsia="zh-CN" w:bidi="zh-CN"/>
        </w:rPr>
        <w:t>万元，其他社会保障缴费0.36万元，住房公积金</w:t>
      </w:r>
      <w:r>
        <w:rPr>
          <w:rFonts w:hint="eastAsia" w:ascii="仿宋" w:hAnsi="仿宋" w:eastAsia="仿宋" w:cs="仿宋"/>
          <w:kern w:val="2"/>
          <w:sz w:val="32"/>
          <w:szCs w:val="32"/>
          <w:u w:val="none"/>
          <w:shd w:val="clear" w:color="auto" w:fill="auto"/>
          <w:lang w:val="en-US" w:eastAsia="zh-CN" w:bidi="zh-CN"/>
        </w:rPr>
        <w:t>10.34</w:t>
      </w:r>
      <w:r>
        <w:rPr>
          <w:rFonts w:hint="eastAsia" w:ascii="仿宋" w:hAnsi="仿宋" w:eastAsia="仿宋" w:cs="仿宋"/>
          <w:kern w:val="2"/>
          <w:sz w:val="32"/>
          <w:szCs w:val="32"/>
          <w:u w:val="none"/>
          <w:shd w:val="clear" w:color="auto" w:fill="auto"/>
          <w:lang w:val="zh-CN" w:eastAsia="zh-CN" w:bidi="zh-CN"/>
        </w:rPr>
        <w:t xml:space="preserve">万元，其他工资福利支出6万元。 </w:t>
      </w:r>
    </w:p>
    <w:p>
      <w:pPr>
        <w:spacing w:before="0" w:beforeAutospacing="0" w:after="2" w:afterAutospacing="0"/>
        <w:ind w:left="0" w:firstLine="660"/>
        <w:rPr>
          <w:rFonts w:hint="eastAsia" w:ascii="仿宋" w:hAnsi="仿宋" w:eastAsia="仿宋" w:cs="仿宋"/>
          <w:kern w:val="2"/>
          <w:sz w:val="32"/>
          <w:szCs w:val="32"/>
          <w:u w:val="none"/>
          <w:shd w:val="clear" w:color="auto" w:fill="auto"/>
          <w:lang w:val="zh-CN" w:eastAsia="zh-CN" w:bidi="zh-CN"/>
        </w:rPr>
      </w:pPr>
      <w:r>
        <w:rPr>
          <w:rFonts w:hint="eastAsia" w:ascii="仿宋" w:hAnsi="仿宋" w:eastAsia="仿宋" w:cs="仿宋"/>
          <w:kern w:val="2"/>
          <w:sz w:val="32"/>
          <w:szCs w:val="32"/>
          <w:u w:val="none"/>
          <w:shd w:val="clear" w:color="auto" w:fill="auto"/>
          <w:lang w:val="zh-CN" w:eastAsia="zh-CN" w:bidi="zh-CN"/>
        </w:rPr>
        <w:t xml:space="preserve">2、一般商品和服务支出11.1万元，其中：其他交通费用6.24万元，其他商品和服务支出4.86万元。 </w:t>
      </w:r>
    </w:p>
    <w:p>
      <w:pPr>
        <w:spacing w:before="0" w:beforeAutospacing="0" w:after="2" w:afterAutospacing="0"/>
        <w:ind w:left="0" w:firstLine="660"/>
        <w:rPr>
          <w:rFonts w:hint="eastAsia" w:ascii="仿宋" w:hAnsi="仿宋" w:eastAsia="仿宋" w:cs="仿宋"/>
          <w:kern w:val="2"/>
          <w:sz w:val="32"/>
          <w:szCs w:val="32"/>
          <w:u w:val="none"/>
          <w:shd w:val="clear" w:color="auto" w:fill="auto"/>
          <w:lang w:val="zh-CN" w:eastAsia="zh-CN" w:bidi="zh-CN"/>
        </w:rPr>
      </w:pPr>
      <w:r>
        <w:rPr>
          <w:rFonts w:hint="eastAsia" w:ascii="仿宋" w:hAnsi="仿宋" w:eastAsia="仿宋" w:cs="仿宋"/>
          <w:kern w:val="2"/>
          <w:sz w:val="32"/>
          <w:szCs w:val="32"/>
          <w:u w:val="none"/>
          <w:shd w:val="clear" w:color="auto" w:fill="auto"/>
          <w:lang w:val="zh-CN" w:eastAsia="zh-CN" w:bidi="zh-CN"/>
        </w:rPr>
        <w:t xml:space="preserve">3、对个人和家庭的补助支出0万元。 </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 w:hAnsi="仿宋" w:eastAsia="仿宋" w:cs="仿宋"/>
          <w:kern w:val="2"/>
          <w:sz w:val="32"/>
          <w:szCs w:val="32"/>
          <w:u w:val="none"/>
          <w:shd w:val="clear" w:color="auto" w:fill="auto"/>
          <w:lang w:val="en-US" w:eastAsia="zh-CN" w:bidi="zh-CN"/>
        </w:rPr>
      </w:pPr>
      <w:r>
        <w:rPr>
          <w:rFonts w:hint="eastAsia" w:ascii="仿宋" w:hAnsi="仿宋" w:eastAsia="仿宋" w:cs="仿宋"/>
          <w:kern w:val="2"/>
          <w:sz w:val="32"/>
          <w:szCs w:val="32"/>
          <w:u w:val="none"/>
          <w:shd w:val="clear" w:color="auto" w:fill="auto"/>
          <w:lang w:val="zh-CN" w:eastAsia="zh-CN" w:bidi="zh-CN"/>
        </w:rPr>
        <w:t>（二）项目支出：202</w:t>
      </w:r>
      <w:r>
        <w:rPr>
          <w:rFonts w:hint="eastAsia" w:ascii="仿宋" w:hAnsi="仿宋" w:eastAsia="仿宋" w:cs="仿宋"/>
          <w:kern w:val="2"/>
          <w:sz w:val="32"/>
          <w:szCs w:val="32"/>
          <w:u w:val="none"/>
          <w:shd w:val="clear" w:color="auto" w:fill="auto"/>
          <w:lang w:val="en-US" w:eastAsia="zh-CN" w:bidi="zh-CN"/>
        </w:rPr>
        <w:t>3</w:t>
      </w:r>
      <w:r>
        <w:rPr>
          <w:rFonts w:hint="eastAsia" w:ascii="仿宋" w:hAnsi="仿宋" w:eastAsia="仿宋" w:cs="仿宋"/>
          <w:kern w:val="2"/>
          <w:sz w:val="32"/>
          <w:szCs w:val="32"/>
          <w:u w:val="none"/>
          <w:shd w:val="clear" w:color="auto" w:fill="auto"/>
          <w:lang w:val="zh-CN" w:eastAsia="zh-CN" w:bidi="zh-CN"/>
        </w:rPr>
        <w:t>年本部门项目支出预算</w:t>
      </w:r>
      <w:r>
        <w:rPr>
          <w:rFonts w:hint="eastAsia" w:ascii="仿宋" w:hAnsi="仿宋" w:eastAsia="仿宋" w:cs="仿宋"/>
          <w:kern w:val="2"/>
          <w:sz w:val="32"/>
          <w:szCs w:val="32"/>
          <w:u w:val="none"/>
          <w:shd w:val="clear" w:color="auto" w:fill="auto"/>
          <w:lang w:val="en-US" w:eastAsia="zh-CN" w:bidi="zh-CN"/>
        </w:rPr>
        <w:t>3454.66</w:t>
      </w:r>
      <w:r>
        <w:rPr>
          <w:rFonts w:hint="eastAsia" w:ascii="仿宋" w:hAnsi="仿宋" w:eastAsia="仿宋" w:cs="仿宋"/>
          <w:kern w:val="2"/>
          <w:sz w:val="32"/>
          <w:szCs w:val="32"/>
          <w:u w:val="none"/>
          <w:shd w:val="clear" w:color="auto" w:fill="auto"/>
          <w:lang w:val="zh-CN" w:eastAsia="zh-CN" w:bidi="zh-CN"/>
        </w:rPr>
        <w:t>万元，主要是部门为完成特定行政工作任务或事业发展目标而发生的支出，包括有关事业发展专项、专项业务费、基本建设支出等，其中：义务兵优待支出</w:t>
      </w:r>
      <w:r>
        <w:rPr>
          <w:rFonts w:hint="eastAsia" w:ascii="仿宋" w:hAnsi="仿宋" w:eastAsia="仿宋" w:cs="仿宋"/>
          <w:kern w:val="2"/>
          <w:sz w:val="32"/>
          <w:szCs w:val="32"/>
          <w:u w:val="none"/>
          <w:shd w:val="clear" w:color="auto" w:fill="auto"/>
          <w:lang w:val="en-US" w:eastAsia="zh-CN" w:bidi="zh-CN"/>
        </w:rPr>
        <w:t>468.5</w:t>
      </w:r>
      <w:r>
        <w:rPr>
          <w:rFonts w:hint="eastAsia" w:ascii="仿宋" w:hAnsi="仿宋" w:eastAsia="仿宋" w:cs="仿宋"/>
          <w:kern w:val="2"/>
          <w:sz w:val="32"/>
          <w:szCs w:val="32"/>
          <w:u w:val="none"/>
          <w:shd w:val="clear" w:color="auto" w:fill="auto"/>
          <w:lang w:val="zh-CN" w:eastAsia="zh-CN" w:bidi="zh-CN"/>
        </w:rPr>
        <w:t>万元，主要用于城镇义务兵家属优待金方面；其他优抚支出</w:t>
      </w:r>
      <w:r>
        <w:rPr>
          <w:rFonts w:hint="eastAsia" w:ascii="仿宋" w:hAnsi="仿宋" w:eastAsia="仿宋" w:cs="仿宋"/>
          <w:kern w:val="2"/>
          <w:sz w:val="32"/>
          <w:szCs w:val="32"/>
          <w:u w:val="none"/>
          <w:shd w:val="clear" w:color="auto" w:fill="auto"/>
          <w:lang w:val="en-US" w:eastAsia="zh-CN" w:bidi="zh-CN"/>
        </w:rPr>
        <w:t>1735.5</w:t>
      </w:r>
      <w:r>
        <w:rPr>
          <w:rFonts w:hint="eastAsia" w:ascii="仿宋" w:hAnsi="仿宋" w:eastAsia="仿宋" w:cs="仿宋"/>
          <w:kern w:val="2"/>
          <w:sz w:val="32"/>
          <w:szCs w:val="32"/>
          <w:u w:val="none"/>
          <w:shd w:val="clear" w:color="auto" w:fill="auto"/>
          <w:lang w:val="zh-CN" w:eastAsia="zh-CN" w:bidi="zh-CN"/>
        </w:rPr>
        <w:t>万元，主要用于优抚对象抚恤经费方面；其他优抚支出</w:t>
      </w:r>
      <w:r>
        <w:rPr>
          <w:rFonts w:hint="eastAsia" w:ascii="仿宋" w:hAnsi="仿宋" w:eastAsia="仿宋" w:cs="仿宋"/>
          <w:kern w:val="2"/>
          <w:sz w:val="32"/>
          <w:szCs w:val="32"/>
          <w:u w:val="none"/>
          <w:shd w:val="clear" w:color="auto" w:fill="auto"/>
          <w:lang w:val="en-US" w:eastAsia="zh-CN" w:bidi="zh-CN"/>
        </w:rPr>
        <w:t>56</w:t>
      </w:r>
      <w:r>
        <w:rPr>
          <w:rFonts w:hint="eastAsia" w:ascii="仿宋" w:hAnsi="仿宋" w:eastAsia="仿宋" w:cs="仿宋"/>
          <w:kern w:val="2"/>
          <w:sz w:val="32"/>
          <w:szCs w:val="32"/>
          <w:u w:val="none"/>
          <w:shd w:val="clear" w:color="auto" w:fill="auto"/>
          <w:lang w:val="zh-CN" w:eastAsia="zh-CN" w:bidi="zh-CN"/>
        </w:rPr>
        <w:t>万元，主要用于</w:t>
      </w:r>
      <w:r>
        <w:rPr>
          <w:rFonts w:hint="eastAsia" w:ascii="仿宋" w:hAnsi="仿宋" w:eastAsia="仿宋" w:cs="仿宋"/>
          <w:kern w:val="2"/>
          <w:sz w:val="32"/>
          <w:szCs w:val="32"/>
          <w:u w:val="none"/>
          <w:shd w:val="clear" w:color="auto" w:fill="auto"/>
          <w:lang w:val="en-US" w:eastAsia="zh-CN" w:bidi="zh-CN"/>
        </w:rPr>
        <w:t>大学生一次性入伍奖励金方面；</w:t>
      </w:r>
      <w:r>
        <w:rPr>
          <w:rFonts w:hint="eastAsia" w:ascii="仿宋" w:hAnsi="仿宋" w:eastAsia="仿宋" w:cs="仿宋"/>
          <w:kern w:val="2"/>
          <w:sz w:val="32"/>
          <w:szCs w:val="32"/>
          <w:u w:val="none"/>
          <w:shd w:val="clear" w:color="auto" w:fill="auto"/>
          <w:lang w:val="zh-CN" w:eastAsia="zh-CN" w:bidi="zh-CN"/>
        </w:rPr>
        <w:t>其他退役安置支出</w:t>
      </w:r>
      <w:r>
        <w:rPr>
          <w:rFonts w:hint="eastAsia" w:ascii="仿宋" w:hAnsi="仿宋" w:eastAsia="仿宋" w:cs="仿宋"/>
          <w:kern w:val="2"/>
          <w:sz w:val="32"/>
          <w:szCs w:val="32"/>
          <w:u w:val="none"/>
          <w:shd w:val="clear" w:color="auto" w:fill="auto"/>
          <w:lang w:val="en-US" w:eastAsia="zh-CN" w:bidi="zh-CN"/>
        </w:rPr>
        <w:t>334.14</w:t>
      </w:r>
      <w:r>
        <w:rPr>
          <w:rFonts w:hint="eastAsia" w:ascii="仿宋" w:hAnsi="仿宋" w:eastAsia="仿宋" w:cs="仿宋"/>
          <w:kern w:val="2"/>
          <w:sz w:val="32"/>
          <w:szCs w:val="32"/>
          <w:u w:val="none"/>
          <w:shd w:val="clear" w:color="auto" w:fill="auto"/>
          <w:lang w:val="zh-CN" w:eastAsia="zh-CN" w:bidi="zh-CN"/>
        </w:rPr>
        <w:t>万元，主要用于退役安置经费方面；其他退役军人事务管理支出</w:t>
      </w:r>
      <w:r>
        <w:rPr>
          <w:rFonts w:hint="eastAsia" w:ascii="仿宋" w:hAnsi="仿宋" w:eastAsia="仿宋" w:cs="仿宋"/>
          <w:kern w:val="2"/>
          <w:sz w:val="32"/>
          <w:szCs w:val="32"/>
          <w:u w:val="none"/>
          <w:shd w:val="clear" w:color="auto" w:fill="auto"/>
          <w:lang w:val="en-US" w:eastAsia="zh-CN" w:bidi="zh-CN"/>
        </w:rPr>
        <w:t>832.92</w:t>
      </w:r>
      <w:r>
        <w:rPr>
          <w:rFonts w:hint="eastAsia" w:ascii="仿宋" w:hAnsi="仿宋" w:eastAsia="仿宋" w:cs="仿宋"/>
          <w:kern w:val="2"/>
          <w:sz w:val="32"/>
          <w:szCs w:val="32"/>
          <w:u w:val="none"/>
          <w:shd w:val="clear" w:color="auto" w:fill="auto"/>
          <w:lang w:val="zh-CN" w:eastAsia="zh-CN" w:bidi="zh-CN"/>
        </w:rPr>
        <w:t>万元，主要用于</w:t>
      </w:r>
      <w:r>
        <w:rPr>
          <w:rFonts w:hint="eastAsia" w:ascii="仿宋" w:hAnsi="仿宋" w:eastAsia="仿宋" w:cs="仿宋"/>
          <w:kern w:val="2"/>
          <w:sz w:val="32"/>
          <w:szCs w:val="32"/>
          <w:u w:val="none"/>
          <w:shd w:val="clear" w:color="auto" w:fill="auto"/>
          <w:lang w:val="en-US" w:eastAsia="zh-CN" w:bidi="zh-CN"/>
        </w:rPr>
        <w:t>全区军休人员地方补贴专项</w:t>
      </w:r>
      <w:r>
        <w:rPr>
          <w:rFonts w:hint="eastAsia" w:ascii="仿宋" w:hAnsi="仿宋" w:eastAsia="仿宋" w:cs="仿宋"/>
          <w:kern w:val="2"/>
          <w:sz w:val="32"/>
          <w:szCs w:val="32"/>
          <w:u w:val="none"/>
          <w:shd w:val="clear" w:color="auto" w:fill="auto"/>
          <w:lang w:val="zh-CN" w:eastAsia="zh-CN" w:bidi="zh-CN"/>
        </w:rPr>
        <w:t>经费方面</w:t>
      </w:r>
      <w:r>
        <w:rPr>
          <w:rFonts w:hint="eastAsia" w:ascii="仿宋" w:hAnsi="仿宋" w:eastAsia="仿宋" w:cs="仿宋"/>
          <w:kern w:val="2"/>
          <w:sz w:val="32"/>
          <w:szCs w:val="32"/>
          <w:u w:val="none"/>
          <w:shd w:val="clear" w:color="auto" w:fill="auto"/>
          <w:lang w:val="en-US" w:eastAsia="zh-CN" w:bidi="zh-CN"/>
        </w:rPr>
        <w:t>；退役军人信访维稳经费支出10万元，主要用于信访维稳工作方面；</w:t>
      </w:r>
      <w:r>
        <w:rPr>
          <w:rFonts w:hint="eastAsia" w:ascii="仿宋" w:hAnsi="仿宋" w:eastAsia="仿宋" w:cs="仿宋"/>
          <w:kern w:val="2"/>
          <w:sz w:val="32"/>
          <w:szCs w:val="32"/>
          <w:u w:val="none"/>
          <w:shd w:val="clear" w:color="auto" w:fill="auto"/>
          <w:lang w:val="zh-CN" w:eastAsia="zh-CN" w:bidi="zh-CN"/>
        </w:rPr>
        <w:t>一般行政管理事务支出</w:t>
      </w:r>
      <w:r>
        <w:rPr>
          <w:rFonts w:hint="eastAsia" w:ascii="仿宋" w:hAnsi="仿宋" w:eastAsia="仿宋" w:cs="仿宋"/>
          <w:kern w:val="2"/>
          <w:sz w:val="32"/>
          <w:szCs w:val="32"/>
          <w:u w:val="none"/>
          <w:shd w:val="clear" w:color="auto" w:fill="auto"/>
          <w:lang w:val="en-US" w:eastAsia="zh-CN" w:bidi="zh-CN"/>
        </w:rPr>
        <w:t>17.6</w:t>
      </w:r>
      <w:r>
        <w:rPr>
          <w:rFonts w:hint="eastAsia" w:ascii="仿宋" w:hAnsi="仿宋" w:eastAsia="仿宋" w:cs="仿宋"/>
          <w:kern w:val="2"/>
          <w:sz w:val="32"/>
          <w:szCs w:val="32"/>
          <w:u w:val="none"/>
          <w:shd w:val="clear" w:color="auto" w:fill="auto"/>
          <w:lang w:val="zh-CN" w:eastAsia="zh-CN" w:bidi="zh-CN"/>
        </w:rPr>
        <w:t>万元，主要用于党建</w:t>
      </w:r>
      <w:r>
        <w:rPr>
          <w:rFonts w:hint="eastAsia" w:ascii="仿宋" w:hAnsi="仿宋" w:eastAsia="仿宋" w:cs="仿宋"/>
          <w:kern w:val="2"/>
          <w:sz w:val="32"/>
          <w:szCs w:val="32"/>
          <w:u w:val="none"/>
          <w:shd w:val="clear" w:color="auto" w:fill="auto"/>
          <w:lang w:val="en-US" w:eastAsia="zh-CN" w:bidi="zh-CN"/>
        </w:rPr>
        <w:t xml:space="preserve">与日常事务工作经费方面。   </w:t>
      </w:r>
    </w:p>
    <w:p>
      <w:pPr>
        <w:pStyle w:val="7"/>
        <w:keepNext w:val="0"/>
        <w:keepLines w:val="0"/>
        <w:pageBreakBefore w:val="0"/>
        <w:widowControl w:val="0"/>
        <w:shd w:val="clear" w:color="auto" w:fill="auto"/>
        <w:tabs>
          <w:tab w:val="left" w:pos="867"/>
        </w:tabs>
        <w:kinsoku/>
        <w:wordWrap/>
        <w:overflowPunct/>
        <w:topLinePunct w:val="0"/>
        <w:autoSpaceDE/>
        <w:autoSpaceDN/>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三</w:t>
      </w:r>
      <w:bookmarkEnd w:id="2"/>
      <w:r>
        <w:rPr>
          <w:rFonts w:hint="eastAsia" w:ascii="仿宋_GB2312" w:hAnsi="仿宋_GB2312" w:eastAsia="仿宋_GB2312" w:cs="仿宋_GB2312"/>
          <w:b/>
          <w:bCs/>
          <w:color w:val="000000"/>
          <w:spacing w:val="0"/>
          <w:w w:val="100"/>
          <w:position w:val="0"/>
          <w:sz w:val="32"/>
          <w:szCs w:val="32"/>
        </w:rPr>
        <w:t>、部门项目组织实施情况</w:t>
      </w:r>
    </w:p>
    <w:p>
      <w:pPr>
        <w:keepNext w:val="0"/>
        <w:keepLines w:val="0"/>
        <w:pageBreakBefore w:val="0"/>
        <w:widowControl/>
        <w:kinsoku/>
        <w:wordWrap/>
        <w:overflowPunct/>
        <w:topLinePunct w:val="0"/>
        <w:autoSpaceDE/>
        <w:autoSpaceDN/>
        <w:bidi w:val="0"/>
        <w:spacing w:line="480" w:lineRule="exact"/>
        <w:ind w:firstLine="660"/>
        <w:jc w:val="left"/>
        <w:textAlignment w:val="auto"/>
        <w:rPr>
          <w:rFonts w:hint="eastAsia" w:ascii="仿宋" w:hAnsi="仿宋" w:eastAsia="仿宋" w:cs="仿宋"/>
          <w:color w:val="000000"/>
          <w:spacing w:val="0"/>
          <w:w w:val="100"/>
          <w:position w:val="0"/>
          <w:sz w:val="32"/>
          <w:szCs w:val="32"/>
          <w:lang w:val="en-US" w:eastAsia="zh-CN"/>
        </w:rPr>
      </w:pPr>
      <w:r>
        <w:rPr>
          <w:rFonts w:hint="eastAsia" w:ascii="仿宋" w:hAnsi="仿宋" w:eastAsia="仿宋" w:cs="仿宋"/>
          <w:color w:val="000000"/>
          <w:spacing w:val="0"/>
          <w:w w:val="100"/>
          <w:position w:val="0"/>
          <w:sz w:val="32"/>
          <w:szCs w:val="32"/>
          <w:lang w:val="en-US" w:eastAsia="zh-CN"/>
        </w:rPr>
        <w:t>退役军人事务局无建设性项目支出</w:t>
      </w:r>
    </w:p>
    <w:p>
      <w:pPr>
        <w:pStyle w:val="7"/>
        <w:keepNext w:val="0"/>
        <w:keepLines w:val="0"/>
        <w:pageBreakBefore w:val="0"/>
        <w:widowControl w:val="0"/>
        <w:shd w:val="clear" w:color="auto" w:fill="auto"/>
        <w:tabs>
          <w:tab w:val="left" w:pos="876"/>
        </w:tabs>
        <w:kinsoku/>
        <w:wordWrap/>
        <w:overflowPunct/>
        <w:topLinePunct w:val="0"/>
        <w:autoSpaceDE/>
        <w:autoSpaceDN/>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bCs/>
          <w:color w:val="000000"/>
          <w:spacing w:val="0"/>
          <w:w w:val="100"/>
          <w:position w:val="0"/>
          <w:sz w:val="32"/>
          <w:szCs w:val="32"/>
        </w:rPr>
      </w:pPr>
      <w:bookmarkStart w:id="3" w:name="bookmark101"/>
      <w:r>
        <w:rPr>
          <w:rFonts w:hint="eastAsia" w:ascii="仿宋_GB2312" w:hAnsi="仿宋_GB2312" w:eastAsia="仿宋_GB2312" w:cs="仿宋_GB2312"/>
          <w:b/>
          <w:bCs/>
          <w:color w:val="000000"/>
          <w:spacing w:val="0"/>
          <w:w w:val="100"/>
          <w:position w:val="0"/>
          <w:sz w:val="32"/>
          <w:szCs w:val="32"/>
        </w:rPr>
        <w:t>四</w:t>
      </w:r>
      <w:bookmarkEnd w:id="3"/>
      <w:r>
        <w:rPr>
          <w:rFonts w:hint="eastAsia" w:ascii="仿宋_GB2312" w:hAnsi="仿宋_GB2312" w:eastAsia="仿宋_GB2312" w:cs="仿宋_GB2312"/>
          <w:b/>
          <w:bCs/>
          <w:color w:val="000000"/>
          <w:spacing w:val="0"/>
          <w:w w:val="100"/>
          <w:position w:val="0"/>
          <w:sz w:val="32"/>
          <w:szCs w:val="32"/>
        </w:rPr>
        <w:t>、资产管理情况</w:t>
      </w:r>
    </w:p>
    <w:p>
      <w:pPr>
        <w:pStyle w:val="7"/>
        <w:spacing w:line="360" w:lineRule="auto"/>
        <w:ind w:firstLine="420"/>
        <w:rPr>
          <w:rFonts w:hint="eastAsia" w:ascii="仿宋_GB2312" w:hAnsi="仿宋_GB2312" w:eastAsia="仿宋_GB2312" w:cs="仿宋_GB2312"/>
          <w:color w:val="000000"/>
          <w:spacing w:val="0"/>
          <w:w w:val="100"/>
          <w:position w:val="0"/>
          <w:sz w:val="32"/>
          <w:szCs w:val="32"/>
        </w:rPr>
      </w:pPr>
      <w:bookmarkStart w:id="4" w:name="bookmark102"/>
      <w:r>
        <w:rPr>
          <w:rFonts w:hint="eastAsia" w:ascii="仿宋" w:hAnsi="仿宋" w:eastAsia="仿宋" w:cs="Times New Roman"/>
          <w:sz w:val="32"/>
          <w:szCs w:val="32"/>
          <w:lang w:val="en-US" w:bidi="ar-SA"/>
        </w:rPr>
        <w:t>部门资产的配置、管理、处置等综合情况严格按照财务制度执行。制度建设、管理措施、配置处置的程序依据相关政策进行管理。</w:t>
      </w:r>
      <w:r>
        <w:rPr>
          <w:rFonts w:hint="eastAsia" w:ascii="仿宋_GB2312" w:hAnsi="仿宋_GB2312" w:eastAsia="仿宋_GB2312" w:cs="仿宋_GB2312"/>
          <w:color w:val="000000"/>
          <w:spacing w:val="0"/>
          <w:w w:val="100"/>
          <w:position w:val="0"/>
          <w:sz w:val="32"/>
          <w:szCs w:val="32"/>
        </w:rPr>
        <w:t>截至202</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年12月底，本部门共有公务用车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辆，其中，机要通信用车0辆，应急保障用车0辆，执法执勤用车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辆，特种专业技术用车0辆，其他按照规定配备的公务用车0辆；单位价值50万元以上通用设备0台，单位价值100万元以上专用设备0台。202</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年拟新增配置公务用车0辆，其中，机要通信用车0辆，应急保障用车0辆，执法执勤用车</w:t>
      </w:r>
      <w:r>
        <w:rPr>
          <w:rFonts w:hint="eastAsia" w:ascii="仿宋_GB2312" w:hAnsi="仿宋_GB2312" w:eastAsia="仿宋_GB2312" w:cs="仿宋_GB2312"/>
          <w:color w:val="000000"/>
          <w:spacing w:val="0"/>
          <w:w w:val="100"/>
          <w:position w:val="0"/>
          <w:sz w:val="32"/>
          <w:szCs w:val="32"/>
          <w:lang w:val="en-US" w:eastAsia="zh-CN"/>
        </w:rPr>
        <w:t>0</w:t>
      </w:r>
      <w:r>
        <w:rPr>
          <w:rFonts w:hint="eastAsia" w:ascii="仿宋_GB2312" w:hAnsi="仿宋_GB2312" w:eastAsia="仿宋_GB2312" w:cs="仿宋_GB2312"/>
          <w:color w:val="000000"/>
          <w:spacing w:val="0"/>
          <w:w w:val="100"/>
          <w:position w:val="0"/>
          <w:sz w:val="32"/>
          <w:szCs w:val="32"/>
        </w:rPr>
        <w:t>辆，特种专业技术用车0辆，其他按照规定配备的公务用车0辆；新增配备单位价值50万元以上通用设备0台，单位价值100万元以上专用设备0台。</w:t>
      </w:r>
    </w:p>
    <w:bookmarkEnd w:id="4"/>
    <w:p>
      <w:pPr>
        <w:pStyle w:val="7"/>
        <w:keepNext w:val="0"/>
        <w:keepLines w:val="0"/>
        <w:pageBreakBefore w:val="0"/>
        <w:widowControl w:val="0"/>
        <w:numPr>
          <w:ilvl w:val="0"/>
          <w:numId w:val="1"/>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部门整体支出绩效情况</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bidi="zh-CN"/>
        </w:rPr>
      </w:pPr>
      <w:r>
        <w:rPr>
          <w:rFonts w:hint="eastAsia" w:ascii="仿宋" w:hAnsi="仿宋" w:eastAsia="仿宋" w:cs="仿宋"/>
          <w:color w:val="000000"/>
          <w:sz w:val="32"/>
          <w:szCs w:val="32"/>
          <w:lang w:bidi="zh-CN"/>
        </w:rPr>
        <w:t>部门整体支出的经济性，本年支出总额控制在收入总额内。</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bidi="zh-CN"/>
        </w:rPr>
      </w:pPr>
      <w:r>
        <w:rPr>
          <w:rFonts w:hint="eastAsia" w:ascii="仿宋" w:hAnsi="仿宋" w:eastAsia="仿宋" w:cs="仿宋"/>
          <w:color w:val="000000"/>
          <w:sz w:val="32"/>
          <w:szCs w:val="32"/>
          <w:lang w:bidi="zh-CN"/>
        </w:rPr>
        <w:t>部门整体支出的效率性，本年度财政各项工作、专项完成进度正常，完成质量高。</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Style w:val="16"/>
          <w:rFonts w:hint="eastAsia" w:ascii="仿宋" w:hAnsi="仿宋" w:eastAsia="仿宋" w:cs="仿宋"/>
          <w:b w:val="0"/>
          <w:bCs w:val="0"/>
          <w:sz w:val="32"/>
          <w:szCs w:val="32"/>
        </w:rPr>
      </w:pPr>
      <w:r>
        <w:rPr>
          <w:rFonts w:hint="eastAsia" w:ascii="仿宋" w:hAnsi="仿宋" w:eastAsia="仿宋" w:cs="仿宋"/>
          <w:color w:val="000000"/>
          <w:sz w:val="32"/>
          <w:szCs w:val="32"/>
          <w:lang w:bidi="zh-CN"/>
        </w:rPr>
        <w:t>部门整体支出的有效性，</w:t>
      </w:r>
      <w:r>
        <w:rPr>
          <w:rStyle w:val="16"/>
          <w:rFonts w:hint="eastAsia" w:ascii="仿宋" w:hAnsi="仿宋" w:eastAsia="仿宋" w:cs="仿宋"/>
          <w:b w:val="0"/>
          <w:bCs w:val="0"/>
          <w:sz w:val="32"/>
          <w:szCs w:val="32"/>
        </w:rPr>
        <w:t>严格执行财政财务管理制度，实行专户管理，按照专户存储、专账管理、专款专用的原则规范管理。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eastAsia="zh-CN" w:bidi="zh-CN"/>
        </w:rPr>
      </w:pPr>
      <w:r>
        <w:rPr>
          <w:rFonts w:hint="eastAsia" w:ascii="仿宋" w:hAnsi="仿宋" w:eastAsia="仿宋" w:cs="仿宋"/>
          <w:color w:val="000000"/>
          <w:sz w:val="32"/>
          <w:szCs w:val="32"/>
          <w:lang w:bidi="zh-CN"/>
        </w:rPr>
        <w:t>部门整体支出的可持续性，</w:t>
      </w:r>
      <w:r>
        <w:rPr>
          <w:rFonts w:hint="eastAsia" w:ascii="仿宋" w:hAnsi="仿宋" w:eastAsia="仿宋" w:cs="仿宋"/>
          <w:color w:val="000000"/>
          <w:spacing w:val="-4"/>
          <w:kern w:val="0"/>
          <w:sz w:val="32"/>
          <w:szCs w:val="32"/>
        </w:rPr>
        <w:t>严格财政审批制度，推行政府</w:t>
      </w:r>
      <w:r>
        <w:rPr>
          <w:rFonts w:hint="eastAsia" w:ascii="仿宋" w:hAnsi="仿宋" w:eastAsia="仿宋" w:cs="仿宋"/>
          <w:color w:val="000000"/>
          <w:spacing w:val="-4"/>
          <w:kern w:val="0"/>
          <w:sz w:val="32"/>
          <w:szCs w:val="32"/>
          <w:lang w:eastAsia="zh-CN"/>
        </w:rPr>
        <w:t>集中</w:t>
      </w:r>
      <w:r>
        <w:rPr>
          <w:rFonts w:hint="eastAsia" w:ascii="仿宋" w:hAnsi="仿宋" w:eastAsia="仿宋" w:cs="仿宋"/>
          <w:color w:val="000000"/>
          <w:spacing w:val="-4"/>
          <w:kern w:val="0"/>
          <w:sz w:val="32"/>
          <w:szCs w:val="32"/>
        </w:rPr>
        <w:t>采购制</w:t>
      </w:r>
      <w:r>
        <w:rPr>
          <w:rFonts w:hint="eastAsia" w:ascii="仿宋" w:hAnsi="仿宋" w:eastAsia="仿宋" w:cs="仿宋"/>
          <w:color w:val="000000"/>
          <w:spacing w:val="-4"/>
          <w:kern w:val="0"/>
          <w:sz w:val="32"/>
          <w:szCs w:val="32"/>
          <w:lang w:eastAsia="zh-CN"/>
        </w:rPr>
        <w:t>度</w:t>
      </w:r>
      <w:r>
        <w:rPr>
          <w:rFonts w:hint="eastAsia" w:ascii="仿宋" w:hAnsi="仿宋" w:eastAsia="仿宋" w:cs="仿宋"/>
          <w:color w:val="000000"/>
          <w:spacing w:val="-4"/>
          <w:kern w:val="0"/>
          <w:sz w:val="32"/>
          <w:szCs w:val="32"/>
        </w:rPr>
        <w:t>，压缩非生产性开支，促进财政资金使用合理合法</w:t>
      </w:r>
      <w:r>
        <w:rPr>
          <w:rFonts w:hint="eastAsia" w:ascii="仿宋" w:hAnsi="仿宋" w:eastAsia="仿宋" w:cs="仿宋"/>
          <w:color w:val="000000"/>
          <w:spacing w:val="-4"/>
          <w:kern w:val="0"/>
          <w:sz w:val="32"/>
          <w:szCs w:val="32"/>
          <w:lang w:eastAsia="zh-CN"/>
        </w:rPr>
        <w:t>。</w:t>
      </w:r>
    </w:p>
    <w:p>
      <w:pPr>
        <w:pStyle w:val="7"/>
        <w:keepNext w:val="0"/>
        <w:keepLines w:val="0"/>
        <w:pageBreakBefore w:val="0"/>
        <w:widowControl w:val="0"/>
        <w:numPr>
          <w:ilvl w:val="0"/>
          <w:numId w:val="1"/>
        </w:numPr>
        <w:shd w:val="clear" w:color="auto" w:fill="auto"/>
        <w:tabs>
          <w:tab w:val="left" w:pos="876"/>
        </w:tabs>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rPr>
        <w:t>存在的主要问题</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312" w:firstLineChars="100"/>
        <w:jc w:val="both"/>
        <w:textAlignment w:val="auto"/>
        <w:rPr>
          <w:rFonts w:hint="eastAsia" w:ascii="仿宋" w:hAnsi="仿宋" w:eastAsia="仿宋" w:cs="仿宋"/>
          <w:color w:val="000000"/>
          <w:spacing w:val="-4"/>
          <w:kern w:val="0"/>
          <w:sz w:val="32"/>
          <w:szCs w:val="32"/>
          <w:u w:val="none"/>
          <w:shd w:val="clear"/>
          <w:lang w:val="en-US" w:eastAsia="zh-CN" w:bidi="ar-SA"/>
        </w:rPr>
      </w:pPr>
      <w:r>
        <w:rPr>
          <w:rFonts w:hint="eastAsia" w:ascii="仿宋" w:hAnsi="仿宋" w:eastAsia="仿宋" w:cs="仿宋"/>
          <w:color w:val="000000"/>
          <w:spacing w:val="-4"/>
          <w:kern w:val="0"/>
          <w:sz w:val="32"/>
          <w:szCs w:val="32"/>
          <w:u w:val="none"/>
          <w:shd w:val="clear"/>
          <w:lang w:val="en-US" w:eastAsia="zh-CN" w:bidi="ar-SA"/>
        </w:rPr>
        <w:t>1、要进一步完善年初预算编制，要根据单位的实际工作情况，更加全面、准确地编制年初预算。</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312" w:firstLineChars="100"/>
        <w:jc w:val="both"/>
        <w:textAlignment w:val="auto"/>
        <w:rPr>
          <w:rFonts w:hint="eastAsia" w:ascii="仿宋" w:hAnsi="仿宋" w:eastAsia="仿宋" w:cs="仿宋"/>
          <w:color w:val="000000"/>
          <w:spacing w:val="-4"/>
          <w:kern w:val="0"/>
          <w:sz w:val="32"/>
          <w:szCs w:val="32"/>
          <w:u w:val="none"/>
          <w:shd w:val="clear"/>
          <w:lang w:val="en-US" w:eastAsia="zh-CN" w:bidi="ar-SA"/>
        </w:rPr>
      </w:pPr>
      <w:r>
        <w:rPr>
          <w:rFonts w:hint="eastAsia" w:ascii="仿宋" w:hAnsi="仿宋" w:eastAsia="仿宋" w:cs="仿宋"/>
          <w:color w:val="000000"/>
          <w:spacing w:val="-4"/>
          <w:kern w:val="0"/>
          <w:sz w:val="32"/>
          <w:szCs w:val="32"/>
          <w:u w:val="none"/>
          <w:shd w:val="clear"/>
          <w:lang w:val="en-US" w:eastAsia="zh-CN" w:bidi="ar-SA"/>
        </w:rPr>
        <w:t>2、干部职工对绩效评价工作重要性认识不够。</w:t>
      </w:r>
    </w:p>
    <w:p>
      <w:pPr>
        <w:pStyle w:val="7"/>
        <w:keepNext w:val="0"/>
        <w:keepLines w:val="0"/>
        <w:pageBreakBefore w:val="0"/>
        <w:widowControl w:val="0"/>
        <w:numPr>
          <w:ilvl w:val="0"/>
          <w:numId w:val="0"/>
        </w:numPr>
        <w:shd w:val="clear" w:color="auto" w:fill="auto"/>
        <w:tabs>
          <w:tab w:val="left" w:pos="876"/>
        </w:tabs>
        <w:kinsoku/>
        <w:wordWrap/>
        <w:overflowPunct/>
        <w:topLinePunct w:val="0"/>
        <w:autoSpaceDE/>
        <w:autoSpaceDN/>
        <w:bidi w:val="0"/>
        <w:adjustRightInd/>
        <w:snapToGrid/>
        <w:spacing w:before="0" w:after="0" w:line="560" w:lineRule="exact"/>
        <w:ind w:right="0" w:rightChars="0" w:firstLine="312" w:firstLineChars="100"/>
        <w:jc w:val="both"/>
        <w:textAlignment w:val="auto"/>
        <w:rPr>
          <w:rFonts w:hint="eastAsia" w:ascii="仿宋" w:hAnsi="仿宋" w:eastAsia="仿宋" w:cs="仿宋"/>
          <w:color w:val="000000"/>
          <w:spacing w:val="-4"/>
          <w:kern w:val="0"/>
          <w:sz w:val="32"/>
          <w:szCs w:val="32"/>
          <w:u w:val="none"/>
          <w:shd w:val="clear"/>
          <w:lang w:val="en-US" w:eastAsia="zh-CN" w:bidi="ar-SA"/>
        </w:rPr>
      </w:pPr>
      <w:r>
        <w:rPr>
          <w:rFonts w:hint="eastAsia" w:ascii="仿宋" w:hAnsi="仿宋" w:eastAsia="仿宋" w:cs="仿宋"/>
          <w:color w:val="000000"/>
          <w:spacing w:val="-4"/>
          <w:kern w:val="0"/>
          <w:sz w:val="32"/>
          <w:szCs w:val="32"/>
          <w:u w:val="none"/>
          <w:shd w:val="clear"/>
          <w:lang w:val="en-US" w:eastAsia="zh-CN" w:bidi="ar-SA"/>
        </w:rPr>
        <w:t>3、会计基础工作需进一步提高质量，项目资金使用监管力度有待加强。</w:t>
      </w:r>
    </w:p>
    <w:p>
      <w:pPr>
        <w:pStyle w:val="7"/>
        <w:keepNext w:val="0"/>
        <w:keepLines w:val="0"/>
        <w:pageBreakBefore w:val="0"/>
        <w:widowControl w:val="0"/>
        <w:numPr>
          <w:ilvl w:val="0"/>
          <w:numId w:val="0"/>
        </w:numPr>
        <w:shd w:val="clear" w:color="auto" w:fill="auto"/>
        <w:tabs>
          <w:tab w:val="left" w:pos="886"/>
        </w:tabs>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000000"/>
          <w:spacing w:val="0"/>
          <w:w w:val="100"/>
          <w:position w:val="0"/>
          <w:sz w:val="32"/>
          <w:szCs w:val="32"/>
        </w:rPr>
      </w:pPr>
      <w:r>
        <w:rPr>
          <w:rFonts w:hint="eastAsia" w:ascii="仿宋_GB2312" w:hAnsi="仿宋_GB2312" w:eastAsia="仿宋_GB2312" w:cs="仿宋_GB2312"/>
          <w:b/>
          <w:bCs/>
          <w:color w:val="000000"/>
          <w:spacing w:val="0"/>
          <w:w w:val="100"/>
          <w:position w:val="0"/>
          <w:sz w:val="32"/>
          <w:szCs w:val="32"/>
          <w:lang w:eastAsia="zh-CN"/>
        </w:rPr>
        <w:t>七、</w:t>
      </w:r>
      <w:r>
        <w:rPr>
          <w:rFonts w:hint="eastAsia" w:ascii="仿宋_GB2312" w:hAnsi="仿宋_GB2312" w:eastAsia="仿宋_GB2312" w:cs="仿宋_GB2312"/>
          <w:b/>
          <w:bCs/>
          <w:color w:val="000000"/>
          <w:spacing w:val="0"/>
          <w:w w:val="100"/>
          <w:position w:val="0"/>
          <w:sz w:val="32"/>
          <w:szCs w:val="32"/>
        </w:rPr>
        <w:t>改进措施和有关建议</w:t>
      </w:r>
    </w:p>
    <w:p>
      <w:pPr>
        <w:pageBreakBefore w:val="0"/>
        <w:widowControl w:val="0"/>
        <w:kinsoku/>
        <w:wordWrap/>
        <w:overflowPunct/>
        <w:topLinePunct w:val="0"/>
        <w:autoSpaceDE/>
        <w:autoSpaceDN/>
        <w:bidi w:val="0"/>
        <w:adjustRightInd/>
        <w:snapToGrid/>
        <w:spacing w:line="560" w:lineRule="exact"/>
        <w:ind w:firstLine="312" w:firstLineChars="100"/>
        <w:jc w:val="both"/>
        <w:textAlignment w:val="auto"/>
        <w:rPr>
          <w:rFonts w:hint="eastAsia" w:ascii="仿宋" w:hAnsi="仿宋" w:eastAsia="仿宋" w:cs="仿宋"/>
          <w:color w:val="000000"/>
          <w:spacing w:val="-4"/>
          <w:kern w:val="0"/>
          <w:sz w:val="32"/>
          <w:szCs w:val="32"/>
          <w:u w:val="none"/>
          <w:shd w:val="clear" w:color="auto" w:fill="auto"/>
          <w:lang w:val="en-US" w:eastAsia="zh-CN" w:bidi="ar-SA"/>
        </w:rPr>
      </w:pPr>
      <w:r>
        <w:rPr>
          <w:rFonts w:hint="eastAsia" w:ascii="仿宋" w:hAnsi="仿宋" w:eastAsia="仿宋" w:cs="仿宋"/>
          <w:color w:val="000000"/>
          <w:spacing w:val="-4"/>
          <w:kern w:val="0"/>
          <w:sz w:val="32"/>
          <w:szCs w:val="32"/>
          <w:u w:val="none"/>
          <w:shd w:val="clear" w:color="auto" w:fill="auto"/>
          <w:lang w:val="en-US" w:eastAsia="zh-CN" w:bidi="ar-SA"/>
        </w:rPr>
        <w:t>1、因我局服务对象是军人，具有保密性质，有些资料和数据需做好保密工作，不适应复印公开，请考评组酌情考量。</w:t>
      </w:r>
    </w:p>
    <w:p>
      <w:pPr>
        <w:pageBreakBefore w:val="0"/>
        <w:widowControl w:val="0"/>
        <w:kinsoku/>
        <w:wordWrap/>
        <w:overflowPunct/>
        <w:topLinePunct w:val="0"/>
        <w:autoSpaceDE/>
        <w:autoSpaceDN/>
        <w:bidi w:val="0"/>
        <w:adjustRightInd/>
        <w:snapToGrid/>
        <w:spacing w:line="560" w:lineRule="exact"/>
        <w:ind w:firstLine="312" w:firstLineChars="100"/>
        <w:jc w:val="both"/>
        <w:textAlignment w:val="auto"/>
        <w:rPr>
          <w:rFonts w:hint="eastAsia" w:ascii="仿宋" w:hAnsi="仿宋" w:eastAsia="仿宋" w:cs="仿宋"/>
          <w:color w:val="000000"/>
          <w:spacing w:val="-4"/>
          <w:kern w:val="0"/>
          <w:sz w:val="32"/>
          <w:szCs w:val="32"/>
          <w:u w:val="none"/>
          <w:shd w:val="clear" w:color="auto" w:fill="auto"/>
          <w:lang w:val="en-US" w:eastAsia="zh-CN" w:bidi="ar-SA"/>
        </w:rPr>
      </w:pPr>
      <w:r>
        <w:rPr>
          <w:rFonts w:hint="eastAsia" w:ascii="仿宋" w:hAnsi="仿宋" w:eastAsia="仿宋" w:cs="仿宋"/>
          <w:color w:val="000000"/>
          <w:spacing w:val="-4"/>
          <w:kern w:val="0"/>
          <w:sz w:val="32"/>
          <w:szCs w:val="32"/>
          <w:u w:val="none"/>
          <w:shd w:val="clear" w:color="auto" w:fill="auto"/>
          <w:lang w:val="en-US" w:eastAsia="zh-CN" w:bidi="ar-SA"/>
        </w:rPr>
        <w:t>2、细化预算编制工作，认真做好预算的编制。</w:t>
      </w:r>
    </w:p>
    <w:p>
      <w:pPr>
        <w:rPr>
          <w:rFonts w:hint="eastAsia" w:ascii="仿宋" w:hAnsi="仿宋" w:eastAsia="仿宋" w:cs="仿宋"/>
          <w:color w:val="000000"/>
          <w:spacing w:val="-4"/>
          <w:kern w:val="0"/>
          <w:sz w:val="32"/>
          <w:szCs w:val="32"/>
          <w:u w:val="none"/>
          <w:shd w:val="clear" w:color="auto" w:fill="auto"/>
          <w:lang w:val="en-US" w:eastAsia="zh-CN" w:bidi="ar-SA"/>
        </w:rPr>
      </w:pPr>
    </w:p>
    <w:p>
      <w:pPr>
        <w:pStyle w:val="2"/>
      </w:pPr>
    </w:p>
    <w:p/>
    <w:p>
      <w:pPr>
        <w:pStyle w:val="2"/>
      </w:pPr>
    </w:p>
    <w:p/>
    <w:p>
      <w:pPr>
        <w:pStyle w:val="2"/>
      </w:pPr>
    </w:p>
    <w:p/>
    <w:p>
      <w:pPr>
        <w:pStyle w:val="2"/>
      </w:pPr>
    </w:p>
    <w:p/>
    <w:p>
      <w:pPr>
        <w:pageBreakBefore w:val="0"/>
        <w:widowControl w:val="0"/>
        <w:kinsoku/>
        <w:wordWrap/>
        <w:overflowPunct/>
        <w:topLinePunct w:val="0"/>
        <w:autoSpaceDE/>
        <w:autoSpaceDN/>
        <w:bidi w:val="0"/>
        <w:adjustRightInd/>
        <w:snapToGrid/>
        <w:spacing w:line="560" w:lineRule="exact"/>
        <w:ind w:firstLine="5250" w:firstLineChars="2500"/>
        <w:jc w:val="both"/>
        <w:textAlignment w:val="auto"/>
        <w:rPr>
          <w:rFonts w:hint="eastAsia" w:ascii="仿宋" w:hAnsi="仿宋" w:eastAsia="仿宋" w:cs="仿宋"/>
          <w:color w:val="000000"/>
          <w:spacing w:val="-4"/>
          <w:kern w:val="0"/>
          <w:sz w:val="32"/>
          <w:szCs w:val="32"/>
          <w:lang w:val="en-US" w:eastAsia="zh-CN"/>
        </w:rPr>
      </w:pPr>
      <w:r>
        <w:rPr>
          <w:rFonts w:hint="eastAsia"/>
          <w:lang w:val="en-US" w:eastAsia="zh-CN"/>
        </w:rPr>
        <w:t xml:space="preserve">  </w:t>
      </w:r>
      <w:r>
        <w:rPr>
          <w:rFonts w:hint="eastAsia" w:ascii="仿宋" w:hAnsi="仿宋" w:eastAsia="仿宋" w:cs="仿宋"/>
          <w:color w:val="000000"/>
          <w:spacing w:val="-4"/>
          <w:kern w:val="0"/>
          <w:sz w:val="32"/>
          <w:szCs w:val="32"/>
          <w:lang w:val="en-US" w:eastAsia="zh-CN"/>
        </w:rPr>
        <w:t>珠晖区退役军人事务局</w:t>
      </w:r>
    </w:p>
    <w:p>
      <w:pPr>
        <w:pageBreakBefore w:val="0"/>
        <w:widowControl w:val="0"/>
        <w:kinsoku/>
        <w:wordWrap/>
        <w:overflowPunct/>
        <w:topLinePunct w:val="0"/>
        <w:autoSpaceDE/>
        <w:autoSpaceDN/>
        <w:bidi w:val="0"/>
        <w:adjustRightInd/>
        <w:snapToGrid/>
        <w:spacing w:line="560" w:lineRule="exact"/>
        <w:ind w:left="6566" w:leftChars="304" w:hanging="5928" w:hangingChars="1900"/>
        <w:jc w:val="both"/>
        <w:textAlignment w:val="auto"/>
        <w:rPr>
          <w:rFonts w:hint="default" w:ascii="仿宋" w:hAnsi="仿宋" w:eastAsia="仿宋" w:cs="仿宋"/>
          <w:color w:val="000000"/>
          <w:spacing w:val="-4"/>
          <w:kern w:val="0"/>
          <w:sz w:val="32"/>
          <w:szCs w:val="32"/>
          <w:lang w:val="en-US" w:eastAsia="zh-CN"/>
        </w:rPr>
      </w:pPr>
      <w:r>
        <w:rPr>
          <w:rFonts w:hint="eastAsia" w:ascii="仿宋" w:hAnsi="仿宋" w:eastAsia="仿宋" w:cs="仿宋"/>
          <w:color w:val="000000"/>
          <w:spacing w:val="-4"/>
          <w:kern w:val="0"/>
          <w:sz w:val="32"/>
          <w:szCs w:val="32"/>
          <w:lang w:val="en-US" w:eastAsia="zh-CN"/>
        </w:rPr>
        <w:t xml:space="preserve">                                   2024年5月20日</w:t>
      </w:r>
    </w:p>
    <w:sectPr>
      <w:pgSz w:w="11906" w:h="16838"/>
      <w:pgMar w:top="1383" w:right="1417" w:bottom="1270"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1010920</wp:posOffset>
              </wp:positionH>
              <wp:positionV relativeFrom="page">
                <wp:posOffset>9731375</wp:posOffset>
              </wp:positionV>
              <wp:extent cx="603250" cy="1066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603250" cy="106680"/>
                      </a:xfrm>
                      <a:prstGeom prst="rect">
                        <a:avLst/>
                      </a:prstGeom>
                      <a:noFill/>
                      <a:ln>
                        <a:noFill/>
                      </a:ln>
                      <a:effectLst/>
                    </wps:spPr>
                    <wps:txbx>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4wtzDYAAAADQEAAA8AAAAAAAAAAQAgAAAAIgAAAGRy&#10;cy9kb3ducmV2LnhtbFBLAQIUABQAAAAIAIdO4kDnejedzAEAAJsDAAAOAAAAAAAAAAEAIAAAACcB&#10;AABkcnMvZTJvRG9jLnhtbFBLBQYAAAAABgAGAFkBAABlBQAAAAA=&#10;">
              <v:fill on="f" focussize="0,0"/>
              <v:stroke on="f"/>
              <v:imagedata o:title=""/>
              <o:lock v:ext="edit" aspectratio="f"/>
              <v:textbox inset="0mm,0mm,0mm,0mm" style="mso-fit-shape-to-text:t;">
                <w:txbxContent>
                  <w:p>
                    <w:pPr>
                      <w:pStyle w:val="14"/>
                      <w:keepNext w:val="0"/>
                      <w:keepLines w:val="0"/>
                      <w:widowControl w:val="0"/>
                      <w:shd w:val="clear" w:color="auto" w:fill="auto"/>
                      <w:bidi w:val="0"/>
                      <w:spacing w:before="0" w:after="0" w:line="240" w:lineRule="auto"/>
                      <w:ind w:left="0" w:right="0" w:firstLine="0"/>
                      <w:jc w:val="left"/>
                      <w:rPr>
                        <w:sz w:val="24"/>
                        <w:szCs w:val="24"/>
                      </w:rPr>
                    </w:pPr>
                    <w:r>
                      <w:rPr>
                        <w:rFonts w:ascii="Courier New" w:hAnsi="Courier New" w:eastAsia="Courier New" w:cs="Courier New"/>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pacing w:val="0"/>
                        <w:w w:val="100"/>
                        <w:position w:val="0"/>
                        <w:sz w:val="24"/>
                        <w:szCs w:val="24"/>
                      </w:rPr>
                      <w:t>#</w:t>
                    </w:r>
                    <w:r>
                      <w:rPr>
                        <w:rFonts w:ascii="Courier New" w:hAnsi="Courier New" w:eastAsia="Courier New" w:cs="Courier New"/>
                        <w:color w:val="000000"/>
                        <w:spacing w:val="0"/>
                        <w:w w:val="100"/>
                        <w:position w:val="0"/>
                        <w:sz w:val="24"/>
                        <w:szCs w:val="24"/>
                      </w:rPr>
                      <w:fldChar w:fldCharType="end"/>
                    </w:r>
                    <w:r>
                      <w:rPr>
                        <w:rFonts w:ascii="Courier New" w:hAnsi="Courier New" w:eastAsia="Courier New" w:cs="Courier New"/>
                        <w:color w:val="000000"/>
                        <w:spacing w:val="0"/>
                        <w:w w:val="100"/>
                        <w:position w:val="0"/>
                        <w:sz w:val="24"/>
                        <w:szCs w:val="24"/>
                      </w:rPr>
                      <w:t xml:space="preserve"> </w:t>
                    </w:r>
                    <w:r>
                      <w:rPr>
                        <w:rFonts w:ascii="Courier New" w:hAnsi="Courier New" w:eastAsia="Courier New" w:cs="Courier New"/>
                        <w:color w:val="000000"/>
                        <w:spacing w:val="0"/>
                        <w:w w:val="100"/>
                        <w:position w:val="0"/>
                        <w:sz w:val="24"/>
                        <w:szCs w:val="24"/>
                        <w:lang w:val="en-US" w:eastAsia="en-US" w:bidi="en-US"/>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104948"/>
    <w:multiLevelType w:val="singleLevel"/>
    <w:tmpl w:val="1510494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yNWMyYjc2N2Q5OWZmY2QzZjdjMTg3ZjYwNzdhMjYifQ=="/>
    <w:docVar w:name="KSO_WPS_MARK_KEY" w:val="3afeae20-c245-4df7-b3da-4013853bc0c8"/>
  </w:docVars>
  <w:rsids>
    <w:rsidRoot w:val="00000000"/>
    <w:rsid w:val="04820ADC"/>
    <w:rsid w:val="07F42229"/>
    <w:rsid w:val="08770E21"/>
    <w:rsid w:val="09F71624"/>
    <w:rsid w:val="09FE1D5A"/>
    <w:rsid w:val="0B1133E2"/>
    <w:rsid w:val="0CF85DDF"/>
    <w:rsid w:val="0F07272C"/>
    <w:rsid w:val="10E5667A"/>
    <w:rsid w:val="13F75CCB"/>
    <w:rsid w:val="141C6857"/>
    <w:rsid w:val="146E4D32"/>
    <w:rsid w:val="164B3423"/>
    <w:rsid w:val="17CC2342"/>
    <w:rsid w:val="19EE47F1"/>
    <w:rsid w:val="1A0B2E3F"/>
    <w:rsid w:val="1C0B1F5C"/>
    <w:rsid w:val="1D003708"/>
    <w:rsid w:val="1D3F5364"/>
    <w:rsid w:val="1D5A219E"/>
    <w:rsid w:val="1F2543F3"/>
    <w:rsid w:val="20CA13E8"/>
    <w:rsid w:val="230B6414"/>
    <w:rsid w:val="23C71C0F"/>
    <w:rsid w:val="24650CAD"/>
    <w:rsid w:val="277D736B"/>
    <w:rsid w:val="286F470F"/>
    <w:rsid w:val="2D145EC5"/>
    <w:rsid w:val="2F3C7955"/>
    <w:rsid w:val="318F6462"/>
    <w:rsid w:val="34FA3BF3"/>
    <w:rsid w:val="3AC31373"/>
    <w:rsid w:val="3C990195"/>
    <w:rsid w:val="3DB15B99"/>
    <w:rsid w:val="441445A5"/>
    <w:rsid w:val="48E1714C"/>
    <w:rsid w:val="49892887"/>
    <w:rsid w:val="4C0F4402"/>
    <w:rsid w:val="4DA13004"/>
    <w:rsid w:val="4DB52E12"/>
    <w:rsid w:val="502A713E"/>
    <w:rsid w:val="54CF7FE3"/>
    <w:rsid w:val="55755470"/>
    <w:rsid w:val="55CA71B9"/>
    <w:rsid w:val="568D26C1"/>
    <w:rsid w:val="58647451"/>
    <w:rsid w:val="595E0345"/>
    <w:rsid w:val="5A4F7C8D"/>
    <w:rsid w:val="5B6C4632"/>
    <w:rsid w:val="5D28321C"/>
    <w:rsid w:val="5EA909D5"/>
    <w:rsid w:val="60327297"/>
    <w:rsid w:val="63BA086D"/>
    <w:rsid w:val="67530DBD"/>
    <w:rsid w:val="6CCD1611"/>
    <w:rsid w:val="72E40307"/>
    <w:rsid w:val="793C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6"/>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Body text|1"/>
    <w:basedOn w:val="1"/>
    <w:qFormat/>
    <w:uiPriority w:val="0"/>
    <w:pPr>
      <w:widowControl w:val="0"/>
      <w:shd w:val="clear" w:color="auto" w:fill="auto"/>
      <w:spacing w:line="408" w:lineRule="auto"/>
      <w:ind w:firstLine="400"/>
    </w:pPr>
    <w:rPr>
      <w:rFonts w:ascii="宋体" w:hAnsi="宋体" w:eastAsia="宋体" w:cs="宋体"/>
      <w:sz w:val="19"/>
      <w:szCs w:val="19"/>
      <w:u w:val="none"/>
      <w:shd w:val="clear" w:color="auto" w:fill="auto"/>
      <w:lang w:val="zh-CN" w:eastAsia="zh-CN" w:bidi="zh-CN"/>
    </w:rPr>
  </w:style>
  <w:style w:type="paragraph" w:customStyle="1" w:styleId="8">
    <w:name w:val="Body text|3"/>
    <w:basedOn w:val="1"/>
    <w:qFormat/>
    <w:uiPriority w:val="0"/>
    <w:pPr>
      <w:widowControl w:val="0"/>
      <w:shd w:val="clear" w:color="auto" w:fill="auto"/>
      <w:spacing w:before="220" w:after="720"/>
      <w:ind w:firstLine="520"/>
    </w:pPr>
    <w:rPr>
      <w:sz w:val="32"/>
      <w:szCs w:val="32"/>
      <w:u w:val="none"/>
      <w:shd w:val="clear" w:color="auto" w:fill="auto"/>
    </w:rPr>
  </w:style>
  <w:style w:type="paragraph" w:customStyle="1" w:styleId="9">
    <w:name w:val="Other|1"/>
    <w:basedOn w:val="1"/>
    <w:qFormat/>
    <w:uiPriority w:val="0"/>
    <w:pPr>
      <w:widowControl w:val="0"/>
      <w:shd w:val="clear" w:color="auto" w:fill="auto"/>
      <w:spacing w:line="302" w:lineRule="exact"/>
    </w:pPr>
    <w:rPr>
      <w:rFonts w:ascii="宋体" w:hAnsi="宋体" w:eastAsia="宋体" w:cs="宋体"/>
      <w:sz w:val="19"/>
      <w:szCs w:val="19"/>
      <w:u w:val="none"/>
      <w:shd w:val="clear" w:color="auto" w:fill="auto"/>
      <w:lang w:val="zh-CN" w:eastAsia="zh-CN" w:bidi="zh-CN"/>
    </w:rPr>
  </w:style>
  <w:style w:type="paragraph" w:customStyle="1" w:styleId="10">
    <w:name w:val="Body text|4"/>
    <w:basedOn w:val="1"/>
    <w:qFormat/>
    <w:uiPriority w:val="0"/>
    <w:pPr>
      <w:widowControl w:val="0"/>
      <w:shd w:val="clear" w:color="auto" w:fill="auto"/>
      <w:spacing w:after="60"/>
      <w:ind w:firstLine="320"/>
    </w:pPr>
    <w:rPr>
      <w:rFonts w:ascii="宋体" w:hAnsi="宋体" w:eastAsia="宋体" w:cs="宋体"/>
      <w:u w:val="none"/>
      <w:shd w:val="clear" w:color="auto" w:fill="auto"/>
      <w:lang w:val="zh-CN" w:eastAsia="zh-CN" w:bidi="zh-CN"/>
    </w:rPr>
  </w:style>
  <w:style w:type="paragraph" w:customStyle="1" w:styleId="11">
    <w:name w:val="Table caption|1"/>
    <w:basedOn w:val="1"/>
    <w:qFormat/>
    <w:uiPriority w:val="0"/>
    <w:pPr>
      <w:widowControl w:val="0"/>
      <w:shd w:val="clear" w:color="auto" w:fill="auto"/>
      <w:spacing w:line="302" w:lineRule="exact"/>
      <w:jc w:val="right"/>
    </w:pPr>
    <w:rPr>
      <w:rFonts w:ascii="宋体" w:hAnsi="宋体" w:eastAsia="宋体" w:cs="宋体"/>
      <w:sz w:val="19"/>
      <w:szCs w:val="19"/>
      <w:u w:val="none"/>
      <w:shd w:val="clear" w:color="auto" w:fill="auto"/>
      <w:lang w:val="zh-CN" w:eastAsia="zh-CN" w:bidi="zh-CN"/>
    </w:rPr>
  </w:style>
  <w:style w:type="paragraph" w:customStyle="1" w:styleId="12">
    <w:name w:val="Body text|2"/>
    <w:basedOn w:val="1"/>
    <w:qFormat/>
    <w:uiPriority w:val="0"/>
    <w:pPr>
      <w:widowControl w:val="0"/>
      <w:shd w:val="clear" w:color="auto" w:fill="auto"/>
      <w:spacing w:after="470"/>
    </w:pPr>
    <w:rPr>
      <w:b/>
      <w:bCs/>
      <w:sz w:val="19"/>
      <w:szCs w:val="19"/>
      <w:u w:val="none"/>
      <w:shd w:val="clear" w:color="auto" w:fill="auto"/>
      <w:lang w:val="zh-CN" w:eastAsia="zh-CN" w:bidi="zh-CN"/>
    </w:rPr>
  </w:style>
  <w:style w:type="paragraph" w:customStyle="1" w:styleId="13">
    <w:name w:val="Heading #2|1"/>
    <w:basedOn w:val="1"/>
    <w:qFormat/>
    <w:uiPriority w:val="0"/>
    <w:pPr>
      <w:widowControl w:val="0"/>
      <w:shd w:val="clear" w:color="auto" w:fill="auto"/>
      <w:spacing w:after="300"/>
      <w:jc w:val="center"/>
      <w:outlineLvl w:val="1"/>
    </w:pPr>
    <w:rPr>
      <w:rFonts w:ascii="宋体" w:hAnsi="宋体" w:eastAsia="宋体" w:cs="宋体"/>
      <w:sz w:val="44"/>
      <w:szCs w:val="44"/>
      <w:u w:val="none"/>
      <w:shd w:val="clear" w:color="auto" w:fill="auto"/>
      <w:lang w:val="zh-CN" w:eastAsia="zh-CN" w:bidi="zh-CN"/>
    </w:rPr>
  </w:style>
  <w:style w:type="paragraph" w:customStyle="1" w:styleId="14">
    <w:name w:val="Header or footer|2"/>
    <w:basedOn w:val="1"/>
    <w:qFormat/>
    <w:uiPriority w:val="0"/>
    <w:pPr>
      <w:widowControl w:val="0"/>
      <w:shd w:val="clear" w:color="auto" w:fill="auto"/>
    </w:pPr>
    <w:rPr>
      <w:sz w:val="20"/>
      <w:szCs w:val="20"/>
      <w:u w:val="none"/>
      <w:shd w:val="clear" w:color="auto" w:fill="auto"/>
      <w:lang w:val="zh-CN" w:eastAsia="zh-CN" w:bidi="zh-CN"/>
    </w:rPr>
  </w:style>
  <w:style w:type="paragraph" w:customStyle="1" w:styleId="15">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标题 2 Char"/>
    <w:basedOn w:val="6"/>
    <w:link w:val="3"/>
    <w:qFormat/>
    <w:uiPriority w:val="0"/>
    <w:rPr>
      <w:rFonts w:hint="eastAsia" w:ascii="宋体" w:hAnsi="宋体" w:eastAsia="宋体" w:cs="宋体"/>
      <w:b/>
      <w:bCs/>
      <w:kern w:val="0"/>
      <w:sz w:val="36"/>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5262</Words>
  <Characters>5609</Characters>
  <Lines>0</Lines>
  <Paragraphs>0</Paragraphs>
  <TotalTime>1</TotalTime>
  <ScaleCrop>false</ScaleCrop>
  <LinksUpToDate>false</LinksUpToDate>
  <CharactersWithSpaces>5723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2023-06-26T02:14:00Z</dcterms:created>
  <dc:creator>Administrator</dc:creator>
  <cp:lastModifiedBy>Administrator</cp:lastModifiedBy>
  <dcterms:modified xsi:type="dcterms:W3CDTF">2024-06-06T01:59:22Z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63176D46D4254EDE9C05EF843BE536E6_12</vt:lpwstr>
  </property>
</Properties>
</file>