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7042">
      <w:pPr>
        <w:pStyle w:val="7"/>
        <w:tabs>
          <w:tab w:val="left" w:pos="867"/>
        </w:tabs>
        <w:spacing w:line="560" w:lineRule="exact"/>
        <w:ind w:left="420" w:leftChars="200" w:firstLine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/>
        </w:rPr>
        <w:t>2023年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部门整体支出绩效评价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报告</w:t>
      </w:r>
    </w:p>
    <w:p w14:paraId="786F6691">
      <w:pPr>
        <w:pStyle w:val="7"/>
        <w:tabs>
          <w:tab w:val="left" w:pos="867"/>
        </w:tabs>
        <w:spacing w:line="560" w:lineRule="exact"/>
        <w:ind w:left="420" w:leftChars="200" w:firstLine="0"/>
        <w:jc w:val="center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（珠晖区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教育局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</w:p>
    <w:p w14:paraId="3FF85E58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 w14:paraId="062943D0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一、部门概况</w:t>
      </w:r>
      <w:bookmarkStart w:id="0" w:name="bookmark92"/>
    </w:p>
    <w:bookmarkEnd w:id="0"/>
    <w:p w14:paraId="3D117B82">
      <w:pPr>
        <w:pStyle w:val="7"/>
        <w:tabs>
          <w:tab w:val="left" w:pos="867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（一）部门基本情况</w:t>
      </w:r>
    </w:p>
    <w:p w14:paraId="25E73700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1" w:name="bookmark93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1、人员情况。</w:t>
      </w:r>
    </w:p>
    <w:p w14:paraId="1977A12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在职编制人员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1215</w:t>
      </w:r>
      <w:r>
        <w:rPr>
          <w:rFonts w:hint="eastAsia" w:ascii="Times New Roman" w:hAnsi="Times New Roman" w:eastAsia="仿宋_GB2312"/>
          <w:sz w:val="32"/>
          <w:szCs w:val="32"/>
        </w:rPr>
        <w:t>名。</w:t>
      </w:r>
    </w:p>
    <w:p w14:paraId="6201D801"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2、机构设置。</w:t>
      </w:r>
    </w:p>
    <w:p w14:paraId="2C1859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（一）内设机构设置 </w:t>
      </w:r>
    </w:p>
    <w:p w14:paraId="5CEDED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珠晖区教育局内设机构包括：教育局设下列内设机构10个（含1个副科级单位）: （一）区委教育工作领导小组秘书组秘书股。（二）办公室。（三）行政审批服务股。　（四）计划财务审计股。（五）人事师训股（珠晖区语言文字工作委员会办公室、人口和计划生育综合治理办公室）。（六）基础教育股。（七）职业教育与成人教育管理办公室。（八）体育卫生艺术股。（九）综合治理管理办。 </w:t>
      </w:r>
    </w:p>
    <w:p w14:paraId="4DEEE6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（二）汇总决算单位构成 </w:t>
      </w:r>
    </w:p>
    <w:p w14:paraId="740242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珠晖区教育局2023年部门决算汇总公开单位构成包括：珠晖区教育局本级、44所公办中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小学（含5个教学点）及3所公办幼儿园：1、教育局部门本级；2、珠晖一中；3、珠晖二中；3、茶山中学；4、酃湖中学；5、马路口小学；6、粤汉小学；7、湖北路小学；8、泉溪村小学；9、东站路小学；10、东风路小学；11、玄碧塘小学；12、狮子山小学；13、衡州路小学；14、实验小学；15、光明路小学；16、冶金小学；17、新华实验小学；18、苗圃小学；19、盐矿小学；20、建湘小学；21、衡师附小；22、东阳渡镇周家坳小学；23、东阳渡镇中心学校；24、东阳渡镇新龙教学点；25、东阳渡镇东南小学；26、东阳渡镇曙光小学；27、东阳渡镇新塘教学点；28、东阳渡镇和平小学；29、东阳渡镇明德小学；30、茶山坳镇大石渡小学；31、茶山坳镇中心学校；32、茶山坳镇复兴小学；33、茶山坳镇金甲小学；34、茶山坳镇堰头教学点；35、金甲岭农场教学点；36、酃湖乡胜利小学；37、酃湖乡解放小学；38、酃湖乡中心学校；39、和平乡新华教学点；40、和平乡湖东小学；41、和平乡和平小学；42、教育局；43、和平乡东山小学；44、东阳中心幼儿园；45、酃湖乡中心幼儿园、46、衡州路幼儿园、47、酃湖乡上托小学。 </w:t>
      </w:r>
    </w:p>
    <w:p w14:paraId="635A4A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3、主要职能。</w:t>
      </w:r>
    </w:p>
    <w:p w14:paraId="6A1B1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一）贯彻执行中央和省、市有关教育工作的方针、政策、法律法规，结合本区拟订具体实施办法和管理制度，并监督实施。研究提出全区教育改革与发展战略，制定全区教育事业发展规划和年度计划并组织实施。 </w:t>
      </w:r>
    </w:p>
    <w:p w14:paraId="699D3D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（二）负责全区基础教育、职业教育、成人教育、特殊教育、学前教育、民办教育的管理工作；统筹推进全区社区教育和终身教育工作。 </w:t>
      </w:r>
    </w:p>
    <w:p w14:paraId="7A3BB8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（三）负责推进义务教育均衡发展和促进教育公平，负责义务教育的宏观指导与协调，全面实施素质教育。负责指导全区教育教学科学研究工作，提高教育教学管理水平。 </w:t>
      </w:r>
    </w:p>
    <w:p w14:paraId="1C9C79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四）负责全区的教师工作，组织指导中小学教师的资格认定、注册、招聘录用、职务评聘、培养培训、调配交流、档案管理和考核奖惩等工作。制定全区师资建设发展规划、教职工管理制度和培训计划并组织实施。宏观管理全区语言文字工作，指导、督促和检查各级各类学校推广普通话和使用规范汉字工作。协调指导师范类大中专毕业生就业工作。协调对少数民族和少数民族地区的教育援助。 </w:t>
      </w:r>
    </w:p>
    <w:p w14:paraId="63B846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（五）负责管理全区勤工俭学工作、教育技术装备和图书建设工作、负责全区教育系统宣传信息工作。 </w:t>
      </w:r>
    </w:p>
    <w:p w14:paraId="406A29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六）负责管理和监督全区教育系统经费、财务、基建、校产和国有资产；会同有关部门拟订有关教育经费筹措政策、学校收费政策；进一步拓宽教育融资渠道，整合资源，加快学校建设。监督全区教育经费的筹措和使用情况，并负责教育系统内部审计工作，负责生源地助学贷款及学生资助等工作。 </w:t>
      </w:r>
    </w:p>
    <w:p w14:paraId="146A4C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七）负责规划并指导全区中小学校、幼儿园的思想政治工作、德育工作、体育卫生与艺术教育及国防教育等工作；负责校园安全防范、综合治理和稳定工作；协助有关单位做好学校共青团、少先队和关心下一代工作。 </w:t>
      </w:r>
    </w:p>
    <w:p w14:paraId="4F8DC5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（八）负责全区教育督政和督学工作，对各级各类学校（单位）的教育工作进行检查、督导和评估。 </w:t>
      </w:r>
    </w:p>
    <w:p w14:paraId="1D3A41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（九）统筹管理全区义务教育学校的招生工作、学籍学历管理工作和高等教育的自学考试工作。 </w:t>
      </w:r>
    </w:p>
    <w:p w14:paraId="38C0D7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（十）负责教育基本信息的统计、分析和发布。 </w:t>
      </w:r>
    </w:p>
    <w:p w14:paraId="60FCF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（十一）负责组织、指导全区教育行政执法工作。 </w:t>
      </w:r>
    </w:p>
    <w:p w14:paraId="4C0DA1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（十二）统筹全区教育信息化建设与应用工作。 </w:t>
      </w:r>
    </w:p>
    <w:p w14:paraId="136B27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（十三）负责本行业、领域的应急管理工作，对本行业、领域的安全生产工作实施监督管理。 </w:t>
      </w:r>
    </w:p>
    <w:p w14:paraId="7FEDBA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  <w:t>（十四）完成区委、区政府交办的其他事项。</w:t>
      </w:r>
    </w:p>
    <w:p w14:paraId="0B9F8EB9">
      <w:pPr>
        <w:pStyle w:val="7"/>
        <w:tabs>
          <w:tab w:val="left" w:pos="867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bookmarkEnd w:id="1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二）部门整体支出情况</w:t>
      </w:r>
    </w:p>
    <w:p w14:paraId="38A5A9F5">
      <w:pPr>
        <w:pStyle w:val="7"/>
        <w:tabs>
          <w:tab w:val="left" w:pos="767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2023年全年预算数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277728.19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万元，其中，一般公共服务支出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25.00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万元，教育支出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22814.95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1995.04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1685.22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1201.98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万元。主要用于基本支出和项目支出。</w:t>
      </w:r>
    </w:p>
    <w:p w14:paraId="14DC5349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2" w:name="bookmark94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</w:t>
      </w:r>
      <w:bookmarkEnd w:id="2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、部门整体支出管理及使用情况</w:t>
      </w:r>
    </w:p>
    <w:p w14:paraId="5C3A41B0">
      <w:pPr>
        <w:pStyle w:val="7"/>
        <w:tabs>
          <w:tab w:val="left" w:pos="867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3" w:name="bookmark95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bookmarkEnd w:id="3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一）基本支出</w:t>
      </w:r>
      <w:bookmarkStart w:id="4" w:name="bookmark96"/>
    </w:p>
    <w:p w14:paraId="2E7ADBA0">
      <w:pPr>
        <w:pStyle w:val="7"/>
        <w:tabs>
          <w:tab w:val="left" w:pos="767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 2023年度财政拨款基本支出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24756.93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万元，其中：人员经费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20624.85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83.31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%，主要包括：基本工资、津贴补贴、奖金、绩效工资、机关事业单位基本养老保险缴费、职工基本医疗保险缴费、其他社会保障缴费、住房公积金、抚恤金、奖励金、其他对个人和家庭的补助。公用4132.08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16.69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%，主要包括：办公费、印刷费、手续费、水费、电费、物业管理费、维修（护）费、委托业务费、工会经费、福利费、其他商品和服务支出。三公经费年初预算0万元，全年实际支出0万元。</w:t>
      </w:r>
    </w:p>
    <w:bookmarkEnd w:id="4"/>
    <w:p w14:paraId="37CA42AA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三、资产管理情况</w:t>
      </w:r>
    </w:p>
    <w:p w14:paraId="4FA2E64B">
      <w:pPr>
        <w:pStyle w:val="7"/>
        <w:tabs>
          <w:tab w:val="left" w:pos="76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我单位共有车辆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辆（台），其中：机要通信用车0辆、应急保障用车0辆、执法执勤用车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辆、特种专业技术用车0辆、其他用车0辆；单价50万元（含）以上通用设备0台（套），单价100万元（含）以上专用设备0台（套）。</w:t>
      </w:r>
    </w:p>
    <w:p w14:paraId="7B04EB72">
      <w:pPr>
        <w:pStyle w:val="7"/>
        <w:tabs>
          <w:tab w:val="left" w:pos="867"/>
        </w:tabs>
        <w:spacing w:line="560" w:lineRule="exact"/>
        <w:ind w:left="420" w:leftChars="200" w:firstLine="240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等线" w:hAnsi="等线" w:eastAsia="等线" w:cs="等线"/>
          <w:color w:val="000000"/>
          <w:sz w:val="24"/>
          <w:szCs w:val="24"/>
          <w:shd w:val="clear" w:color="auto" w:fill="FFFFFF"/>
        </w:rPr>
        <w:t> 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四、部门整体支出绩效情况</w:t>
      </w:r>
    </w:p>
    <w:p w14:paraId="75E7F97B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我单位2023年度整体绩效目标均已达标，</w:t>
      </w:r>
    </w:p>
    <w:p w14:paraId="6581345E">
      <w:pPr>
        <w:ind w:firstLine="643" w:firstLineChars="200"/>
        <w:rPr>
          <w:rFonts w:ascii="宋体"/>
          <w:sz w:val="24"/>
        </w:rPr>
      </w:pPr>
      <w:r>
        <w:rPr>
          <w:rFonts w:hint="eastAsia" w:ascii="Times New Roman" w:hAnsi="Times New Roman" w:eastAsia="楷体_GB2312"/>
          <w:b/>
          <w:bCs/>
          <w:color w:val="000000"/>
          <w:kern w:val="0"/>
          <w:sz w:val="32"/>
          <w:szCs w:val="32"/>
          <w:shd w:val="clear" w:color="auto" w:fill="FFFFFF"/>
        </w:rPr>
        <w:t>1、</w:t>
      </w:r>
      <w:r>
        <w:rPr>
          <w:rFonts w:hint="eastAsia" w:ascii="Times New Roman" w:hAnsi="Times New Roman" w:eastAsia="楷体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教育教学。</w:t>
      </w:r>
    </w:p>
    <w:p w14:paraId="6409621A"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  <w:shd w:val="clear" w:color="auto" w:fill="FFFFFF"/>
        </w:rPr>
        <w:t>2、安全管理。</w:t>
      </w:r>
    </w:p>
    <w:p w14:paraId="4800955B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五、存在的主要问题</w:t>
      </w:r>
    </w:p>
    <w:p w14:paraId="7813971A">
      <w:pPr>
        <w:spacing w:line="600" w:lineRule="exact"/>
        <w:ind w:firstLine="640" w:firstLineChars="200"/>
        <w:rPr>
          <w:rFonts w:ascii="宋体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、及时、准确、有效！</w:t>
      </w:r>
    </w:p>
    <w:p w14:paraId="3D9F9CDF">
      <w:pPr>
        <w:pStyle w:val="7"/>
        <w:tabs>
          <w:tab w:val="left" w:pos="867"/>
        </w:tabs>
        <w:spacing w:line="560" w:lineRule="exact"/>
        <w:ind w:left="420" w:leftChars="200" w:firstLine="321" w:firstLineChars="100"/>
        <w:rPr>
          <w:sz w:val="24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六、改进措施和有关建议</w:t>
      </w:r>
    </w:p>
    <w:p w14:paraId="523E1B74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1、继续严把审核关。</w:t>
      </w:r>
    </w:p>
    <w:p w14:paraId="1B0E847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细化预算编制工作。进一步加强单位预算管理意识，严格按照预算编制的相关制度和要求，编制范围尽可能全面，不漏项，在预算编制时首先需满足固定性的、相对刚性的费用支出项目，尽量压缩变动性、有控制空间的费用项目；提高预算编制的科学性、合理性、严谨性和可控性。</w:t>
      </w:r>
    </w:p>
    <w:p w14:paraId="3F1A2858">
      <w:pPr>
        <w:spacing w:line="600" w:lineRule="exact"/>
        <w:ind w:firstLine="640" w:firstLineChars="200"/>
        <w:rPr>
          <w:rFonts w:ascii="宋体"/>
          <w:sz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3、加强单位财务管理。严格按照预算规定的项目及用途开支经费，控制现金支出，细化经费管理。同时，将预算执行分析常态化，为预算绩效管理工作提供有力保障。</w:t>
      </w:r>
    </w:p>
    <w:p w14:paraId="341EC1EB">
      <w:pPr>
        <w:pStyle w:val="7"/>
        <w:tabs>
          <w:tab w:val="left" w:pos="867"/>
        </w:tabs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4、加强与相关部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门对接力度，确保学校安全有效运转。</w:t>
      </w:r>
    </w:p>
    <w:sectPr>
      <w:pgSz w:w="11906" w:h="16838"/>
      <w:pgMar w:top="1383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Tc5ZTE3ZWU3YzA1OThiNDQwYThlM2U5N2FkZDAifQ=="/>
  </w:docVars>
  <w:rsids>
    <w:rsidRoot w:val="00316AB2"/>
    <w:rsid w:val="00316AB2"/>
    <w:rsid w:val="005362C6"/>
    <w:rsid w:val="008B7CDD"/>
    <w:rsid w:val="00904A39"/>
    <w:rsid w:val="021A0C65"/>
    <w:rsid w:val="0A596F5B"/>
    <w:rsid w:val="0AE160CE"/>
    <w:rsid w:val="0CD85033"/>
    <w:rsid w:val="13F72496"/>
    <w:rsid w:val="16BE55BC"/>
    <w:rsid w:val="19291958"/>
    <w:rsid w:val="1D4C1DE7"/>
    <w:rsid w:val="1D6A258C"/>
    <w:rsid w:val="2C5D75B5"/>
    <w:rsid w:val="316F78DC"/>
    <w:rsid w:val="327A5A60"/>
    <w:rsid w:val="35E67CDB"/>
    <w:rsid w:val="3D271A1D"/>
    <w:rsid w:val="3EEA431D"/>
    <w:rsid w:val="4DA649F8"/>
    <w:rsid w:val="4FBA47B4"/>
    <w:rsid w:val="566D6480"/>
    <w:rsid w:val="5E8B3989"/>
    <w:rsid w:val="60806DF2"/>
    <w:rsid w:val="618D394B"/>
    <w:rsid w:val="6AEA4DB6"/>
    <w:rsid w:val="6AEF7182"/>
    <w:rsid w:val="6B995102"/>
    <w:rsid w:val="6BE16C6F"/>
    <w:rsid w:val="70F13285"/>
    <w:rsid w:val="71427568"/>
    <w:rsid w:val="763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hd w:val="clear" w:color="auto" w:fill="FFFFFF"/>
      <w:spacing w:before="900" w:line="602" w:lineRule="exact"/>
      <w:jc w:val="distribute"/>
    </w:pPr>
    <w:rPr>
      <w:rFonts w:ascii="黑体" w:eastAsia="黑体"/>
      <w:spacing w:val="30"/>
      <w:kern w:val="0"/>
      <w:sz w:val="29"/>
      <w:szCs w:val="29"/>
    </w:r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2416</Words>
  <Characters>2554</Characters>
  <Lines>1</Lines>
  <Paragraphs>2</Paragraphs>
  <TotalTime>32</TotalTime>
  <ScaleCrop>false</ScaleCrop>
  <LinksUpToDate>false</LinksUpToDate>
  <CharactersWithSpaces>2576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2023-07-27T00:54:00Z</dcterms:created>
  <dc:creator>Administrator</dc:creator>
  <cp:lastModifiedBy>快乐</cp:lastModifiedBy>
  <dcterms:modified xsi:type="dcterms:W3CDTF">2025-01-13T01:41:37Z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2D1EE46F0D3245DBA0F1000DA765B39B_13</vt:lpwstr>
  </property>
  <property fmtid="{D5CDD505-2E9C-101B-9397-08002B2CF9AE}" pid="4" name="KSOTemplateDocerSaveRecord">
    <vt:lpwstr>eyJoZGlkIjoiMTEyMzI3MGZiZGFlYjQzYzcxOWUzOWYzYzgyOTZjZTMiLCJ1c2VySWQiOiI5OTE0NDE5MjQifQ==</vt:lpwstr>
  </property>
</Properties>
</file>