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90683">
      <w:pPr>
        <w:spacing w:line="560" w:lineRule="exact"/>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w:t>
      </w:r>
      <w:r>
        <w:rPr>
          <w:rFonts w:hint="eastAsia" w:ascii="黑体" w:hAnsi="黑体" w:eastAsia="黑体"/>
          <w:sz w:val="44"/>
          <w:szCs w:val="44"/>
          <w:lang w:eastAsia="zh-CN"/>
        </w:rPr>
        <w:t>珠晖区审计局</w:t>
      </w:r>
      <w:r>
        <w:rPr>
          <w:rFonts w:hint="eastAsia" w:ascii="黑体" w:hAnsi="黑体" w:eastAsia="黑体"/>
          <w:sz w:val="44"/>
          <w:szCs w:val="44"/>
        </w:rPr>
        <w:t>整体支出绩效评价报告</w:t>
      </w:r>
    </w:p>
    <w:p w14:paraId="49926C9B">
      <w:pPr>
        <w:spacing w:line="560" w:lineRule="exact"/>
        <w:ind w:firstLine="640" w:firstLineChars="200"/>
        <w:rPr>
          <w:rFonts w:ascii="仿宋_GB2312" w:eastAsia="仿宋_GB2312"/>
          <w:sz w:val="32"/>
          <w:szCs w:val="32"/>
        </w:rPr>
      </w:pPr>
    </w:p>
    <w:p w14:paraId="491353EA">
      <w:pPr>
        <w:spacing w:line="560" w:lineRule="exact"/>
        <w:ind w:firstLine="640" w:firstLineChars="200"/>
        <w:rPr>
          <w:rFonts w:ascii="仿宋" w:hAnsi="仿宋" w:eastAsia="仿宋"/>
          <w:sz w:val="32"/>
          <w:szCs w:val="32"/>
        </w:rPr>
      </w:pPr>
      <w:r>
        <w:rPr>
          <w:rFonts w:hint="eastAsia" w:ascii="仿宋" w:hAnsi="仿宋" w:eastAsia="仿宋"/>
          <w:sz w:val="32"/>
          <w:szCs w:val="32"/>
        </w:rPr>
        <w:t>为加强财政预算资金管理，进一步规范预算资金使用，提高财政资金使用效益，根据《</w:t>
      </w:r>
      <w:r>
        <w:rPr>
          <w:rFonts w:hint="eastAsia" w:ascii="仿宋" w:hAnsi="仿宋" w:eastAsia="仿宋"/>
          <w:sz w:val="32"/>
          <w:szCs w:val="32"/>
          <w:lang w:eastAsia="zh-CN"/>
        </w:rPr>
        <w:t>珠晖区</w:t>
      </w:r>
      <w:r>
        <w:rPr>
          <w:rFonts w:hint="eastAsia" w:ascii="仿宋" w:hAnsi="仿宋" w:eastAsia="仿宋"/>
          <w:sz w:val="32"/>
          <w:szCs w:val="32"/>
        </w:rPr>
        <w:t>财政局关于开展202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hint="eastAsia" w:ascii="仿宋" w:hAnsi="仿宋" w:eastAsia="仿宋"/>
          <w:sz w:val="32"/>
          <w:szCs w:val="32"/>
          <w:lang w:eastAsia="zh-CN"/>
        </w:rPr>
        <w:t>预算支出绩效</w:t>
      </w:r>
      <w:r>
        <w:rPr>
          <w:rFonts w:hint="eastAsia" w:ascii="仿宋" w:hAnsi="仿宋" w:eastAsia="仿宋"/>
          <w:sz w:val="32"/>
          <w:szCs w:val="32"/>
        </w:rPr>
        <w:t>自评工作的通知》要求，我</w:t>
      </w:r>
      <w:r>
        <w:rPr>
          <w:rFonts w:hint="eastAsia" w:ascii="仿宋" w:hAnsi="仿宋" w:eastAsia="仿宋"/>
          <w:sz w:val="32"/>
          <w:szCs w:val="32"/>
          <w:lang w:eastAsia="zh-CN"/>
        </w:rPr>
        <w:t>局</w:t>
      </w:r>
      <w:r>
        <w:rPr>
          <w:rFonts w:hint="eastAsia" w:ascii="仿宋" w:hAnsi="仿宋" w:eastAsia="仿宋"/>
          <w:sz w:val="32"/>
          <w:szCs w:val="32"/>
        </w:rPr>
        <w:t>对202</w:t>
      </w:r>
      <w:r>
        <w:rPr>
          <w:rFonts w:hint="eastAsia" w:ascii="仿宋" w:hAnsi="仿宋" w:eastAsia="仿宋"/>
          <w:sz w:val="32"/>
          <w:szCs w:val="32"/>
          <w:lang w:val="en-US" w:eastAsia="zh-CN"/>
        </w:rPr>
        <w:t>3</w:t>
      </w:r>
      <w:r>
        <w:rPr>
          <w:rFonts w:hint="eastAsia" w:ascii="仿宋" w:hAnsi="仿宋" w:eastAsia="仿宋"/>
          <w:sz w:val="32"/>
          <w:szCs w:val="32"/>
        </w:rPr>
        <w:t>年度本单位整体支出进行了绩效自评，现将具体绩效评价情况报告如下：</w:t>
      </w:r>
      <w:r>
        <w:rPr>
          <w:rFonts w:hint="eastAsia" w:eastAsia="仿宋"/>
          <w:sz w:val="32"/>
          <w:szCs w:val="32"/>
        </w:rPr>
        <w:t>   </w:t>
      </w:r>
    </w:p>
    <w:p w14:paraId="433FCAE4">
      <w:pPr>
        <w:spacing w:line="560" w:lineRule="exact"/>
        <w:ind w:firstLine="640" w:firstLineChars="200"/>
        <w:rPr>
          <w:rFonts w:ascii="黑体" w:hAnsi="黑体" w:eastAsia="黑体" w:cs="迷你简黑体"/>
          <w:sz w:val="32"/>
          <w:szCs w:val="32"/>
        </w:rPr>
      </w:pPr>
      <w:r>
        <w:rPr>
          <w:rFonts w:hint="eastAsia" w:eastAsia="黑体"/>
          <w:sz w:val="32"/>
          <w:szCs w:val="32"/>
        </w:rPr>
        <w:t> </w:t>
      </w:r>
      <w:r>
        <w:rPr>
          <w:rFonts w:hint="eastAsia" w:ascii="黑体" w:hAnsi="黑体" w:eastAsia="黑体" w:cs="迷你简黑体"/>
          <w:sz w:val="32"/>
          <w:szCs w:val="32"/>
        </w:rPr>
        <w:t>一、基本情况</w:t>
      </w:r>
    </w:p>
    <w:p w14:paraId="2CBDD80C">
      <w:pPr>
        <w:spacing w:line="560" w:lineRule="exact"/>
        <w:rPr>
          <w:rFonts w:ascii="仿宋" w:hAnsi="仿宋" w:eastAsia="仿宋" w:cs="迷你简黑体"/>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珠晖区审计局</w:t>
      </w:r>
      <w:r>
        <w:rPr>
          <w:rFonts w:hint="eastAsia" w:ascii="仿宋" w:hAnsi="仿宋" w:eastAsia="仿宋"/>
          <w:sz w:val="32"/>
          <w:szCs w:val="32"/>
        </w:rPr>
        <w:t>为全额财政拨款单位，纳入财政会计集中核算和国库集中支付体系，财务制度执行《预算法》、《</w:t>
      </w:r>
      <w:r>
        <w:rPr>
          <w:rFonts w:hint="eastAsia" w:ascii="仿宋" w:hAnsi="仿宋" w:eastAsia="仿宋"/>
          <w:sz w:val="32"/>
          <w:szCs w:val="32"/>
          <w:lang w:eastAsia="zh-CN"/>
        </w:rPr>
        <w:t>政府</w:t>
      </w:r>
      <w:r>
        <w:rPr>
          <w:rFonts w:hint="eastAsia" w:ascii="仿宋" w:hAnsi="仿宋" w:eastAsia="仿宋"/>
          <w:sz w:val="32"/>
          <w:szCs w:val="32"/>
        </w:rPr>
        <w:t>会计制度》。</w:t>
      </w:r>
      <w:r>
        <w:rPr>
          <w:rFonts w:hint="eastAsia" w:ascii="仿宋" w:hAnsi="仿宋" w:eastAsia="仿宋" w:cs="迷你简黑体"/>
          <w:sz w:val="32"/>
          <w:szCs w:val="32"/>
        </w:rPr>
        <w:t xml:space="preserve"> </w:t>
      </w:r>
    </w:p>
    <w:p w14:paraId="795E81D3">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（一）机构设置情况</w:t>
      </w:r>
    </w:p>
    <w:p w14:paraId="10094CBC">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珠晖区审计局</w:t>
      </w:r>
      <w:r>
        <w:rPr>
          <w:rFonts w:hint="eastAsia" w:ascii="仿宋" w:hAnsi="仿宋" w:eastAsia="仿宋" w:cs="仿宋_GB2312"/>
          <w:sz w:val="32"/>
          <w:szCs w:val="32"/>
        </w:rPr>
        <w:t>内设机构</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w:t>
      </w:r>
      <w:r>
        <w:rPr>
          <w:rFonts w:hint="eastAsia" w:ascii="仿宋" w:hAnsi="仿宋" w:eastAsia="仿宋" w:cs="仿宋_GB2312"/>
          <w:sz w:val="32"/>
          <w:szCs w:val="32"/>
          <w:lang w:eastAsia="zh-CN"/>
        </w:rPr>
        <w:t>股</w:t>
      </w:r>
      <w:r>
        <w:rPr>
          <w:rFonts w:hint="eastAsia" w:ascii="仿宋" w:hAnsi="仿宋" w:eastAsia="仿宋" w:cs="仿宋"/>
          <w:color w:val="333333"/>
          <w:sz w:val="32"/>
          <w:szCs w:val="32"/>
          <w:lang w:eastAsia="zh-CN"/>
        </w:rPr>
        <w:t>室</w:t>
      </w:r>
      <w:r>
        <w:rPr>
          <w:rFonts w:hint="eastAsia" w:ascii="仿宋" w:hAnsi="仿宋" w:eastAsia="仿宋" w:cs="仿宋_GB2312"/>
          <w:sz w:val="32"/>
          <w:szCs w:val="32"/>
        </w:rPr>
        <w:t>。</w:t>
      </w:r>
    </w:p>
    <w:p w14:paraId="0E86CFA7">
      <w:pPr>
        <w:spacing w:line="560" w:lineRule="exact"/>
        <w:ind w:firstLine="643" w:firstLineChars="200"/>
        <w:rPr>
          <w:rFonts w:ascii="仿宋" w:hAnsi="仿宋" w:eastAsia="仿宋"/>
          <w:b/>
          <w:sz w:val="32"/>
          <w:szCs w:val="32"/>
        </w:rPr>
      </w:pPr>
      <w:r>
        <w:rPr>
          <w:rFonts w:hint="eastAsia" w:ascii="仿宋" w:hAnsi="仿宋" w:eastAsia="仿宋"/>
          <w:b/>
          <w:sz w:val="32"/>
          <w:szCs w:val="32"/>
        </w:rPr>
        <w:t>（二）主要工作职责</w:t>
      </w:r>
    </w:p>
    <w:p w14:paraId="076182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一）主管全区审计工作。负责对全区财政收支和法律法规规定属于审计监督范围的财务收支的真实、合法和效益进行审计监督，对公共资金、国有资产、国有资源和领导干部履行经济责任情况实行审计全覆盖，对领导干部实行自然资源资产离任审计，对中央、省委省政府、市委市政府、区委区政府有关重大政策措施贯彻落实情况进行跟踪审计。对审计、专项审计调查和核查社会审计机构相关审计报告的结果承担责任，并负有督促被审计单位整改的责任。</w:t>
      </w:r>
    </w:p>
    <w:p w14:paraId="4826E2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二）贯彻执行中央、省、市关于审计工作的方针、政策和法律法规，拟订全区审计工作政策，参与起草审计、财政经济有关规范性文件，制定审计业务规章制度，并监督执行。制定并组织实施全区审计工作发展规划和专业领域审计工作规划及年度审计计划。对直接审计、调查和核查的事项依法进行审计评价，做出审计决定或提出审计建议。</w:t>
      </w:r>
    </w:p>
    <w:p w14:paraId="47EC29E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三）向区委审计委员会提出年度区本级预算执行和其他财政收支的审计报告。向区政府提出年度区本级预算执行和其他财政收支情况的审计结果报告。受区府委托向区人大常委会提出区本级预算执行情况和其他财政收支情况的审计工作报告、审计查出问题整改情况报告。向区委、区政府报告对其他事项的审计和专项审计调查情况及结果。向区直有关部门、乡镇（街道）党委和政府通报审计情况和审计结果。</w:t>
      </w:r>
    </w:p>
    <w:p w14:paraId="5D3B76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四）负责对稳增长、促改革、调结构、惠民生、防风险等政策措施落实情况，以及公共资金、国有资产、国有资源进行审计，实现审计监督全覆盖。向区政府报告和向区直有关部门通报审计情况，提出制定和完善有关政策法规、宏观调控措施以及管理体制、机制的建议。</w:t>
      </w:r>
    </w:p>
    <w:p w14:paraId="245A52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五）直接审计下列事项，出具审计报告，在法定职权范围内做出审计决定或向有关主管机关提出处理处罚的建议：1.区本级财政预算执行情况和其他财政收支。2.乡(镇)政府财政决算和其他财政收支。3.区直各部门、事业单位及其下属单位预算执行情况、决算和其他财政收支。4.区属国有企业和融资平台、区属国有资本占控股或主导地位的企业和金融机构的资产、负债和损益情况。5.区政府部门管理的和其他单位受区政府委托管理的社会保障基金、社会捐赠资金以及其他有关基金、资金的财务收支。6.区政府投资和以区政府投资为主的建设项目的预算执行情况和工程决算情况，区重大公共工程项目的资金管理使用情况和建设运营情况。7.区政府接收的国际组织和外国政府援助、贷款项目以及赠款项目的财务收支。8.法律、法规规定应由区审计局审计的其他事项。</w:t>
      </w:r>
    </w:p>
    <w:p w14:paraId="57DF0E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（六）按规定对区管党政领导干部及依法属于区审计局监督对象的其他单位主要负责人实施经济责任审计和自然资源资产离任审计。</w:t>
      </w:r>
    </w:p>
    <w:p w14:paraId="2E4C64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七）负责城市建设、管理及公用企、事业单位的财务收支的审计监督，负责重大项目稽查，负责与建设项目有关的勘察、设计、施工、监理等财务收支的审计监督。负责职责范围内的政府投资建设项目工程结算和调整概算审计。组织建设项目专项审计或审计调查。</w:t>
      </w:r>
    </w:p>
    <w:p w14:paraId="61EE7B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（八）组织实施对国家财经法律、法规、规章、政策和宏观调控措施执行情况、财政预算管理或国有资产管理使用等与国家财政收支有关的特定事项进行专项审计调查。</w:t>
      </w:r>
    </w:p>
    <w:p w14:paraId="1462C5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（九）负责审计署、审计厅、市审计局授权的审计项目和专项审计调查项目以及国家重大政策措施和宏观调控部署落实情况的跟踪审计项目的组织实施。</w:t>
      </w:r>
    </w:p>
    <w:p w14:paraId="3846CB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（十）依法检查审计决定执行情况，督促整改审计发现的问题，依法办理被审计单位对审计决定提请行政复议、行政诉讼或行政裁决中的有关事项。协助配合有关部门查处相关重大案件。</w:t>
      </w:r>
    </w:p>
    <w:p w14:paraId="53702D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（十一）指导和监督内部审计和社会审计机构工作，对依法属于审计监督对象的单位的内部审计业务进行指导和监督，对依法属于审计机关审计监督对象的社会审计机构出具的审计报告进行核查。</w:t>
      </w:r>
    </w:p>
    <w:p w14:paraId="0FB0DD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（十二）组织审计我区驻外机构的财务收支，依法通过适当方式组织审计区属企业和金融机构的境外资产、负债和损益。</w:t>
      </w:r>
    </w:p>
    <w:p w14:paraId="53938AB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_GB2312"/>
          <w:kern w:val="2"/>
          <w:sz w:val="32"/>
          <w:szCs w:val="32"/>
          <w:lang w:val="en-US" w:eastAsia="zh-CN" w:bidi="ar-SA"/>
        </w:rPr>
      </w:pPr>
      <w:r>
        <w:rPr>
          <w:rFonts w:hint="eastAsia" w:ascii="仿宋" w:hAnsi="仿宋" w:eastAsia="仿宋" w:cs="仿宋_GB2312"/>
          <w:kern w:val="2"/>
          <w:sz w:val="32"/>
          <w:szCs w:val="32"/>
          <w:lang w:val="en-US" w:eastAsia="zh-CN" w:bidi="ar-SA"/>
        </w:rPr>
        <w:t>（十三）完成区委、区政府交办的其他任务。</w:t>
      </w:r>
    </w:p>
    <w:p w14:paraId="4174F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迷你简黑体"/>
          <w:bCs/>
          <w:sz w:val="32"/>
          <w:szCs w:val="32"/>
        </w:rPr>
      </w:pPr>
      <w:r>
        <w:rPr>
          <w:rFonts w:hint="eastAsia" w:ascii="仿宋" w:hAnsi="仿宋" w:eastAsia="仿宋" w:cs="仿宋_GB2312"/>
          <w:kern w:val="2"/>
          <w:sz w:val="32"/>
          <w:szCs w:val="32"/>
          <w:lang w:val="en-US" w:eastAsia="zh-CN" w:bidi="ar-SA"/>
        </w:rPr>
        <w:t>（十四）职能转变。进一步完善审计管理体制，理顺内部职责关系，构建集中统一、全面覆盖、权威高效的审计监督体系。优化审计工作机制，坚持科技强审，完善业务流程，改进工作方式，加强与相关部门的沟通协调，充分调动内部审计和社会审计力量，增强监督合力。</w:t>
      </w:r>
      <w:r>
        <w:rPr>
          <w:rFonts w:hint="eastAsia" w:ascii="仿宋" w:hAnsi="仿宋" w:eastAsia="仿宋" w:cs="迷你简黑体"/>
          <w:bCs/>
          <w:sz w:val="32"/>
          <w:szCs w:val="32"/>
        </w:rPr>
        <w:t xml:space="preserve">  </w:t>
      </w:r>
    </w:p>
    <w:p w14:paraId="4A748FF4">
      <w:pPr>
        <w:spacing w:line="560" w:lineRule="exact"/>
        <w:ind w:firstLine="640" w:firstLineChars="200"/>
        <w:rPr>
          <w:rFonts w:ascii="黑体" w:hAnsi="黑体" w:eastAsia="黑体" w:cs="迷你简黑体"/>
          <w:bCs/>
          <w:sz w:val="32"/>
          <w:szCs w:val="32"/>
        </w:rPr>
      </w:pPr>
      <w:r>
        <w:rPr>
          <w:rFonts w:hint="eastAsia" w:ascii="黑体" w:hAnsi="黑体" w:eastAsia="黑体" w:cs="迷你简黑体"/>
          <w:bCs/>
          <w:sz w:val="32"/>
          <w:szCs w:val="32"/>
        </w:rPr>
        <w:t>二、部门整体支出管理及使用情况</w:t>
      </w:r>
    </w:p>
    <w:p w14:paraId="23F9F543">
      <w:pPr>
        <w:spacing w:line="560" w:lineRule="exact"/>
        <w:ind w:firstLine="643" w:firstLineChars="200"/>
        <w:rPr>
          <w:rFonts w:ascii="仿宋" w:hAnsi="仿宋" w:eastAsia="仿宋"/>
          <w:b/>
          <w:sz w:val="32"/>
          <w:szCs w:val="32"/>
        </w:rPr>
      </w:pPr>
      <w:r>
        <w:rPr>
          <w:rFonts w:hint="eastAsia" w:ascii="仿宋" w:hAnsi="仿宋" w:eastAsia="仿宋"/>
          <w:b/>
          <w:sz w:val="32"/>
          <w:szCs w:val="32"/>
        </w:rPr>
        <w:t>（一）202</w:t>
      </w:r>
      <w:r>
        <w:rPr>
          <w:rFonts w:hint="eastAsia" w:ascii="仿宋" w:hAnsi="仿宋" w:eastAsia="仿宋"/>
          <w:b/>
          <w:sz w:val="32"/>
          <w:szCs w:val="32"/>
          <w:lang w:val="en-US" w:eastAsia="zh-CN"/>
        </w:rPr>
        <w:t>3</w:t>
      </w:r>
      <w:r>
        <w:rPr>
          <w:rFonts w:hint="eastAsia" w:ascii="仿宋" w:hAnsi="仿宋" w:eastAsia="仿宋"/>
          <w:b/>
          <w:sz w:val="32"/>
          <w:szCs w:val="32"/>
        </w:rPr>
        <w:t>年部门预算情况</w:t>
      </w:r>
    </w:p>
    <w:p w14:paraId="717C1414">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经本级部门预算批复，202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年单位预算总收入</w:t>
      </w:r>
      <w:r>
        <w:rPr>
          <w:rFonts w:hint="eastAsia" w:ascii="仿宋" w:hAnsi="仿宋" w:eastAsia="仿宋" w:cs="仿宋"/>
          <w:color w:val="333333"/>
          <w:sz w:val="32"/>
          <w:szCs w:val="32"/>
          <w:lang w:val="en-US" w:eastAsia="zh-CN"/>
        </w:rPr>
        <w:t>234.06</w:t>
      </w:r>
      <w:r>
        <w:rPr>
          <w:rFonts w:hint="eastAsia" w:ascii="仿宋" w:hAnsi="仿宋" w:eastAsia="仿宋" w:cs="仿宋"/>
          <w:color w:val="333333"/>
          <w:sz w:val="32"/>
          <w:szCs w:val="32"/>
        </w:rPr>
        <w:t>万元，其中：经费拨款</w:t>
      </w:r>
      <w:r>
        <w:rPr>
          <w:rFonts w:hint="eastAsia" w:ascii="仿宋" w:hAnsi="仿宋" w:eastAsia="仿宋" w:cs="仿宋"/>
          <w:color w:val="333333"/>
          <w:sz w:val="32"/>
          <w:szCs w:val="32"/>
          <w:lang w:val="en-US" w:eastAsia="zh-CN"/>
        </w:rPr>
        <w:t>234.06</w:t>
      </w:r>
      <w:r>
        <w:rPr>
          <w:rFonts w:hint="eastAsia" w:ascii="仿宋" w:hAnsi="仿宋" w:eastAsia="仿宋" w:cs="仿宋"/>
          <w:color w:val="333333"/>
          <w:sz w:val="32"/>
          <w:szCs w:val="32"/>
        </w:rPr>
        <w:t>万元。</w:t>
      </w:r>
    </w:p>
    <w:p w14:paraId="37A728AA">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年单位预算总支出</w:t>
      </w:r>
      <w:r>
        <w:rPr>
          <w:rFonts w:hint="eastAsia" w:ascii="仿宋" w:hAnsi="仿宋" w:eastAsia="仿宋" w:cs="仿宋"/>
          <w:color w:val="333333"/>
          <w:sz w:val="32"/>
          <w:szCs w:val="32"/>
          <w:lang w:val="en-US" w:eastAsia="zh-CN"/>
        </w:rPr>
        <w:t>234.06</w:t>
      </w:r>
      <w:r>
        <w:rPr>
          <w:rFonts w:hint="eastAsia" w:ascii="仿宋" w:hAnsi="仿宋" w:eastAsia="仿宋" w:cs="仿宋"/>
          <w:color w:val="333333"/>
          <w:sz w:val="32"/>
          <w:szCs w:val="32"/>
        </w:rPr>
        <w:t>万元，其中：工资福利支出</w:t>
      </w:r>
      <w:r>
        <w:rPr>
          <w:rFonts w:hint="eastAsia" w:ascii="仿宋" w:hAnsi="仿宋" w:eastAsia="仿宋" w:cs="仿宋"/>
          <w:color w:val="333333"/>
          <w:sz w:val="32"/>
          <w:szCs w:val="32"/>
          <w:lang w:val="en-US" w:eastAsia="zh-CN"/>
        </w:rPr>
        <w:t>184.16</w:t>
      </w:r>
      <w:r>
        <w:rPr>
          <w:rFonts w:hint="eastAsia" w:ascii="仿宋" w:hAnsi="仿宋" w:eastAsia="仿宋" w:cs="仿宋"/>
          <w:color w:val="333333"/>
          <w:sz w:val="32"/>
          <w:szCs w:val="32"/>
        </w:rPr>
        <w:t>万元，对个人和家庭的补助</w:t>
      </w:r>
      <w:r>
        <w:rPr>
          <w:rFonts w:hint="eastAsia" w:ascii="仿宋" w:hAnsi="仿宋" w:eastAsia="仿宋" w:cs="仿宋"/>
          <w:color w:val="333333"/>
          <w:sz w:val="32"/>
          <w:szCs w:val="32"/>
          <w:lang w:val="en-US" w:eastAsia="zh-CN"/>
        </w:rPr>
        <w:t>3.89</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一般商品和服务支出</w:t>
      </w:r>
      <w:r>
        <w:rPr>
          <w:rFonts w:hint="eastAsia" w:ascii="仿宋" w:hAnsi="仿宋" w:eastAsia="仿宋" w:cs="仿宋"/>
          <w:color w:val="333333"/>
          <w:sz w:val="32"/>
          <w:szCs w:val="32"/>
          <w:lang w:val="en-US" w:eastAsia="zh-CN"/>
        </w:rPr>
        <w:t>18.51</w:t>
      </w:r>
      <w:r>
        <w:rPr>
          <w:rFonts w:hint="eastAsia" w:ascii="仿宋" w:hAnsi="仿宋" w:eastAsia="仿宋" w:cs="仿宋"/>
          <w:color w:val="333333"/>
          <w:sz w:val="32"/>
          <w:szCs w:val="32"/>
        </w:rPr>
        <w:t>万元，项目支出</w:t>
      </w:r>
      <w:r>
        <w:rPr>
          <w:rFonts w:hint="eastAsia" w:ascii="仿宋" w:hAnsi="仿宋" w:eastAsia="仿宋" w:cs="仿宋"/>
          <w:color w:val="333333"/>
          <w:sz w:val="32"/>
          <w:szCs w:val="32"/>
          <w:lang w:val="en-US" w:eastAsia="zh-CN"/>
        </w:rPr>
        <w:t>27.5</w:t>
      </w:r>
      <w:r>
        <w:rPr>
          <w:rFonts w:hint="eastAsia" w:ascii="仿宋" w:hAnsi="仿宋" w:eastAsia="仿宋" w:cs="仿宋"/>
          <w:color w:val="333333"/>
          <w:sz w:val="32"/>
          <w:szCs w:val="32"/>
        </w:rPr>
        <w:t>万元。</w:t>
      </w:r>
    </w:p>
    <w:p w14:paraId="017C5309">
      <w:pPr>
        <w:spacing w:line="560" w:lineRule="exact"/>
        <w:ind w:firstLine="643" w:firstLineChars="200"/>
        <w:rPr>
          <w:rFonts w:ascii="仿宋" w:hAnsi="仿宋" w:eastAsia="仿宋"/>
          <w:b/>
          <w:sz w:val="32"/>
          <w:szCs w:val="32"/>
        </w:rPr>
      </w:pPr>
      <w:r>
        <w:rPr>
          <w:rFonts w:hint="eastAsia" w:ascii="仿宋" w:hAnsi="仿宋" w:eastAsia="仿宋"/>
          <w:b/>
          <w:sz w:val="32"/>
          <w:szCs w:val="32"/>
        </w:rPr>
        <w:t>（二）202</w:t>
      </w:r>
      <w:r>
        <w:rPr>
          <w:rFonts w:hint="eastAsia" w:ascii="仿宋" w:hAnsi="仿宋" w:eastAsia="仿宋"/>
          <w:b/>
          <w:sz w:val="32"/>
          <w:szCs w:val="32"/>
          <w:lang w:val="en-US" w:eastAsia="zh-CN"/>
        </w:rPr>
        <w:t>3</w:t>
      </w:r>
      <w:r>
        <w:rPr>
          <w:rFonts w:hint="eastAsia" w:ascii="仿宋" w:hAnsi="仿宋" w:eastAsia="仿宋"/>
          <w:b/>
          <w:sz w:val="32"/>
          <w:szCs w:val="32"/>
        </w:rPr>
        <w:t>年部门决算情况</w:t>
      </w:r>
    </w:p>
    <w:p w14:paraId="01ACB219">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本年总收入338.08万元，其中：财政拔款收入</w:t>
      </w:r>
      <w:r>
        <w:rPr>
          <w:rFonts w:hint="eastAsia" w:ascii="仿宋" w:hAnsi="仿宋" w:eastAsia="仿宋" w:cs="仿宋"/>
          <w:color w:val="333333"/>
          <w:sz w:val="32"/>
          <w:szCs w:val="32"/>
          <w:lang w:val="en-US" w:eastAsia="zh-CN"/>
        </w:rPr>
        <w:t>223.74</w:t>
      </w:r>
      <w:r>
        <w:rPr>
          <w:rFonts w:hint="eastAsia" w:ascii="仿宋" w:hAnsi="仿宋" w:eastAsia="仿宋" w:cs="仿宋"/>
          <w:color w:val="333333"/>
          <w:sz w:val="32"/>
          <w:szCs w:val="32"/>
        </w:rPr>
        <w:t>万元，其他收入</w:t>
      </w:r>
      <w:r>
        <w:rPr>
          <w:rFonts w:hint="eastAsia" w:ascii="仿宋" w:hAnsi="仿宋" w:eastAsia="仿宋" w:cs="仿宋"/>
          <w:color w:val="333333"/>
          <w:sz w:val="32"/>
          <w:szCs w:val="32"/>
          <w:lang w:val="en-US" w:eastAsia="zh-CN"/>
        </w:rPr>
        <w:t>114.33</w:t>
      </w:r>
      <w:r>
        <w:rPr>
          <w:rFonts w:hint="eastAsia" w:ascii="仿宋" w:hAnsi="仿宋" w:eastAsia="仿宋" w:cs="仿宋"/>
          <w:color w:val="333333"/>
          <w:sz w:val="32"/>
          <w:szCs w:val="32"/>
        </w:rPr>
        <w:t>万元。</w:t>
      </w:r>
    </w:p>
    <w:p w14:paraId="69B1077E">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本年总支出338.08万元，其中：工资福利支出</w:t>
      </w:r>
      <w:r>
        <w:rPr>
          <w:rFonts w:hint="eastAsia" w:ascii="仿宋" w:hAnsi="仿宋" w:eastAsia="仿宋" w:cs="仿宋"/>
          <w:color w:val="auto"/>
          <w:sz w:val="32"/>
          <w:szCs w:val="32"/>
          <w:lang w:val="en-US" w:eastAsia="zh-CN"/>
        </w:rPr>
        <w:t>180.92</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53.51</w:t>
      </w:r>
      <w:r>
        <w:rPr>
          <w:rFonts w:hint="eastAsia" w:ascii="仿宋" w:hAnsi="仿宋" w:eastAsia="仿宋" w:cs="仿宋"/>
          <w:color w:val="333333"/>
          <w:sz w:val="32"/>
          <w:szCs w:val="32"/>
        </w:rPr>
        <w:t>%，对个人和家庭的补助</w:t>
      </w:r>
      <w:r>
        <w:rPr>
          <w:rFonts w:hint="eastAsia" w:ascii="仿宋" w:hAnsi="仿宋" w:eastAsia="仿宋" w:cs="仿宋"/>
          <w:color w:val="333333"/>
          <w:sz w:val="32"/>
          <w:szCs w:val="32"/>
          <w:lang w:val="en-US" w:eastAsia="zh-CN"/>
        </w:rPr>
        <w:t>4万元，</w:t>
      </w:r>
      <w:r>
        <w:rPr>
          <w:rFonts w:hint="eastAsia" w:ascii="仿宋" w:hAnsi="仿宋" w:eastAsia="仿宋" w:cs="仿宋"/>
          <w:color w:val="333333"/>
          <w:sz w:val="32"/>
          <w:szCs w:val="32"/>
        </w:rPr>
        <w:t>占总支出</w:t>
      </w:r>
      <w:r>
        <w:rPr>
          <w:rFonts w:hint="eastAsia" w:ascii="仿宋" w:hAnsi="仿宋" w:eastAsia="仿宋" w:cs="仿宋"/>
          <w:color w:val="333333"/>
          <w:sz w:val="32"/>
          <w:szCs w:val="32"/>
          <w:lang w:val="en-US" w:eastAsia="zh-CN"/>
        </w:rPr>
        <w:t>1.18</w:t>
      </w:r>
      <w:r>
        <w:rPr>
          <w:rFonts w:hint="eastAsia" w:ascii="仿宋" w:hAnsi="仿宋" w:eastAsia="仿宋" w:cs="仿宋"/>
          <w:color w:val="333333"/>
          <w:sz w:val="32"/>
          <w:szCs w:val="32"/>
        </w:rPr>
        <w:t>%，日常公用经费支出</w:t>
      </w:r>
      <w:r>
        <w:rPr>
          <w:rFonts w:hint="eastAsia" w:ascii="仿宋" w:hAnsi="仿宋" w:eastAsia="仿宋" w:cs="仿宋"/>
          <w:color w:val="333333"/>
          <w:sz w:val="32"/>
          <w:szCs w:val="32"/>
          <w:lang w:val="en-US" w:eastAsia="zh-CN"/>
        </w:rPr>
        <w:t>12.59</w:t>
      </w:r>
      <w:r>
        <w:rPr>
          <w:rFonts w:hint="eastAsia" w:ascii="仿宋" w:hAnsi="仿宋" w:eastAsia="仿宋" w:cs="仿宋"/>
          <w:color w:val="333333"/>
          <w:sz w:val="32"/>
          <w:szCs w:val="32"/>
        </w:rPr>
        <w:t>万元，占总支</w:t>
      </w:r>
      <w:r>
        <w:rPr>
          <w:rFonts w:hint="eastAsia" w:ascii="仿宋" w:hAnsi="仿宋" w:eastAsia="仿宋" w:cs="仿宋"/>
          <w:color w:val="333333"/>
          <w:sz w:val="32"/>
          <w:szCs w:val="32"/>
          <w:lang w:val="en-US" w:eastAsia="zh-CN"/>
        </w:rPr>
        <w:t>3.72</w:t>
      </w:r>
      <w:r>
        <w:rPr>
          <w:rFonts w:hint="eastAsia" w:ascii="仿宋" w:hAnsi="仿宋" w:eastAsia="仿宋" w:cs="仿宋"/>
          <w:color w:val="333333"/>
          <w:sz w:val="32"/>
          <w:szCs w:val="32"/>
        </w:rPr>
        <w:t>%，项目支出</w:t>
      </w:r>
      <w:r>
        <w:rPr>
          <w:rFonts w:hint="eastAsia" w:ascii="仿宋" w:hAnsi="仿宋" w:eastAsia="仿宋" w:cs="仿宋"/>
          <w:color w:val="333333"/>
          <w:sz w:val="32"/>
          <w:szCs w:val="32"/>
          <w:lang w:val="en-US" w:eastAsia="zh-CN"/>
        </w:rPr>
        <w:t>140.57</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41.58</w:t>
      </w:r>
      <w:r>
        <w:rPr>
          <w:rFonts w:hint="eastAsia" w:ascii="仿宋" w:hAnsi="仿宋" w:eastAsia="仿宋" w:cs="仿宋"/>
          <w:color w:val="333333"/>
          <w:sz w:val="32"/>
          <w:szCs w:val="32"/>
        </w:rPr>
        <w:t>%。</w:t>
      </w:r>
    </w:p>
    <w:p w14:paraId="24FB229F">
      <w:pPr>
        <w:spacing w:line="560" w:lineRule="exact"/>
        <w:ind w:firstLine="643" w:firstLineChars="200"/>
        <w:rPr>
          <w:rFonts w:ascii="仿宋" w:hAnsi="仿宋" w:eastAsia="仿宋"/>
          <w:b/>
          <w:sz w:val="32"/>
          <w:szCs w:val="32"/>
        </w:rPr>
      </w:pPr>
      <w:r>
        <w:rPr>
          <w:rFonts w:hint="eastAsia" w:ascii="仿宋" w:hAnsi="仿宋" w:eastAsia="仿宋"/>
          <w:b/>
          <w:sz w:val="32"/>
          <w:szCs w:val="32"/>
        </w:rPr>
        <w:t>（三）202</w:t>
      </w:r>
      <w:r>
        <w:rPr>
          <w:rFonts w:hint="eastAsia" w:ascii="仿宋" w:hAnsi="仿宋" w:eastAsia="仿宋"/>
          <w:b/>
          <w:sz w:val="32"/>
          <w:szCs w:val="32"/>
          <w:lang w:val="en-US" w:eastAsia="zh-CN"/>
        </w:rPr>
        <w:t>3</w:t>
      </w:r>
      <w:r>
        <w:rPr>
          <w:rFonts w:hint="eastAsia" w:ascii="仿宋" w:hAnsi="仿宋" w:eastAsia="仿宋"/>
          <w:b/>
          <w:sz w:val="32"/>
          <w:szCs w:val="32"/>
        </w:rPr>
        <w:t>年支出分类情况</w:t>
      </w:r>
    </w:p>
    <w:p w14:paraId="5F166B3B">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1.基本支出情况。</w:t>
      </w:r>
    </w:p>
    <w:p w14:paraId="49088E6E">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基本支出范围和主要用途包括：人员经费和日常公用经费。本级基本支出总额</w:t>
      </w:r>
      <w:r>
        <w:rPr>
          <w:rFonts w:hint="eastAsia" w:ascii="仿宋" w:hAnsi="仿宋" w:eastAsia="仿宋"/>
          <w:sz w:val="32"/>
          <w:szCs w:val="32"/>
          <w:lang w:val="en-US" w:eastAsia="zh-CN"/>
        </w:rPr>
        <w:t>197.51</w:t>
      </w:r>
      <w:r>
        <w:rPr>
          <w:rFonts w:hint="eastAsia" w:ascii="仿宋" w:hAnsi="仿宋" w:eastAsia="仿宋"/>
          <w:sz w:val="32"/>
          <w:szCs w:val="32"/>
        </w:rPr>
        <w:t>万元，其中：工资福利支出</w:t>
      </w:r>
      <w:r>
        <w:rPr>
          <w:rFonts w:hint="eastAsia" w:ascii="仿宋" w:hAnsi="仿宋" w:eastAsia="仿宋" w:cs="仿宋"/>
          <w:color w:val="auto"/>
          <w:sz w:val="32"/>
          <w:szCs w:val="32"/>
          <w:lang w:val="en-US" w:eastAsia="zh-CN"/>
        </w:rPr>
        <w:t>180.92</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cs="仿宋"/>
          <w:color w:val="333333"/>
          <w:sz w:val="32"/>
          <w:szCs w:val="32"/>
        </w:rPr>
        <w:t>对个人和家庭的补助</w:t>
      </w:r>
      <w:r>
        <w:rPr>
          <w:rFonts w:hint="eastAsia" w:ascii="仿宋" w:hAnsi="仿宋" w:eastAsia="仿宋" w:cs="仿宋"/>
          <w:color w:val="333333"/>
          <w:sz w:val="32"/>
          <w:szCs w:val="32"/>
          <w:lang w:val="en-US" w:eastAsia="zh-CN"/>
        </w:rPr>
        <w:t>4万元</w:t>
      </w:r>
      <w:r>
        <w:rPr>
          <w:rFonts w:hint="eastAsia" w:ascii="仿宋" w:hAnsi="仿宋" w:eastAsia="仿宋"/>
          <w:sz w:val="32"/>
          <w:szCs w:val="32"/>
        </w:rPr>
        <w:t>；</w:t>
      </w:r>
      <w:r>
        <w:rPr>
          <w:rFonts w:hint="eastAsia" w:ascii="仿宋" w:hAnsi="仿宋" w:eastAsia="仿宋"/>
          <w:sz w:val="32"/>
          <w:szCs w:val="32"/>
          <w:lang w:val="en-US" w:eastAsia="zh-CN"/>
        </w:rPr>
        <w:t>公用经费支出</w:t>
      </w:r>
      <w:r>
        <w:rPr>
          <w:rFonts w:hint="eastAsia" w:ascii="仿宋" w:hAnsi="仿宋" w:eastAsia="仿宋" w:cs="仿宋"/>
          <w:color w:val="333333"/>
          <w:sz w:val="32"/>
          <w:szCs w:val="32"/>
          <w:lang w:val="en-US" w:eastAsia="zh-CN"/>
        </w:rPr>
        <w:t>12.59</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系保障我</w:t>
      </w:r>
      <w:r>
        <w:rPr>
          <w:rFonts w:hint="eastAsia" w:ascii="仿宋" w:hAnsi="仿宋" w:eastAsia="仿宋"/>
          <w:sz w:val="32"/>
          <w:szCs w:val="32"/>
          <w:lang w:eastAsia="zh-CN"/>
        </w:rPr>
        <w:t>局</w:t>
      </w:r>
      <w:r>
        <w:rPr>
          <w:rFonts w:hint="eastAsia" w:ascii="仿宋" w:hAnsi="仿宋" w:eastAsia="仿宋"/>
          <w:sz w:val="32"/>
          <w:szCs w:val="32"/>
        </w:rPr>
        <w:t>正常运转，完成日常工作任务发生的各项支出，主要用于干部职工工资、津补贴、</w:t>
      </w:r>
      <w:r>
        <w:rPr>
          <w:rFonts w:hint="eastAsia" w:ascii="仿宋" w:hAnsi="仿宋" w:eastAsia="仿宋"/>
          <w:sz w:val="32"/>
          <w:szCs w:val="32"/>
          <w:lang w:val="en-US" w:eastAsia="zh-CN"/>
        </w:rPr>
        <w:t>绩效奖金、</w:t>
      </w:r>
      <w:r>
        <w:rPr>
          <w:rFonts w:hint="eastAsia" w:ascii="仿宋" w:hAnsi="仿宋" w:eastAsia="仿宋"/>
          <w:sz w:val="32"/>
          <w:szCs w:val="32"/>
        </w:rPr>
        <w:t>办公费、差旅费和办公设备购置等日常公用经费的开支。</w:t>
      </w:r>
    </w:p>
    <w:p w14:paraId="3663E5ED">
      <w:pPr>
        <w:autoSpaceDE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2、专项支出情况</w:t>
      </w:r>
    </w:p>
    <w:p w14:paraId="33D75F89">
      <w:pPr>
        <w:autoSpaceDE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年初预算为</w:t>
      </w:r>
      <w:r>
        <w:rPr>
          <w:rFonts w:hint="eastAsia" w:ascii="仿宋" w:hAnsi="仿宋" w:eastAsia="仿宋"/>
          <w:sz w:val="32"/>
          <w:szCs w:val="32"/>
          <w:lang w:val="en-US" w:eastAsia="zh-CN"/>
        </w:rPr>
        <w:t>27.5</w:t>
      </w:r>
      <w:r>
        <w:rPr>
          <w:rFonts w:hint="eastAsia" w:ascii="仿宋" w:hAnsi="仿宋" w:eastAsia="仿宋"/>
          <w:sz w:val="32"/>
          <w:szCs w:val="32"/>
        </w:rPr>
        <w:t>万元，实际拨付为</w:t>
      </w:r>
      <w:r>
        <w:rPr>
          <w:rFonts w:hint="eastAsia" w:ascii="仿宋" w:hAnsi="仿宋" w:eastAsia="仿宋" w:cs="仿宋"/>
          <w:color w:val="333333"/>
          <w:sz w:val="32"/>
          <w:szCs w:val="32"/>
          <w:lang w:val="en-US" w:eastAsia="zh-CN"/>
        </w:rPr>
        <w:t>140.57</w:t>
      </w:r>
      <w:r>
        <w:rPr>
          <w:rFonts w:hint="eastAsia" w:ascii="仿宋" w:hAnsi="仿宋" w:eastAsia="仿宋"/>
          <w:sz w:val="32"/>
          <w:szCs w:val="32"/>
        </w:rPr>
        <w:t>万元</w:t>
      </w:r>
      <w:r>
        <w:rPr>
          <w:rFonts w:hint="eastAsia" w:ascii="仿宋" w:hAnsi="仿宋" w:eastAsia="仿宋"/>
          <w:sz w:val="32"/>
          <w:szCs w:val="32"/>
          <w:lang w:eastAsia="zh-CN"/>
        </w:rPr>
        <w:t>。</w:t>
      </w:r>
    </w:p>
    <w:p w14:paraId="597B340E">
      <w:pPr>
        <w:autoSpaceDE w:val="0"/>
        <w:spacing w:line="560" w:lineRule="exact"/>
        <w:ind w:firstLine="643" w:firstLineChars="200"/>
        <w:rPr>
          <w:rFonts w:ascii="仿宋" w:hAnsi="仿宋" w:eastAsia="仿宋"/>
          <w:b/>
          <w:sz w:val="32"/>
          <w:szCs w:val="32"/>
        </w:rPr>
      </w:pPr>
      <w:r>
        <w:rPr>
          <w:rFonts w:hint="eastAsia" w:ascii="仿宋" w:hAnsi="仿宋" w:eastAsia="仿宋"/>
          <w:b/>
          <w:sz w:val="32"/>
          <w:szCs w:val="32"/>
        </w:rPr>
        <w:t>（四）“三公”经费情况</w:t>
      </w:r>
    </w:p>
    <w:p w14:paraId="01CE34DF">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32"/>
        </w:rPr>
        <w:t>202</w:t>
      </w:r>
      <w:r>
        <w:rPr>
          <w:rFonts w:hint="default" w:ascii="仿宋" w:hAnsi="仿宋" w:eastAsia="仿宋" w:cs="仿宋"/>
          <w:sz w:val="32"/>
          <w:szCs w:val="32"/>
          <w:lang w:val="en-US" w:eastAsia="zh-CN"/>
        </w:rPr>
        <w:t>3</w:t>
      </w:r>
      <w:r>
        <w:rPr>
          <w:rFonts w:hint="eastAsia" w:ascii="仿宋" w:hAnsi="仿宋" w:eastAsia="仿宋" w:cs="仿宋"/>
          <w:sz w:val="32"/>
          <w:szCs w:val="32"/>
        </w:rPr>
        <w:t>年，我</w:t>
      </w:r>
      <w:r>
        <w:rPr>
          <w:rFonts w:hint="eastAsia" w:ascii="仿宋" w:hAnsi="仿宋" w:eastAsia="仿宋" w:cs="仿宋"/>
          <w:sz w:val="32"/>
          <w:szCs w:val="32"/>
          <w:lang w:eastAsia="zh-CN"/>
        </w:rPr>
        <w:t>局</w:t>
      </w:r>
      <w:r>
        <w:rPr>
          <w:rFonts w:hint="eastAsia" w:ascii="仿宋" w:hAnsi="仿宋" w:eastAsia="仿宋" w:cs="仿宋"/>
          <w:sz w:val="32"/>
          <w:szCs w:val="32"/>
        </w:rPr>
        <w:t>“三公”经费均控制在预算范围内，实际支出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万元，202</w:t>
      </w:r>
      <w:r>
        <w:rPr>
          <w:rFonts w:hint="default" w:ascii="仿宋" w:hAnsi="仿宋" w:eastAsia="仿宋" w:cs="仿宋"/>
          <w:sz w:val="32"/>
          <w:szCs w:val="32"/>
          <w:lang w:val="en-US"/>
        </w:rPr>
        <w:t>3</w:t>
      </w:r>
      <w:r>
        <w:rPr>
          <w:rFonts w:hint="eastAsia" w:ascii="仿宋" w:hAnsi="仿宋" w:eastAsia="仿宋" w:cs="仿宋"/>
          <w:sz w:val="32"/>
          <w:szCs w:val="32"/>
        </w:rPr>
        <w:t>年公务接待费</w:t>
      </w:r>
      <w:r>
        <w:rPr>
          <w:rFonts w:hint="eastAsia" w:ascii="仿宋" w:hAnsi="仿宋" w:eastAsia="仿宋" w:cs="仿宋"/>
          <w:sz w:val="32"/>
          <w:szCs w:val="32"/>
          <w:lang w:eastAsia="zh-CN"/>
        </w:rPr>
        <w:t>与</w:t>
      </w:r>
      <w:r>
        <w:rPr>
          <w:rFonts w:hint="eastAsia" w:ascii="仿宋" w:hAnsi="仿宋" w:eastAsia="仿宋" w:cs="仿宋"/>
          <w:sz w:val="32"/>
          <w:szCs w:val="32"/>
        </w:rPr>
        <w:t>上年</w:t>
      </w:r>
      <w:r>
        <w:rPr>
          <w:rFonts w:hint="eastAsia" w:ascii="仿宋" w:hAnsi="仿宋" w:eastAsia="仿宋" w:cs="仿宋"/>
          <w:sz w:val="32"/>
          <w:szCs w:val="32"/>
          <w:lang w:val="en-US" w:eastAsia="zh-CN"/>
        </w:rPr>
        <w:t>持平。</w:t>
      </w:r>
    </w:p>
    <w:p w14:paraId="56820CB0">
      <w:pPr>
        <w:autoSpaceDE w:val="0"/>
        <w:spacing w:line="560" w:lineRule="exact"/>
        <w:ind w:firstLine="640" w:firstLineChars="200"/>
        <w:rPr>
          <w:rFonts w:ascii="黑体" w:hAnsi="黑体" w:eastAsia="黑体" w:cs="仿宋"/>
          <w:color w:val="333333"/>
          <w:kern w:val="0"/>
          <w:sz w:val="32"/>
          <w:szCs w:val="32"/>
        </w:rPr>
      </w:pPr>
      <w:r>
        <w:rPr>
          <w:rFonts w:hint="eastAsia" w:ascii="黑体" w:hAnsi="黑体" w:eastAsia="黑体" w:cs="仿宋"/>
          <w:color w:val="333333"/>
          <w:kern w:val="0"/>
          <w:sz w:val="32"/>
          <w:szCs w:val="32"/>
        </w:rPr>
        <w:t>三、部门专项组织实施情况</w:t>
      </w:r>
    </w:p>
    <w:p w14:paraId="2D956414">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财务管理严格依法依规，做到公开公平公正，在严格执行各项有关法律法规、财经纪律、财务规章制度的同时，根据单位自身情况结合各项规定编制了《</w:t>
      </w:r>
      <w:r>
        <w:rPr>
          <w:rFonts w:hint="eastAsia" w:ascii="仿宋" w:hAnsi="仿宋" w:eastAsia="仿宋"/>
          <w:sz w:val="32"/>
          <w:szCs w:val="32"/>
          <w:lang w:eastAsia="zh-CN"/>
        </w:rPr>
        <w:t>珠晖区审计局</w:t>
      </w:r>
      <w:r>
        <w:rPr>
          <w:rFonts w:hint="eastAsia" w:ascii="仿宋" w:hAnsi="仿宋" w:eastAsia="仿宋"/>
          <w:sz w:val="32"/>
          <w:szCs w:val="32"/>
        </w:rPr>
        <w:t>内部控制手册》，系统阐述了预（决）算、政府采购、国库集中支付、专项资金等管理办法和操作规程。</w:t>
      </w:r>
    </w:p>
    <w:p w14:paraId="46115326">
      <w:pPr>
        <w:spacing w:line="560" w:lineRule="exact"/>
        <w:ind w:firstLine="640" w:firstLineChars="200"/>
        <w:rPr>
          <w:rFonts w:ascii="黑体" w:hAnsi="黑体" w:eastAsia="黑体" w:cs="仿宋"/>
          <w:color w:val="333333"/>
          <w:kern w:val="0"/>
          <w:sz w:val="32"/>
          <w:szCs w:val="32"/>
        </w:rPr>
      </w:pPr>
      <w:r>
        <w:rPr>
          <w:rFonts w:hint="eastAsia" w:ascii="黑体" w:hAnsi="黑体" w:eastAsia="黑体" w:cs="仿宋"/>
          <w:color w:val="333333"/>
          <w:kern w:val="0"/>
          <w:sz w:val="32"/>
          <w:szCs w:val="32"/>
        </w:rPr>
        <w:t>四、部门整体支出绩效指标评价情况</w:t>
      </w:r>
    </w:p>
    <w:p w14:paraId="2BD3AA87">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年，根据</w:t>
      </w:r>
      <w:r>
        <w:rPr>
          <w:rFonts w:hint="eastAsia" w:ascii="仿宋" w:hAnsi="仿宋" w:eastAsia="仿宋"/>
          <w:sz w:val="32"/>
          <w:szCs w:val="32"/>
          <w:lang w:eastAsia="zh-CN"/>
        </w:rPr>
        <w:t>我局</w:t>
      </w:r>
      <w:r>
        <w:rPr>
          <w:rFonts w:hint="eastAsia" w:ascii="仿宋" w:hAnsi="仿宋" w:eastAsia="仿宋"/>
          <w:sz w:val="32"/>
          <w:szCs w:val="32"/>
        </w:rPr>
        <w:t>年初工作规划和重点性工作，围绕</w:t>
      </w:r>
      <w:r>
        <w:rPr>
          <w:rFonts w:hint="eastAsia" w:ascii="仿宋" w:hAnsi="仿宋" w:eastAsia="仿宋"/>
          <w:sz w:val="32"/>
          <w:szCs w:val="32"/>
          <w:lang w:eastAsia="zh-CN"/>
        </w:rPr>
        <w:t>区委</w:t>
      </w:r>
      <w:r>
        <w:rPr>
          <w:rFonts w:hint="eastAsia" w:ascii="仿宋" w:hAnsi="仿宋" w:eastAsia="仿宋"/>
          <w:sz w:val="32"/>
          <w:szCs w:val="32"/>
        </w:rPr>
        <w:t>、</w:t>
      </w:r>
      <w:r>
        <w:rPr>
          <w:rFonts w:hint="eastAsia" w:ascii="仿宋" w:hAnsi="仿宋" w:eastAsia="仿宋"/>
          <w:sz w:val="32"/>
          <w:szCs w:val="32"/>
          <w:lang w:eastAsia="zh-CN"/>
        </w:rPr>
        <w:t>区政府</w:t>
      </w:r>
      <w:r>
        <w:rPr>
          <w:rFonts w:hint="eastAsia" w:ascii="仿宋" w:hAnsi="仿宋" w:eastAsia="仿宋"/>
          <w:sz w:val="32"/>
          <w:szCs w:val="32"/>
        </w:rPr>
        <w:t>中心工作，积极履职，强化管理，较好的完成了年度工作目标。通过加强预算收支的管理，不断建立健全内部管理制度，理顺内部管理流程，部门整体支出管理情况得到了提升。部门整体支出绩效情况如下：</w:t>
      </w:r>
    </w:p>
    <w:p w14:paraId="47EB5085">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1、在职人员控制率：100%。</w:t>
      </w:r>
    </w:p>
    <w:p w14:paraId="71EFA809">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2、“三公经费”控制率：</w:t>
      </w:r>
      <w:r>
        <w:rPr>
          <w:rFonts w:hint="eastAsia" w:ascii="仿宋" w:hAnsi="仿宋" w:eastAsia="仿宋"/>
          <w:sz w:val="32"/>
          <w:szCs w:val="32"/>
          <w:lang w:val="en-US" w:eastAsia="zh-CN"/>
        </w:rPr>
        <w:t>10</w:t>
      </w:r>
      <w:r>
        <w:rPr>
          <w:rFonts w:hint="eastAsia" w:ascii="仿宋" w:hAnsi="仿宋" w:eastAsia="仿宋"/>
          <w:sz w:val="32"/>
          <w:szCs w:val="32"/>
        </w:rPr>
        <w:t>0%。严格控制“三公经费”支出，开源节流。</w:t>
      </w:r>
    </w:p>
    <w:p w14:paraId="25F140AB">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3、预算完成率：</w:t>
      </w:r>
      <w:r>
        <w:rPr>
          <w:rFonts w:hint="eastAsia" w:ascii="仿宋" w:hAnsi="仿宋" w:eastAsia="仿宋"/>
          <w:sz w:val="32"/>
          <w:szCs w:val="32"/>
          <w:lang w:val="en-US" w:eastAsia="zh-CN"/>
        </w:rPr>
        <w:t>88.34</w:t>
      </w:r>
      <w:r>
        <w:rPr>
          <w:rFonts w:hint="eastAsia" w:ascii="仿宋" w:hAnsi="仿宋" w:eastAsia="仿宋"/>
          <w:sz w:val="32"/>
          <w:szCs w:val="32"/>
        </w:rPr>
        <w:t>%。</w:t>
      </w:r>
    </w:p>
    <w:p w14:paraId="3394C031">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4、政府采购执行率：100%。</w:t>
      </w:r>
    </w:p>
    <w:p w14:paraId="6DB03400">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5、在资金管理上，</w:t>
      </w:r>
      <w:r>
        <w:rPr>
          <w:rFonts w:hint="eastAsia" w:ascii="仿宋" w:hAnsi="仿宋" w:eastAsia="仿宋"/>
          <w:sz w:val="32"/>
          <w:szCs w:val="32"/>
          <w:lang w:eastAsia="zh-CN"/>
        </w:rPr>
        <w:t>我局</w:t>
      </w:r>
      <w:r>
        <w:rPr>
          <w:rFonts w:hint="eastAsia" w:ascii="仿宋" w:hAnsi="仿宋" w:eastAsia="仿宋"/>
          <w:sz w:val="32"/>
          <w:szCs w:val="32"/>
        </w:rPr>
        <w:t>制定了一系列的财务管理制度。</w:t>
      </w:r>
    </w:p>
    <w:p w14:paraId="1EBEA74D">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五、存在的主要问题</w:t>
      </w:r>
    </w:p>
    <w:p w14:paraId="65109DD7">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14:paraId="3ECCE002">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六、改进措施</w:t>
      </w:r>
    </w:p>
    <w:p w14:paraId="2C7485D1">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一是加强政策学习，提高思想认识。组织单位人员认真学习《预算法》等相关法规、制度，提高单位领导对全面预算管理的重视程度，增强财务人员的预算意识，坚持先有预算、后有支出，没有预算不得支出的支出理念。</w:t>
      </w:r>
    </w:p>
    <w:p w14:paraId="11EEE03E">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二是细化预算指标，提高预算科学性。预算编制前根据年度内单位可预见的工作任务，确定单位年度预算目标，细化预算指标，科学合理编制部门预算，推进预算编制科学化准确化。</w:t>
      </w:r>
    </w:p>
    <w:p w14:paraId="78D55A3C">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三是进一步加强预算管理，</w:t>
      </w:r>
      <w:r>
        <w:rPr>
          <w:rFonts w:hint="eastAsia" w:ascii="仿宋" w:hAnsi="仿宋" w:eastAsia="仿宋"/>
          <w:sz w:val="32"/>
          <w:szCs w:val="32"/>
          <w:lang w:val="en-US" w:eastAsia="zh-CN"/>
        </w:rPr>
        <w:t>提高资金使用效益。</w:t>
      </w:r>
      <w:r>
        <w:rPr>
          <w:rFonts w:hint="eastAsia" w:ascii="仿宋" w:hAnsi="仿宋" w:eastAsia="仿宋"/>
          <w:sz w:val="32"/>
          <w:szCs w:val="32"/>
        </w:rPr>
        <w:t>严格按照预算编制的相关制度和要求，进一步提高预算</w:t>
      </w:r>
      <w:r>
        <w:rPr>
          <w:rFonts w:hint="eastAsia" w:ascii="仿宋" w:hAnsi="仿宋" w:eastAsia="仿宋"/>
          <w:sz w:val="32"/>
          <w:szCs w:val="32"/>
          <w:lang w:val="en-US" w:eastAsia="zh-CN"/>
        </w:rPr>
        <w:t>执行</w:t>
      </w:r>
      <w:r>
        <w:rPr>
          <w:rFonts w:hint="eastAsia" w:ascii="仿宋" w:hAnsi="仿宋" w:eastAsia="仿宋"/>
          <w:sz w:val="32"/>
          <w:szCs w:val="32"/>
        </w:rPr>
        <w:t>的科学性、合理性、严谨性和可控性，在日常预算管理过程中，进一步加强预算支出的审核、跟踪及预算执行情况分析。</w:t>
      </w:r>
    </w:p>
    <w:p w14:paraId="1142FB40">
      <w:pPr>
        <w:spacing w:line="560" w:lineRule="exact"/>
        <w:ind w:firstLine="640" w:firstLineChars="200"/>
        <w:rPr>
          <w:rFonts w:ascii="仿宋" w:hAnsi="仿宋" w:eastAsia="仿宋"/>
          <w:sz w:val="32"/>
          <w:szCs w:val="32"/>
        </w:rPr>
      </w:pPr>
    </w:p>
    <w:p w14:paraId="1221AA6B">
      <w:pPr>
        <w:spacing w:line="560" w:lineRule="exact"/>
        <w:ind w:firstLine="640" w:firstLineChars="200"/>
        <w:rPr>
          <w:rFonts w:ascii="仿宋" w:hAnsi="仿宋" w:eastAsia="仿宋"/>
          <w:sz w:val="32"/>
          <w:szCs w:val="32"/>
        </w:rPr>
      </w:pPr>
    </w:p>
    <w:p w14:paraId="1CFA11F4">
      <w:pPr>
        <w:spacing w:line="560" w:lineRule="exact"/>
        <w:rPr>
          <w:rFonts w:ascii="仿宋" w:hAnsi="仿宋" w:eastAsia="仿宋"/>
          <w:sz w:val="32"/>
          <w:szCs w:val="32"/>
        </w:rPr>
      </w:pPr>
    </w:p>
    <w:p w14:paraId="5E017217">
      <w:pPr>
        <w:spacing w:line="560" w:lineRule="exact"/>
        <w:rPr>
          <w:rFonts w:ascii="仿宋" w:hAnsi="仿宋" w:eastAsia="仿宋"/>
          <w:sz w:val="32"/>
          <w:szCs w:val="32"/>
        </w:rPr>
      </w:pPr>
    </w:p>
    <w:p w14:paraId="081C9147">
      <w:pPr>
        <w:spacing w:line="560" w:lineRule="exact"/>
        <w:rPr>
          <w:rFonts w:ascii="仿宋" w:hAnsi="仿宋" w:eastAsia="仿宋"/>
          <w:sz w:val="32"/>
          <w:szCs w:val="32"/>
        </w:rPr>
      </w:pPr>
    </w:p>
    <w:p w14:paraId="5457123B">
      <w:pPr>
        <w:spacing w:line="560" w:lineRule="exact"/>
        <w:rPr>
          <w:rFonts w:ascii="仿宋" w:hAnsi="仿宋" w:eastAsia="仿宋"/>
          <w:sz w:val="32"/>
          <w:szCs w:val="32"/>
        </w:rPr>
      </w:pPr>
    </w:p>
    <w:p w14:paraId="68AAEF46">
      <w:pPr>
        <w:spacing w:line="560" w:lineRule="exact"/>
        <w:rPr>
          <w:rFonts w:ascii="仿宋" w:hAnsi="仿宋" w:eastAsia="仿宋"/>
          <w:sz w:val="32"/>
          <w:szCs w:val="32"/>
        </w:rPr>
      </w:pPr>
    </w:p>
    <w:p w14:paraId="52EAB07A">
      <w:pPr>
        <w:spacing w:line="560" w:lineRule="exact"/>
        <w:ind w:right="480" w:firstLine="640" w:firstLineChars="200"/>
        <w:jc w:val="right"/>
        <w:rPr>
          <w:rFonts w:hint="eastAsia" w:ascii="仿宋" w:hAnsi="仿宋" w:eastAsia="仿宋"/>
          <w:sz w:val="32"/>
          <w:szCs w:val="32"/>
          <w:lang w:eastAsia="zh-CN"/>
        </w:rPr>
      </w:pPr>
      <w:r>
        <w:rPr>
          <w:rFonts w:hint="eastAsia" w:ascii="仿宋" w:hAnsi="仿宋" w:eastAsia="仿宋"/>
          <w:sz w:val="32"/>
          <w:szCs w:val="32"/>
        </w:rPr>
        <w:t xml:space="preserve">        </w:t>
      </w:r>
      <w:r>
        <w:rPr>
          <w:rFonts w:hint="eastAsia" w:ascii="仿宋" w:hAnsi="仿宋" w:eastAsia="仿宋"/>
          <w:sz w:val="32"/>
          <w:szCs w:val="32"/>
          <w:lang w:eastAsia="zh-CN"/>
        </w:rPr>
        <w:t>珠晖区审计局</w:t>
      </w:r>
    </w:p>
    <w:p w14:paraId="176B28BF">
      <w:pPr>
        <w:spacing w:line="560" w:lineRule="exact"/>
        <w:ind w:right="320" w:firstLine="640" w:firstLineChars="200"/>
        <w:jc w:val="center"/>
        <w:rPr>
          <w:rFonts w:ascii="仿宋" w:hAnsi="仿宋" w:eastAsia="仿宋"/>
          <w:sz w:val="32"/>
          <w:szCs w:val="32"/>
        </w:rPr>
      </w:pP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default" w:ascii="仿宋" w:hAnsi="仿宋" w:eastAsia="仿宋"/>
          <w:sz w:val="32"/>
          <w:szCs w:val="32"/>
          <w:lang w:val="en-US"/>
        </w:rPr>
        <w:t>8</w:t>
      </w:r>
      <w:r>
        <w:rPr>
          <w:rFonts w:hint="eastAsia" w:ascii="仿宋" w:hAnsi="仿宋" w:eastAsia="仿宋"/>
          <w:sz w:val="32"/>
          <w:szCs w:val="32"/>
        </w:rPr>
        <w:t>日</w:t>
      </w:r>
    </w:p>
    <w:sectPr>
      <w:headerReference r:id="rId3" w:type="default"/>
      <w:footerReference r:id="rId4" w:type="default"/>
      <w:pgSz w:w="11906" w:h="16838"/>
      <w:pgMar w:top="1701" w:right="1474" w:bottom="1588"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迷你简黑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3803">
    <w:pPr>
      <w:pStyle w:val="4"/>
      <w:jc w:val="center"/>
    </w:pPr>
    <w:r>
      <w:fldChar w:fldCharType="begin"/>
    </w:r>
    <w:r>
      <w:instrText xml:space="preserve"> PAGE   \* MERGEFORMAT </w:instrText>
    </w:r>
    <w:r>
      <w:fldChar w:fldCharType="separate"/>
    </w:r>
    <w:r>
      <w:rPr>
        <w:lang w:val="zh-CN"/>
      </w:rPr>
      <w:t>6</w:t>
    </w:r>
    <w:r>
      <w:rPr>
        <w:lang w:val="zh-CN"/>
      </w:rPr>
      <w:fldChar w:fldCharType="end"/>
    </w:r>
  </w:p>
  <w:p w14:paraId="41F399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98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3Yzg4OTFkYzI1MGEyYWYzZmViN2M2MmI4YjdlYTMifQ=="/>
  </w:docVars>
  <w:rsids>
    <w:rsidRoot w:val="00C17386"/>
    <w:rsid w:val="00072DE5"/>
    <w:rsid w:val="000970D7"/>
    <w:rsid w:val="000A3A77"/>
    <w:rsid w:val="000A74C1"/>
    <w:rsid w:val="000B0A59"/>
    <w:rsid w:val="000B2878"/>
    <w:rsid w:val="000E2EC4"/>
    <w:rsid w:val="0016611A"/>
    <w:rsid w:val="00173919"/>
    <w:rsid w:val="001915C7"/>
    <w:rsid w:val="00195564"/>
    <w:rsid w:val="001A1424"/>
    <w:rsid w:val="001A545A"/>
    <w:rsid w:val="001C12A5"/>
    <w:rsid w:val="001C269D"/>
    <w:rsid w:val="001F1953"/>
    <w:rsid w:val="001F3C09"/>
    <w:rsid w:val="00241CA4"/>
    <w:rsid w:val="00247BE3"/>
    <w:rsid w:val="00281645"/>
    <w:rsid w:val="002931AE"/>
    <w:rsid w:val="002A3DF1"/>
    <w:rsid w:val="002C6B0D"/>
    <w:rsid w:val="00312926"/>
    <w:rsid w:val="00315C90"/>
    <w:rsid w:val="00323175"/>
    <w:rsid w:val="003C55BF"/>
    <w:rsid w:val="0040110C"/>
    <w:rsid w:val="00412FCC"/>
    <w:rsid w:val="00444032"/>
    <w:rsid w:val="00444ABC"/>
    <w:rsid w:val="00456D39"/>
    <w:rsid w:val="00490877"/>
    <w:rsid w:val="004E03A1"/>
    <w:rsid w:val="00512839"/>
    <w:rsid w:val="0052089D"/>
    <w:rsid w:val="00522E99"/>
    <w:rsid w:val="005A5BCD"/>
    <w:rsid w:val="005C5E18"/>
    <w:rsid w:val="005E39B1"/>
    <w:rsid w:val="00615D11"/>
    <w:rsid w:val="00627ABD"/>
    <w:rsid w:val="0064468A"/>
    <w:rsid w:val="006728BD"/>
    <w:rsid w:val="00673F66"/>
    <w:rsid w:val="006867D3"/>
    <w:rsid w:val="006A57C9"/>
    <w:rsid w:val="006B1F40"/>
    <w:rsid w:val="006D5888"/>
    <w:rsid w:val="006F4E30"/>
    <w:rsid w:val="006F5365"/>
    <w:rsid w:val="007270A5"/>
    <w:rsid w:val="00746E4F"/>
    <w:rsid w:val="007879B2"/>
    <w:rsid w:val="007E4630"/>
    <w:rsid w:val="007F3B61"/>
    <w:rsid w:val="008000D0"/>
    <w:rsid w:val="00804553"/>
    <w:rsid w:val="00826A36"/>
    <w:rsid w:val="008711D1"/>
    <w:rsid w:val="008A647B"/>
    <w:rsid w:val="00905932"/>
    <w:rsid w:val="009067AD"/>
    <w:rsid w:val="00925ADC"/>
    <w:rsid w:val="00946106"/>
    <w:rsid w:val="00953E04"/>
    <w:rsid w:val="00955DB2"/>
    <w:rsid w:val="00A46D21"/>
    <w:rsid w:val="00A56F72"/>
    <w:rsid w:val="00A75DE3"/>
    <w:rsid w:val="00AA2F21"/>
    <w:rsid w:val="00AB1560"/>
    <w:rsid w:val="00AC3556"/>
    <w:rsid w:val="00AC5D20"/>
    <w:rsid w:val="00B1410B"/>
    <w:rsid w:val="00BA194D"/>
    <w:rsid w:val="00BA30E4"/>
    <w:rsid w:val="00BA476F"/>
    <w:rsid w:val="00BA5149"/>
    <w:rsid w:val="00BA76B8"/>
    <w:rsid w:val="00BB11DC"/>
    <w:rsid w:val="00BB41DA"/>
    <w:rsid w:val="00BE1B3E"/>
    <w:rsid w:val="00C040D3"/>
    <w:rsid w:val="00C17386"/>
    <w:rsid w:val="00C76AD5"/>
    <w:rsid w:val="00D000A4"/>
    <w:rsid w:val="00D01ABC"/>
    <w:rsid w:val="00D055C8"/>
    <w:rsid w:val="00D50ECD"/>
    <w:rsid w:val="00DA7DE8"/>
    <w:rsid w:val="00DC4C5C"/>
    <w:rsid w:val="00DE29A7"/>
    <w:rsid w:val="00E01B3F"/>
    <w:rsid w:val="00E074D0"/>
    <w:rsid w:val="00E125D6"/>
    <w:rsid w:val="00E26532"/>
    <w:rsid w:val="00E42621"/>
    <w:rsid w:val="00ED1ED1"/>
    <w:rsid w:val="00ED42EE"/>
    <w:rsid w:val="00EE113D"/>
    <w:rsid w:val="00F66871"/>
    <w:rsid w:val="00F74C27"/>
    <w:rsid w:val="00F8234E"/>
    <w:rsid w:val="00FF0417"/>
    <w:rsid w:val="01B910B0"/>
    <w:rsid w:val="04545D1C"/>
    <w:rsid w:val="052E6D77"/>
    <w:rsid w:val="087F0F2D"/>
    <w:rsid w:val="08DA0EE6"/>
    <w:rsid w:val="091004C3"/>
    <w:rsid w:val="09E35B78"/>
    <w:rsid w:val="0A311283"/>
    <w:rsid w:val="0A93759F"/>
    <w:rsid w:val="0AFE1C1B"/>
    <w:rsid w:val="0B0F3246"/>
    <w:rsid w:val="0BD10FD4"/>
    <w:rsid w:val="0D0D3811"/>
    <w:rsid w:val="0D463BB0"/>
    <w:rsid w:val="0EF600FC"/>
    <w:rsid w:val="0FA07748"/>
    <w:rsid w:val="105E41AB"/>
    <w:rsid w:val="11C049F7"/>
    <w:rsid w:val="1243353E"/>
    <w:rsid w:val="126D1E74"/>
    <w:rsid w:val="12B83A20"/>
    <w:rsid w:val="12EC6FD6"/>
    <w:rsid w:val="131533F6"/>
    <w:rsid w:val="14193016"/>
    <w:rsid w:val="160C2748"/>
    <w:rsid w:val="16282EDA"/>
    <w:rsid w:val="16C534EA"/>
    <w:rsid w:val="1AA562F4"/>
    <w:rsid w:val="1AD02BFD"/>
    <w:rsid w:val="1B363AFF"/>
    <w:rsid w:val="1C1D7393"/>
    <w:rsid w:val="1CEB5C29"/>
    <w:rsid w:val="20530E97"/>
    <w:rsid w:val="217801DA"/>
    <w:rsid w:val="223D6C22"/>
    <w:rsid w:val="2432177F"/>
    <w:rsid w:val="243444E2"/>
    <w:rsid w:val="243A4AE0"/>
    <w:rsid w:val="243E7CB4"/>
    <w:rsid w:val="24770EF5"/>
    <w:rsid w:val="24F13C90"/>
    <w:rsid w:val="27993B3B"/>
    <w:rsid w:val="285E08FB"/>
    <w:rsid w:val="2882273F"/>
    <w:rsid w:val="29AD41AF"/>
    <w:rsid w:val="2A2102CB"/>
    <w:rsid w:val="2A974721"/>
    <w:rsid w:val="2B0B3C4B"/>
    <w:rsid w:val="2BBE3855"/>
    <w:rsid w:val="2F1C04D2"/>
    <w:rsid w:val="31460E11"/>
    <w:rsid w:val="32024E86"/>
    <w:rsid w:val="325D388A"/>
    <w:rsid w:val="32D026E1"/>
    <w:rsid w:val="33562F2B"/>
    <w:rsid w:val="358C2A3A"/>
    <w:rsid w:val="379412E7"/>
    <w:rsid w:val="392655DF"/>
    <w:rsid w:val="3A1B446C"/>
    <w:rsid w:val="3D987913"/>
    <w:rsid w:val="3F220916"/>
    <w:rsid w:val="3FF37BBC"/>
    <w:rsid w:val="401471BB"/>
    <w:rsid w:val="40BC0EDB"/>
    <w:rsid w:val="40D561FF"/>
    <w:rsid w:val="415E1341"/>
    <w:rsid w:val="42336E23"/>
    <w:rsid w:val="444E173D"/>
    <w:rsid w:val="44C22253"/>
    <w:rsid w:val="454B0D20"/>
    <w:rsid w:val="472829AC"/>
    <w:rsid w:val="48176E12"/>
    <w:rsid w:val="48D34A2F"/>
    <w:rsid w:val="4B684422"/>
    <w:rsid w:val="4C6F4A6E"/>
    <w:rsid w:val="4CCE79E7"/>
    <w:rsid w:val="4CFC6E5E"/>
    <w:rsid w:val="4F6463E1"/>
    <w:rsid w:val="51036FE5"/>
    <w:rsid w:val="51A86C74"/>
    <w:rsid w:val="525D4075"/>
    <w:rsid w:val="52CD3B0D"/>
    <w:rsid w:val="52D7731E"/>
    <w:rsid w:val="53955AC7"/>
    <w:rsid w:val="57D419D9"/>
    <w:rsid w:val="57F6467D"/>
    <w:rsid w:val="5ADF330A"/>
    <w:rsid w:val="5B3B6725"/>
    <w:rsid w:val="5CB4201E"/>
    <w:rsid w:val="5CC538A1"/>
    <w:rsid w:val="5D064F7B"/>
    <w:rsid w:val="5D9555C5"/>
    <w:rsid w:val="5DE50AC1"/>
    <w:rsid w:val="5FA77D9C"/>
    <w:rsid w:val="5FC829BC"/>
    <w:rsid w:val="622974F3"/>
    <w:rsid w:val="624C11F7"/>
    <w:rsid w:val="62F40682"/>
    <w:rsid w:val="64817162"/>
    <w:rsid w:val="656F01E8"/>
    <w:rsid w:val="67BB4BB4"/>
    <w:rsid w:val="69CE4B67"/>
    <w:rsid w:val="6AB838E4"/>
    <w:rsid w:val="6B0D3978"/>
    <w:rsid w:val="6C747F15"/>
    <w:rsid w:val="6CF110B0"/>
    <w:rsid w:val="6D497993"/>
    <w:rsid w:val="6D7F41BF"/>
    <w:rsid w:val="6F7D52B5"/>
    <w:rsid w:val="6FAD6F16"/>
    <w:rsid w:val="72B6375C"/>
    <w:rsid w:val="73222DE7"/>
    <w:rsid w:val="73E91F25"/>
    <w:rsid w:val="74A1611F"/>
    <w:rsid w:val="75175E85"/>
    <w:rsid w:val="75E645BC"/>
    <w:rsid w:val="78143656"/>
    <w:rsid w:val="796C3F60"/>
    <w:rsid w:val="7B842755"/>
    <w:rsid w:val="7C4F04A1"/>
    <w:rsid w:val="7D1B1F25"/>
    <w:rsid w:val="7FD8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6"/>
    <w:autoRedefine/>
    <w:qFormat/>
    <w:uiPriority w:val="99"/>
    <w:pPr>
      <w:tabs>
        <w:tab w:val="center" w:pos="4153"/>
        <w:tab w:val="right" w:pos="8306"/>
      </w:tabs>
      <w:snapToGrid w:val="0"/>
      <w:jc w:val="left"/>
    </w:pPr>
    <w:rPr>
      <w:sz w:val="18"/>
      <w:szCs w:val="18"/>
    </w:rPr>
  </w:style>
  <w:style w:type="paragraph" w:styleId="5">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FollowedHyperlink"/>
    <w:basedOn w:val="9"/>
    <w:autoRedefine/>
    <w:qFormat/>
    <w:uiPriority w:val="0"/>
    <w:rPr>
      <w:color w:val="454545"/>
      <w:u w:val="none"/>
    </w:rPr>
  </w:style>
  <w:style w:type="character" w:styleId="12">
    <w:name w:val="Emphasis"/>
    <w:basedOn w:val="9"/>
    <w:qFormat/>
    <w:uiPriority w:val="0"/>
    <w:rPr>
      <w:sz w:val="21"/>
      <w:szCs w:val="21"/>
    </w:rPr>
  </w:style>
  <w:style w:type="character" w:styleId="13">
    <w:name w:val="Hyperlink"/>
    <w:basedOn w:val="9"/>
    <w:autoRedefine/>
    <w:qFormat/>
    <w:uiPriority w:val="0"/>
    <w:rPr>
      <w:color w:val="454545"/>
      <w:u w:val="none"/>
    </w:rPr>
  </w:style>
  <w:style w:type="character" w:styleId="14">
    <w:name w:val="HTML Code"/>
    <w:basedOn w:val="9"/>
    <w:qFormat/>
    <w:uiPriority w:val="0"/>
    <w:rPr>
      <w:rFonts w:ascii="Courier New" w:hAnsi="Courier New"/>
      <w:sz w:val="21"/>
      <w:szCs w:val="21"/>
      <w:bdr w:val="single" w:color="E3E3E3" w:sz="6" w:space="0"/>
    </w:rPr>
  </w:style>
  <w:style w:type="character" w:styleId="15">
    <w:name w:val="HTML Cite"/>
    <w:basedOn w:val="9"/>
    <w:autoRedefine/>
    <w:qFormat/>
    <w:uiPriority w:val="0"/>
    <w:rPr>
      <w:sz w:val="21"/>
      <w:szCs w:val="21"/>
    </w:rPr>
  </w:style>
  <w:style w:type="character" w:customStyle="1" w:styleId="16">
    <w:name w:val="页脚 Char"/>
    <w:basedOn w:val="9"/>
    <w:link w:val="4"/>
    <w:autoRedefine/>
    <w:qFormat/>
    <w:uiPriority w:val="99"/>
    <w:rPr>
      <w:kern w:val="2"/>
      <w:sz w:val="18"/>
      <w:szCs w:val="18"/>
    </w:rPr>
  </w:style>
  <w:style w:type="character" w:customStyle="1" w:styleId="17">
    <w:name w:val="页眉 Char"/>
    <w:basedOn w:val="9"/>
    <w:link w:val="5"/>
    <w:autoRedefine/>
    <w:qFormat/>
    <w:uiPriority w:val="0"/>
    <w:rPr>
      <w:kern w:val="2"/>
      <w:sz w:val="18"/>
      <w:szCs w:val="18"/>
    </w:rPr>
  </w:style>
  <w:style w:type="character" w:customStyle="1" w:styleId="18">
    <w:name w:val="bsharetext"/>
    <w:basedOn w:val="9"/>
    <w:autoRedefine/>
    <w:qFormat/>
    <w:uiPriority w:val="0"/>
  </w:style>
  <w:style w:type="character" w:customStyle="1" w:styleId="19">
    <w:name w:val="editor_quote_active"/>
    <w:basedOn w:val="9"/>
    <w:qFormat/>
    <w:uiPriority w:val="0"/>
  </w:style>
  <w:style w:type="character" w:customStyle="1" w:styleId="20">
    <w:name w:val="editor_createlink"/>
    <w:basedOn w:val="9"/>
    <w:autoRedefine/>
    <w:qFormat/>
    <w:uiPriority w:val="0"/>
  </w:style>
  <w:style w:type="character" w:customStyle="1" w:styleId="21">
    <w:name w:val="hover40"/>
    <w:basedOn w:val="9"/>
    <w:autoRedefine/>
    <w:qFormat/>
    <w:uiPriority w:val="0"/>
    <w:rPr>
      <w:shd w:val="clear" w:color="auto" w:fill="E9EDFF"/>
    </w:rPr>
  </w:style>
  <w:style w:type="character" w:customStyle="1" w:styleId="22">
    <w:name w:val="editor_createlink_mousedown"/>
    <w:basedOn w:val="9"/>
    <w:autoRedefine/>
    <w:qFormat/>
    <w:uiPriority w:val="0"/>
  </w:style>
  <w:style w:type="character" w:customStyle="1" w:styleId="23">
    <w:name w:val="editor_quote_disabled"/>
    <w:basedOn w:val="9"/>
    <w:qFormat/>
    <w:uiPriority w:val="0"/>
  </w:style>
  <w:style w:type="character" w:customStyle="1" w:styleId="24">
    <w:name w:val="editor_quote_mouseover"/>
    <w:basedOn w:val="9"/>
    <w:autoRedefine/>
    <w:qFormat/>
    <w:uiPriority w:val="0"/>
  </w:style>
  <w:style w:type="character" w:customStyle="1" w:styleId="25">
    <w:name w:val="editor_createlink_mouseover"/>
    <w:basedOn w:val="9"/>
    <w:autoRedefine/>
    <w:qFormat/>
    <w:uiPriority w:val="0"/>
  </w:style>
  <w:style w:type="character" w:customStyle="1" w:styleId="26">
    <w:name w:val="editor_createlink_disabled"/>
    <w:basedOn w:val="9"/>
    <w:autoRedefine/>
    <w:qFormat/>
    <w:uiPriority w:val="0"/>
  </w:style>
  <w:style w:type="character" w:customStyle="1" w:styleId="27">
    <w:name w:val="editor_createlink_active"/>
    <w:basedOn w:val="9"/>
    <w:autoRedefine/>
    <w:qFormat/>
    <w:uiPriority w:val="0"/>
  </w:style>
  <w:style w:type="character" w:customStyle="1" w:styleId="28">
    <w:name w:val="editor_quote_mousedown"/>
    <w:basedOn w:val="9"/>
    <w:qFormat/>
    <w:uiPriority w:val="0"/>
  </w:style>
  <w:style w:type="character" w:customStyle="1" w:styleId="29">
    <w:name w:val="editor_quot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7</Pages>
  <Words>1908</Words>
  <Characters>2043</Characters>
  <Lines>26</Lines>
  <Paragraphs>7</Paragraphs>
  <TotalTime>2</TotalTime>
  <ScaleCrop>false</ScaleCrop>
  <LinksUpToDate>false</LinksUpToDate>
  <CharactersWithSpaces>2099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2022-04-24T02:30:00Z</dcterms:created>
  <dc:creator>Administrator</dc:creator>
  <cp:lastModifiedBy>棉花糖</cp:lastModifiedBy>
  <cp:lastPrinted>2024-05-07T02:35:00Z</cp:lastPrinted>
  <dcterms:modified xsi:type="dcterms:W3CDTF">2024-07-16T10:27:15Z</dcterms:modified>
  <dc:title>衡南县人民检察院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C32086B6BEA94E48BC7F3705F7952E90</vt:lpwstr>
  </property>
</Properties>
</file>