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/>
          <w:b/>
          <w:bCs/>
          <w:sz w:val="44"/>
          <w:szCs w:val="44"/>
          <w:lang w:eastAsia="zh-CN"/>
        </w:rPr>
        <w:t>202</w:t>
      </w:r>
      <w:r>
        <w:rPr>
          <w:rFonts w:hint="eastAsia" w:eastAsia="方正小标宋_GBK"/>
          <w:b/>
          <w:bCs/>
          <w:sz w:val="44"/>
          <w:szCs w:val="44"/>
          <w:lang w:val="en-US" w:eastAsia="zh-CN"/>
        </w:rPr>
        <w:t>3</w:t>
      </w:r>
      <w:r>
        <w:rPr>
          <w:rFonts w:hint="eastAsia" w:eastAsia="方正小标宋_GBK"/>
          <w:b/>
          <w:bCs/>
          <w:sz w:val="44"/>
          <w:szCs w:val="44"/>
          <w:lang w:eastAsia="zh-CN"/>
        </w:rPr>
        <w:t>年</w:t>
      </w:r>
      <w:r>
        <w:rPr>
          <w:rFonts w:eastAsia="方正小标宋_GBK"/>
          <w:b/>
          <w:bCs/>
          <w:sz w:val="44"/>
          <w:szCs w:val="44"/>
        </w:rPr>
        <w:t>预算重要事项说明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一般公共预算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收入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一般公共预算收入预期15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%。地方一般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39242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6.5%，其中：税收收入预期31242万元，增长8.51%；非税收入预期8000万元，下降0.68%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二、202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一般公共预算支出预算说明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全区一般公共预算支出安排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135622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“三保”支出预算数为83263万元，“保基本民生”2023年年初预算安排支出33200万元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“保工资”2023年年初预算安排支出46691万元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“保运转2023年年初预算安排支出3372万元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；其他项目支出预算数为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52359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主要是其他项目民生支出、隐性债务还本付息、政府债务付息、经济发展调度引入导向资金等专项经费。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三、202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年税收返还和转移支付预算说明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返还性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4397万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元，与20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年执行数持平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一般性转移支付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67425万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其中，均衡性转移支付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20522万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元，县级基本财力保障机制奖补资金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7762万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结算补助收入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3395万元，资源枯竭型城市转移支付补助收入1071万元，固定数额补助收入2863万元，巩固脱贫攻坚成果衔接乡村振兴转移支付收入1226万元，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教育共同财政事权转移支付收入5440万元、文化旅游体育与传媒共同财政事权转移支付收入200万元、社会保障和就业共同财政事权转移支付收入9794万元、医疗卫生共同财政事权转移支付收入10481万元、农林水共同财政事权转移支付收入791万元、住房保障共同财政事权转移支付收入3000万元、补充县区财力转移支付收入4315万元、其他一般性转移支付收入-3435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3、专项转移支付收入5409万元，其中，教育519万元、文化旅游体育与传媒125万元、社会保障和就业445万元、卫生健康322万元、农林水965万元、住房保障3033万元。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四、2023年“三公”经费预算说明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衡阳市珠晖区本级部门，包括区级行政单位（含参照公务员法管理的事业单位）、事业单位和其他单位使用当年公共财政拨款（包括公共财政经费拨款和纳入预算管理的非税收入拨款）安排的2023年“三公”经费预算为220.18万元，其中：公务接待费39.7万元、因公出国（境）费0万元、公务用车购置0万元、公务用车运行维护费180.48万元，比上年减少163.02万元。主要原因市过“紧日子”，压减三公经费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五、2023年财政重要事项说明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2023年乡村振兴专项资金2364万元，其中衔接推进乡村振兴补助资金1864万元，乡村振兴扶持引导资金500万元。防疫经费1800万元。政府债务付息1922.44万元。隐性债务还本付息4900万元。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六、珠晖区举借债务及偿还债务情况说明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2022年底，全区全口径债务余额22.11亿元，其中：政府债务10.37亿元，隐性债务11.72亿元，其他需要关注类债务0.02亿元。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2023年，珠晖区将严格落实防范和化解政府性债务风险系列文件要求，完成2023年化债目标任务，做到总量不增加、存量逐年减、底线不突破，确保不发生政府性债务风险。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2、举借债务方面：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22年新增政府债务14700万元。其中：新增一般政府债券3700万元，主要安排用于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茶山卫生院公共卫生体系建设50万元、创文创卫工程款174万元、电排站新建及改扩建项目170万元、农村特色旅游资源产业路206万元、乡村振兴扶持引导资金项目522万元、区公路局农村公路建设及管理养护139万元、卫健系统疫情防控及防疫体系建设经费202万元、农田水利基础设施建设项目300万元、公立小学建设1000万元、小水库除险加固98万元、乡村雪亮工程39万元、新增雪亮工程150万元、创文创卫工程款208万元、村级人居环境整治经费36万元、区环卫局创文创卫移动公厕项目17万元、区住建局农村改厕项目45万元、区水利局水源地规范化建设144万元、农村特色旅游资源产业路200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；新增专项政府债券11000万元，安排用于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珠晖区公共卫生服务体系建设项目5000万元、酃湖片棚改三期（城中村）酃湖乡东湖村安置点6000万元。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按照预算法规定，市县确需举借政府债务的，由省级政府发行地方政府债券代为举借。2023年我区将在政府债务限额内，积极争取政府债券资金。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6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3、偿还债务情况方面：统筹安排偿债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资金0.19亿元，用于地方政府一般债券付息。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七、预算绩效管理工作开展情况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一是对编制2022年部门预算的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70个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预算单位资金实行了整体绩效目标申报和项目资金申报，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进一步提高绩效目标质量，并将绩效目标应用到绩效管理工作的各个环节。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二是强化预算绩效管理。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实施部门和单位预算绩效管理，完善预算绩效制度体系，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开展绩效评价工作，预算单位2021年整体支出全部纳入绩效自评范围，并引入第三方机构，开展了区市场监督管理局2021年整体支出、2021年乡村振兴衔接资金、2020-2021年文明创建资金、衡阳市珠晖区狮山片棚改三期洪塘安置点建设项目、2021年度“两化”救助服务项目经费、办税服务中心经费、2021年机关事业单位基本养老保险基金的重点绩效评价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Q0MWM2ZTBjN2NkNGMwNTgzMmJjZDY0ZmZiOGIifQ=="/>
  </w:docVars>
  <w:rsids>
    <w:rsidRoot w:val="00000000"/>
    <w:rsid w:val="11BF2A9D"/>
    <w:rsid w:val="20642BE0"/>
    <w:rsid w:val="21DA13D2"/>
    <w:rsid w:val="2A7939F8"/>
    <w:rsid w:val="2BD6748F"/>
    <w:rsid w:val="31896DA2"/>
    <w:rsid w:val="3F071D35"/>
    <w:rsid w:val="448126ED"/>
    <w:rsid w:val="49D57A0B"/>
    <w:rsid w:val="4D9A5211"/>
    <w:rsid w:val="545A19DD"/>
    <w:rsid w:val="71631B15"/>
    <w:rsid w:val="7EAC1CAA"/>
    <w:rsid w:val="FBEEF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8"/>
    </w:pPr>
    <w:rPr>
      <w:sz w:val="32"/>
      <w:szCs w:val="32"/>
    </w:rPr>
  </w:style>
  <w:style w:type="paragraph" w:styleId="3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1774</Words>
  <Characters>2077</Characters>
  <Lines>0</Lines>
  <Paragraphs>0</Paragraphs>
  <TotalTime>35</TotalTime>
  <ScaleCrop>false</ScaleCrop>
  <LinksUpToDate>false</LinksUpToDate>
  <CharactersWithSpaces>2078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2023-04-12T10:57:00Z</dcterms:created>
  <dc:creator>Administrator</dc:creator>
  <cp:lastModifiedBy>kylin</cp:lastModifiedBy>
  <cp:lastPrinted>2023-04-20T10:26:00Z</cp:lastPrinted>
  <dcterms:modified xsi:type="dcterms:W3CDTF">2024-12-06T11:38:22Z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14C9916060EC4DC388FD783F46E68841_12</vt:lpwstr>
  </property>
</Properties>
</file>