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珠晖区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“三公”经费支出情况的说明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年，区级一般公共预算安排的行政事业单位“三公”经费支出合计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216.08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272.19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56.11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元。其中:公务用车购置及运行费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193.08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万元(其中，公务用车购置费</w:t>
      </w:r>
      <w:r>
        <w:rPr>
          <w:rFonts w:hint="default" w:ascii="仿宋_GB2312" w:hAnsi="仿宋_GB2312" w:eastAsia="仿宋_GB2312" w:cs="仿宋_GB2312"/>
          <w:sz w:val="32"/>
          <w:szCs w:val="32"/>
        </w:rPr>
        <w:t>35.8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万元，公务用车运行维护费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157.28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万元)，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48.49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万元;公务接待费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万元;因公出国(境)经费0万元，持平。区级“三公”经费增加的主要原因是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：是我区认真贯彻落实中央八项规定精神和厉行节约要求，进一步从严控制“三公”经费开支。</w:t>
      </w:r>
    </w:p>
    <w:p>
      <w:r>
        <w:br w:type="page"/>
      </w:r>
    </w:p>
    <w:p/>
    <w:tbl>
      <w:tblPr>
        <w:tblStyle w:val="2"/>
        <w:tblW w:w="9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3"/>
        <w:gridCol w:w="5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2022年珠晖区“三公”经费决算汇总表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1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0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1、因公出国（境）费用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3、公务用车购置及运行维护费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其中：（1）公务用车购置费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2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（2）公务用车运行维护费</w:t>
            </w:r>
          </w:p>
        </w:tc>
        <w:tc>
          <w:tcPr>
            <w:tcW w:w="50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220.18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4175F"/>
    <w:rsid w:val="5F9D1BF5"/>
    <w:rsid w:val="74AE898D"/>
    <w:rsid w:val="7A34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2024-08-01T17:54:00Z</dcterms:created>
  <dc:creator>陈颖妍</dc:creator>
  <cp:lastModifiedBy>greatwall</cp:lastModifiedBy>
  <dcterms:modified xsi:type="dcterms:W3CDTF">2024-12-03T15:48:22Z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