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spacing w:after="260"/>
        <w:rPr>
          <w:color w:val="000000"/>
          <w:sz w:val="32"/>
          <w:szCs w:val="32"/>
          <w:lang w:val="en-US"/>
        </w:rPr>
      </w:pPr>
      <w:bookmarkStart w:id="0" w:name="bookmark88"/>
      <w:bookmarkStart w:id="1" w:name="bookmark89"/>
      <w:bookmarkStart w:id="2" w:name="bookmark90"/>
      <w:r>
        <w:rPr>
          <w:rFonts w:hint="eastAsia"/>
          <w:color w:val="000000"/>
          <w:sz w:val="32"/>
          <w:szCs w:val="32"/>
          <w:lang w:val="en-US"/>
        </w:rPr>
        <w:t>部门整体支出绩效报告</w:t>
      </w:r>
      <w:bookmarkEnd w:id="0"/>
      <w:bookmarkEnd w:id="1"/>
      <w:bookmarkEnd w:id="2"/>
    </w:p>
    <w:p>
      <w:pPr>
        <w:spacing w:line="620" w:lineRule="exac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一、基本概况</w:t>
      </w:r>
    </w:p>
    <w:p>
      <w:pPr>
        <w:spacing w:line="620" w:lineRule="exact"/>
        <w:ind w:firstLine="643" w:firstLineChars="2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（一）机构设置情况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单位内设：办公室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华文中宋" w:eastAsia="仿宋_GB2312"/>
          <w:sz w:val="32"/>
          <w:szCs w:val="32"/>
        </w:rPr>
        <w:t>巡查信息股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、产业发展股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珠晖区商贸服务中心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华文中宋" w:eastAsia="仿宋_GB2312"/>
          <w:sz w:val="32"/>
          <w:szCs w:val="32"/>
        </w:rPr>
        <w:t>年部门决算汇总公开单位构成包括：包含单位本级。</w:t>
      </w:r>
    </w:p>
    <w:p>
      <w:pPr>
        <w:spacing w:line="620" w:lineRule="exact"/>
        <w:ind w:firstLine="643" w:firstLineChars="200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（二）主要工作职责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主要工作任务：指导区大型商贸经营场所安全生产、消防安全宣传教育培训、商贸场所日常巡查、安全隐患排查、综治维稳信息收集等。</w:t>
      </w:r>
    </w:p>
    <w:p>
      <w:pPr>
        <w:pStyle w:val="18"/>
        <w:tabs>
          <w:tab w:val="left" w:pos="1101"/>
        </w:tabs>
        <w:spacing w:line="620" w:lineRule="exact"/>
        <w:ind w:firstLine="500"/>
        <w:rPr>
          <w:rFonts w:hint="eastAsia" w:ascii="黑体" w:hAnsi="华文中宋" w:eastAsia="黑体" w:cs="Times New Roman"/>
          <w:sz w:val="32"/>
          <w:szCs w:val="32"/>
          <w:lang w:val="en-US"/>
        </w:rPr>
      </w:pPr>
      <w:bookmarkStart w:id="3" w:name="bookmark100"/>
      <w:r>
        <w:rPr>
          <w:rFonts w:hint="eastAsia" w:ascii="黑体" w:hAnsi="华文中宋" w:eastAsia="黑体" w:cs="Times New Roman"/>
          <w:sz w:val="32"/>
          <w:szCs w:val="32"/>
          <w:lang w:val="en-US"/>
        </w:rPr>
        <w:t>二、部门整体支出管理及使用情况</w:t>
      </w:r>
    </w:p>
    <w:p>
      <w:pPr>
        <w:spacing w:line="620" w:lineRule="exact"/>
        <w:ind w:firstLine="643" w:firstLineChars="2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（一）部门整体支出规模</w:t>
      </w:r>
    </w:p>
    <w:p>
      <w:pPr>
        <w:pStyle w:val="28"/>
        <w:spacing w:after="2"/>
        <w:ind w:firstLine="640"/>
        <w:rPr>
          <w:rFonts w:hint="eastAsia"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华文中宋" w:eastAsia="仿宋_GB2312" w:cs="Times New Roman"/>
          <w:sz w:val="32"/>
          <w:szCs w:val="32"/>
        </w:rPr>
        <w:t>年度收入合计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335.63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万元，其中：财政拨款收入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335.63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万元，占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华文中宋" w:eastAsia="仿宋_GB2312" w:cs="Times New Roman"/>
          <w:sz w:val="32"/>
          <w:szCs w:val="32"/>
        </w:rPr>
        <w:t>%；上级补助收入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万元，占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 w:cs="Times New Roman"/>
          <w:sz w:val="32"/>
          <w:szCs w:val="32"/>
        </w:rPr>
        <w:t>%；事业收入0万元，占0%；经营收入0万元，占0%；附属单位上缴收入0万元，占0%；其他收入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 w:cs="Times New Roman"/>
          <w:sz w:val="32"/>
          <w:szCs w:val="32"/>
        </w:rPr>
        <w:t>万元，占</w:t>
      </w:r>
      <w:r>
        <w:rPr>
          <w:rFonts w:hint="eastAsia" w:ascii="仿宋_GB2312" w:hAnsi="华文中宋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华文中宋" w:eastAsia="仿宋_GB2312" w:cs="Times New Roman"/>
          <w:sz w:val="32"/>
          <w:szCs w:val="32"/>
        </w:rPr>
        <w:t xml:space="preserve">%。 </w:t>
      </w:r>
    </w:p>
    <w:p>
      <w:pPr>
        <w:spacing w:line="620" w:lineRule="exact"/>
        <w:ind w:firstLine="643" w:firstLineChars="200"/>
        <w:rPr>
          <w:rFonts w:hint="eastAsia"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（二）支出使用方向和主要内容、涉及范围等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1、基本支出情况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2022</w:t>
      </w:r>
      <w:r>
        <w:rPr>
          <w:rFonts w:ascii="仿宋_GB2312" w:hAnsi="华文中宋" w:eastAsia="仿宋_GB2312"/>
          <w:sz w:val="32"/>
          <w:szCs w:val="32"/>
        </w:rPr>
        <w:t>年度财政拨款基本支出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256.13</w:t>
      </w:r>
      <w:r>
        <w:rPr>
          <w:rFonts w:ascii="仿宋_GB2312" w:hAnsi="华文中宋" w:eastAsia="仿宋_GB2312"/>
          <w:sz w:val="32"/>
          <w:szCs w:val="32"/>
        </w:rPr>
        <w:t>万元，其中：人员经费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200.31</w:t>
      </w:r>
      <w:r>
        <w:rPr>
          <w:rFonts w:ascii="仿宋_GB2312" w:hAnsi="华文中宋" w:eastAsia="仿宋_GB2312"/>
          <w:sz w:val="32"/>
          <w:szCs w:val="32"/>
        </w:rPr>
        <w:t>万元，主要包括基本工资、津贴补贴、奖金、伙食补助费；公用经费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55.82</w:t>
      </w:r>
      <w:r>
        <w:rPr>
          <w:rFonts w:ascii="仿宋_GB2312" w:hAnsi="华文中宋" w:eastAsia="仿宋_GB2312"/>
          <w:sz w:val="32"/>
          <w:szCs w:val="32"/>
        </w:rPr>
        <w:t>万元，主要包括办公费、印刷费、咨询费、手续费。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“三公”经费支出为</w:t>
      </w:r>
      <w:r>
        <w:rPr>
          <w:rFonts w:ascii="仿宋_GB2312" w:hAnsi="华文中宋" w:eastAsia="仿宋_GB2312"/>
          <w:sz w:val="32"/>
          <w:szCs w:val="32"/>
        </w:rPr>
        <w:t>0.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华文中宋" w:eastAsia="仿宋_GB2312"/>
          <w:sz w:val="32"/>
          <w:szCs w:val="32"/>
        </w:rPr>
        <w:t>万元，主</w:t>
      </w:r>
      <w:r>
        <w:rPr>
          <w:rFonts w:ascii="仿宋_GB2312" w:hAnsi="华文中宋" w:eastAsia="仿宋_GB2312"/>
          <w:sz w:val="32"/>
          <w:szCs w:val="32"/>
        </w:rPr>
        <w:t>要用于</w:t>
      </w:r>
      <w:r>
        <w:rPr>
          <w:rFonts w:hint="eastAsia" w:ascii="仿宋_GB2312" w:hAnsi="华文中宋" w:eastAsia="仿宋_GB2312"/>
          <w:sz w:val="32"/>
          <w:szCs w:val="32"/>
        </w:rPr>
        <w:t>公务用车运行费支出</w:t>
      </w:r>
      <w:r>
        <w:rPr>
          <w:rFonts w:ascii="仿宋_GB2312" w:hAnsi="华文中宋" w:eastAsia="仿宋_GB2312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2、专项支出情况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年专项支出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20" w:lineRule="exact"/>
        <w:ind w:firstLine="643" w:firstLineChars="200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3、“三公”经费情况</w:t>
      </w:r>
    </w:p>
    <w:p>
      <w:pPr>
        <w:spacing w:line="62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华文中宋" w:eastAsia="仿宋_GB2312"/>
          <w:sz w:val="32"/>
          <w:szCs w:val="32"/>
        </w:rPr>
        <w:t>年“三公”经费预算数为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万元，其中，公务接待费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万元，公务用车购置及运行费</w:t>
      </w:r>
      <w:r>
        <w:rPr>
          <w:rFonts w:ascii="仿宋_GB2312" w:hAnsi="华文中宋" w:eastAsia="仿宋_GB2312"/>
          <w:sz w:val="32"/>
          <w:szCs w:val="32"/>
        </w:rPr>
        <w:t>0.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华文中宋" w:eastAsia="仿宋_GB2312"/>
          <w:sz w:val="32"/>
          <w:szCs w:val="32"/>
        </w:rPr>
        <w:t>万元（其中，公务用车购置费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万元，公务用车运行费</w:t>
      </w:r>
      <w:r>
        <w:rPr>
          <w:rFonts w:ascii="仿宋_GB2312" w:hAnsi="华文中宋" w:eastAsia="仿宋_GB2312"/>
          <w:sz w:val="32"/>
          <w:szCs w:val="32"/>
        </w:rPr>
        <w:t>0.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64</w:t>
      </w:r>
      <w:bookmarkStart w:id="5" w:name="_GoBack"/>
      <w:bookmarkEnd w:id="5"/>
      <w:r>
        <w:rPr>
          <w:rFonts w:hint="eastAsia" w:ascii="仿宋_GB2312" w:hAnsi="华文中宋" w:eastAsia="仿宋_GB2312"/>
          <w:sz w:val="32"/>
          <w:szCs w:val="32"/>
        </w:rPr>
        <w:t>万元），因公出国（境）费</w:t>
      </w:r>
      <w:r>
        <w:rPr>
          <w:rFonts w:ascii="仿宋_GB2312" w:hAnsi="华文中宋" w:eastAsia="仿宋_GB2312"/>
          <w:sz w:val="32"/>
          <w:szCs w:val="32"/>
        </w:rPr>
        <w:t>0</w:t>
      </w:r>
      <w:r>
        <w:rPr>
          <w:rFonts w:hint="eastAsia" w:ascii="仿宋_GB2312" w:hAnsi="华文中宋" w:eastAsia="仿宋_GB2312"/>
          <w:sz w:val="32"/>
          <w:szCs w:val="32"/>
        </w:rPr>
        <w:t>万元。</w:t>
      </w:r>
    </w:p>
    <w:p>
      <w:pPr>
        <w:spacing w:line="620" w:lineRule="exact"/>
        <w:ind w:firstLine="640" w:firstLineChars="200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三、部门专项组织实施情况</w:t>
      </w:r>
    </w:p>
    <w:p>
      <w:pPr>
        <w:spacing w:line="620" w:lineRule="exact"/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无建设项目</w:t>
      </w:r>
    </w:p>
    <w:bookmarkEnd w:id="3"/>
    <w:p>
      <w:pPr>
        <w:spacing w:line="620" w:lineRule="exact"/>
        <w:ind w:firstLine="640" w:firstLineChars="200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四、部门整体支出绩效情况</w:t>
      </w:r>
    </w:p>
    <w:tbl>
      <w:tblPr>
        <w:tblStyle w:val="5"/>
        <w:tblW w:w="90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>反映部门履职及履职效益情况。主要从部门整体支出的经济性、效率性、有效性和可持续性等方面进行量化、具体分析。其中：经济性分析主要是对成本（预算）控制、节约等情况进 行分析；效率性分析主要是对各项工作、专项完成的进度及质 量等情况进行分析；有效性分析主要是对反映部门整体支出使 用效果的个性指标进行分析；可持续性分析主要是对支出完成后，后续政策、资金、人员机构安排和管理措施等影响项目持续发展的因素进行分析。</w:t>
            </w:r>
          </w:p>
          <w:p>
            <w:pPr>
              <w:spacing w:line="620" w:lineRule="exact"/>
              <w:ind w:firstLine="640" w:firstLineChars="200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五、存在的主要问题</w:t>
            </w:r>
          </w:p>
          <w:p>
            <w:pPr>
              <w:spacing w:line="620" w:lineRule="exact"/>
              <w:ind w:firstLine="640" w:firstLineChars="200"/>
              <w:rPr>
                <w:rFonts w:hint="eastAsia"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年初预算的编制较为精细，按照费用支出的使用范围和内容，进行了基本支出、项目支出的严格区分，并按照预算的最末级明细进行预算支出管理;编制明细预算;预算执行情况还有待加强，</w:t>
            </w:r>
          </w:p>
          <w:p>
            <w:pPr>
              <w:spacing w:line="620" w:lineRule="exact"/>
              <w:ind w:firstLine="640" w:firstLineChars="200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六、改进措施和建议</w:t>
            </w:r>
          </w:p>
        </w:tc>
      </w:tr>
    </w:tbl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主要阐述资金安排、使用，资产管理过程中存在的问题。</w:t>
      </w:r>
    </w:p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固定资产的登记、管理不完善，资产管理需要加强。</w:t>
      </w:r>
    </w:p>
    <w:p>
      <w:pPr>
        <w:spacing w:line="620" w:lineRule="exact"/>
        <w:ind w:firstLine="640" w:firstLineChars="200"/>
        <w:rPr>
          <w:rFonts w:ascii="黑体" w:hAnsi="华文中宋" w:eastAsia="黑体"/>
          <w:sz w:val="32"/>
          <w:szCs w:val="32"/>
        </w:rPr>
      </w:pPr>
      <w:bookmarkStart w:id="4" w:name="bookmark104"/>
      <w:r>
        <w:rPr>
          <w:rFonts w:hint="eastAsia" w:ascii="黑体" w:hAnsi="华文中宋" w:eastAsia="黑体"/>
          <w:sz w:val="32"/>
          <w:szCs w:val="32"/>
        </w:rPr>
        <w:t>七</w:t>
      </w:r>
      <w:bookmarkEnd w:id="4"/>
      <w:r>
        <w:rPr>
          <w:rFonts w:hint="eastAsia" w:ascii="黑体" w:hAnsi="华文中宋" w:eastAsia="黑体"/>
          <w:sz w:val="32"/>
          <w:szCs w:val="32"/>
        </w:rPr>
        <w:t>、改进措施和有关建议</w:t>
      </w:r>
    </w:p>
    <w:p>
      <w:pPr>
        <w:pStyle w:val="18"/>
        <w:spacing w:line="360" w:lineRule="auto"/>
        <w:ind w:firstLine="420"/>
        <w:rPr>
          <w:rFonts w:ascii="仿宋_GB2312" w:hAnsi="华文中宋" w:eastAsia="仿宋_GB2312" w:cs="Times New Roman"/>
          <w:sz w:val="32"/>
          <w:szCs w:val="32"/>
          <w:lang w:val="en-US" w:bidi="ar-SA"/>
        </w:rPr>
      </w:pPr>
      <w:r>
        <w:rPr>
          <w:rFonts w:hint="eastAsia" w:ascii="仿宋_GB2312" w:hAnsi="华文中宋" w:eastAsia="仿宋_GB2312" w:cs="Times New Roman"/>
          <w:sz w:val="32"/>
          <w:szCs w:val="32"/>
          <w:lang w:val="en-US" w:bidi="ar-SA"/>
        </w:rPr>
        <w:t>对存在的问题提出切实可行的改进措施和有关建议等。建立健全固定资产管理制度。把固定资产纳入规范化、制度化轨道，建立各项固定资产管理管理制度，做到有章有循。准备反映固定资产增减情况，及时入账，做到账实相符。</w:t>
      </w:r>
    </w:p>
    <w:p>
      <w:pPr>
        <w:spacing w:line="1" w:lineRule="exact"/>
        <w:jc w:val="center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9731375</wp:posOffset>
              </wp:positionV>
              <wp:extent cx="603250" cy="10668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4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ODljYzJhODE2NTg1YjYyYzM1M2JjNTJjYTIwZTgifQ=="/>
  </w:docVars>
  <w:rsids>
    <w:rsidRoot w:val="56C81120"/>
    <w:rsid w:val="000C11D6"/>
    <w:rsid w:val="001F2433"/>
    <w:rsid w:val="00201867"/>
    <w:rsid w:val="002B1A02"/>
    <w:rsid w:val="003A10EB"/>
    <w:rsid w:val="00427756"/>
    <w:rsid w:val="00586F2B"/>
    <w:rsid w:val="005F4829"/>
    <w:rsid w:val="005F7E1C"/>
    <w:rsid w:val="006D667F"/>
    <w:rsid w:val="007D4018"/>
    <w:rsid w:val="008B1F0A"/>
    <w:rsid w:val="00931DF7"/>
    <w:rsid w:val="00946EA3"/>
    <w:rsid w:val="009922E1"/>
    <w:rsid w:val="009D2CE8"/>
    <w:rsid w:val="00A42942"/>
    <w:rsid w:val="00AA09A4"/>
    <w:rsid w:val="00B60F5D"/>
    <w:rsid w:val="00BE343B"/>
    <w:rsid w:val="00C447E1"/>
    <w:rsid w:val="00CD6AE3"/>
    <w:rsid w:val="00D4065B"/>
    <w:rsid w:val="00DA690A"/>
    <w:rsid w:val="00F83116"/>
    <w:rsid w:val="01F646D9"/>
    <w:rsid w:val="02312FDE"/>
    <w:rsid w:val="030A3C3B"/>
    <w:rsid w:val="03737E75"/>
    <w:rsid w:val="059C5FC0"/>
    <w:rsid w:val="05B34E63"/>
    <w:rsid w:val="096E03E2"/>
    <w:rsid w:val="0A7212EE"/>
    <w:rsid w:val="0AEC21F6"/>
    <w:rsid w:val="0C505A2A"/>
    <w:rsid w:val="115B71E4"/>
    <w:rsid w:val="15224E9F"/>
    <w:rsid w:val="1810076A"/>
    <w:rsid w:val="1BB424A3"/>
    <w:rsid w:val="1CB55F50"/>
    <w:rsid w:val="1F6E185C"/>
    <w:rsid w:val="205265F0"/>
    <w:rsid w:val="22327D4B"/>
    <w:rsid w:val="236639AE"/>
    <w:rsid w:val="268F2143"/>
    <w:rsid w:val="290A0FAD"/>
    <w:rsid w:val="2BD842FA"/>
    <w:rsid w:val="2C8F18D7"/>
    <w:rsid w:val="2EAE0451"/>
    <w:rsid w:val="30242343"/>
    <w:rsid w:val="33B015AE"/>
    <w:rsid w:val="36FA7313"/>
    <w:rsid w:val="386726C0"/>
    <w:rsid w:val="39A64049"/>
    <w:rsid w:val="39F07A6A"/>
    <w:rsid w:val="3B195752"/>
    <w:rsid w:val="3BE645DA"/>
    <w:rsid w:val="3E225751"/>
    <w:rsid w:val="3F577654"/>
    <w:rsid w:val="419B1E66"/>
    <w:rsid w:val="423B1DB6"/>
    <w:rsid w:val="431130AB"/>
    <w:rsid w:val="46982461"/>
    <w:rsid w:val="4999703E"/>
    <w:rsid w:val="4BFA6143"/>
    <w:rsid w:val="4C7D16E9"/>
    <w:rsid w:val="4D301426"/>
    <w:rsid w:val="4D625F91"/>
    <w:rsid w:val="4DAD5A12"/>
    <w:rsid w:val="527541A2"/>
    <w:rsid w:val="52E51199"/>
    <w:rsid w:val="52FC628B"/>
    <w:rsid w:val="56264655"/>
    <w:rsid w:val="56C81120"/>
    <w:rsid w:val="56F073BC"/>
    <w:rsid w:val="57F624E8"/>
    <w:rsid w:val="58694C64"/>
    <w:rsid w:val="5B8E7E9F"/>
    <w:rsid w:val="5D951189"/>
    <w:rsid w:val="62513BD9"/>
    <w:rsid w:val="633E6B66"/>
    <w:rsid w:val="666511E2"/>
    <w:rsid w:val="67983B05"/>
    <w:rsid w:val="683434AB"/>
    <w:rsid w:val="688268EC"/>
    <w:rsid w:val="710559BC"/>
    <w:rsid w:val="74845DE2"/>
    <w:rsid w:val="760A16B6"/>
    <w:rsid w:val="7785384A"/>
    <w:rsid w:val="78CF2B34"/>
    <w:rsid w:val="7E463776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9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0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1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2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3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4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5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6">
    <w:name w:val="bsharetext"/>
    <w:basedOn w:val="6"/>
    <w:qFormat/>
    <w:uiPriority w:val="0"/>
  </w:style>
  <w:style w:type="character" w:customStyle="1" w:styleId="2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8">
    <w:name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1063</Characters>
  <Lines>7</Lines>
  <Paragraphs>2</Paragraphs>
  <TotalTime>0</TotalTime>
  <ScaleCrop>false</ScaleCrop>
  <LinksUpToDate>false</LinksUpToDate>
  <CharactersWithSpaces>1071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2020-06-22T07:19:00Z</cp:lastPrinted>
  <dcterms:modified xsi:type="dcterms:W3CDTF">2023-12-10T06:51:46Z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06BA086ECB7A4F98B024516B123FF720</vt:lpwstr>
  </property>
</Properties>
</file>