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val="0"/>
        <w:shd w:val="clear" w:color="auto" w:fill="auto"/>
        <w:bidi w:val="0"/>
        <w:spacing w:before="0" w:line="240" w:lineRule="auto"/>
        <w:ind w:left="0" w:leftChars="0" w:right="0" w:firstLine="0" w:firstLineChars="0"/>
        <w:jc w:val="left"/>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附件</w:t>
      </w:r>
      <w:r>
        <w:rPr>
          <w:rFonts w:hint="eastAsia" w:cs="宋体"/>
          <w:color w:val="000000"/>
          <w:spacing w:val="0"/>
          <w:w w:val="100"/>
          <w:position w:val="0"/>
          <w:sz w:val="24"/>
          <w:szCs w:val="24"/>
          <w:lang w:val="en-US" w:eastAsia="zh-CN"/>
        </w:rPr>
        <w:t>1</w:t>
      </w:r>
    </w:p>
    <w:p>
      <w:pPr>
        <w:spacing w:beforeLines="50" w:afterLines="50"/>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部门整体支出绩效评价</w:t>
      </w:r>
      <w:r>
        <w:rPr>
          <w:rFonts w:hint="eastAsia" w:ascii="Times New Roman" w:hAnsi="Times New Roman" w:eastAsia="方正小标宋_GBK" w:cs="Times New Roman"/>
          <w:kern w:val="0"/>
          <w:sz w:val="36"/>
          <w:szCs w:val="36"/>
          <w:lang w:eastAsia="zh-CN"/>
        </w:rPr>
        <w:t>指标</w:t>
      </w:r>
      <w:r>
        <w:rPr>
          <w:rFonts w:hint="default" w:ascii="Times New Roman" w:hAnsi="Times New Roman" w:eastAsia="方正小标宋_GBK" w:cs="Times New Roman"/>
          <w:kern w:val="0"/>
          <w:sz w:val="36"/>
          <w:szCs w:val="36"/>
        </w:rPr>
        <w:t>表</w:t>
      </w:r>
    </w:p>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0"/>
          <w:sz w:val="28"/>
          <w:szCs w:val="28"/>
          <w:lang w:eastAsia="zh-CN"/>
        </w:rPr>
        <w:t>填报单位：（盖章）</w:t>
      </w:r>
    </w:p>
    <w:tbl>
      <w:tblPr>
        <w:tblStyle w:val="5"/>
        <w:tblW w:w="10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6"/>
        <w:gridCol w:w="866"/>
        <w:gridCol w:w="951"/>
        <w:gridCol w:w="2908"/>
        <w:gridCol w:w="425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pPr>
              <w:jc w:val="center"/>
              <w:rPr>
                <w:rFonts w:hint="eastAsia" w:ascii="仿宋_GB2312" w:eastAsia="仿宋_GB2312"/>
                <w:b/>
                <w:bCs/>
                <w:szCs w:val="21"/>
                <w:lang w:eastAsia="zh-CN"/>
              </w:rPr>
            </w:pPr>
            <w:r>
              <w:rPr>
                <w:rFonts w:hint="eastAsia" w:ascii="仿宋_GB2312" w:eastAsia="仿宋_GB2312"/>
                <w:b/>
                <w:bCs/>
                <w:szCs w:val="21"/>
              </w:rPr>
              <w:t>一级</w:t>
            </w:r>
          </w:p>
          <w:p>
            <w:pPr>
              <w:jc w:val="center"/>
              <w:rPr>
                <w:rFonts w:ascii="仿宋_GB2312" w:eastAsia="仿宋_GB2312"/>
                <w:b/>
                <w:bCs/>
                <w:szCs w:val="21"/>
              </w:rPr>
            </w:pPr>
            <w:r>
              <w:rPr>
                <w:rFonts w:hint="eastAsia" w:ascii="仿宋_GB2312" w:eastAsia="仿宋_GB2312"/>
                <w:b/>
                <w:bCs/>
                <w:szCs w:val="21"/>
              </w:rPr>
              <w:t>指标</w:t>
            </w:r>
          </w:p>
        </w:tc>
        <w:tc>
          <w:tcPr>
            <w:tcW w:w="866" w:type="dxa"/>
            <w:tcMar>
              <w:top w:w="10" w:type="dxa"/>
              <w:left w:w="10" w:type="dxa"/>
              <w:bottom w:w="0" w:type="dxa"/>
              <w:right w:w="10" w:type="dxa"/>
            </w:tcMar>
            <w:vAlign w:val="center"/>
          </w:tcPr>
          <w:p>
            <w:pPr>
              <w:ind w:right="-174" w:rightChars="-83"/>
              <w:jc w:val="center"/>
              <w:rPr>
                <w:rFonts w:ascii="仿宋_GB2312" w:eastAsia="仿宋_GB2312"/>
                <w:b/>
                <w:bCs/>
                <w:szCs w:val="21"/>
              </w:rPr>
            </w:pPr>
            <w:r>
              <w:rPr>
                <w:rFonts w:hint="eastAsia" w:ascii="仿宋_GB2312" w:eastAsia="仿宋_GB2312"/>
                <w:b/>
                <w:bCs/>
                <w:szCs w:val="21"/>
              </w:rPr>
              <w:t>二级</w:t>
            </w:r>
          </w:p>
          <w:p>
            <w:pPr>
              <w:ind w:right="-174" w:rightChars="-83"/>
              <w:jc w:val="center"/>
              <w:rPr>
                <w:rFonts w:ascii="仿宋_GB2312" w:eastAsia="仿宋_GB2312"/>
                <w:b/>
                <w:bCs/>
                <w:szCs w:val="21"/>
              </w:rPr>
            </w:pPr>
            <w:r>
              <w:rPr>
                <w:rFonts w:hint="eastAsia" w:ascii="仿宋_GB2312" w:eastAsia="仿宋_GB2312"/>
                <w:b/>
                <w:bCs/>
                <w:szCs w:val="21"/>
              </w:rPr>
              <w:t>指标</w:t>
            </w:r>
          </w:p>
        </w:tc>
        <w:tc>
          <w:tcPr>
            <w:tcW w:w="95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w:t>
            </w:r>
          </w:p>
          <w:p>
            <w:pPr>
              <w:jc w:val="center"/>
              <w:rPr>
                <w:rFonts w:ascii="仿宋_GB2312" w:eastAsia="仿宋_GB2312"/>
                <w:b/>
                <w:bCs/>
                <w:szCs w:val="21"/>
              </w:rPr>
            </w:pPr>
            <w:r>
              <w:rPr>
                <w:rFonts w:hint="eastAsia" w:ascii="仿宋_GB2312" w:eastAsia="仿宋_GB2312"/>
                <w:b/>
                <w:bCs/>
                <w:szCs w:val="21"/>
              </w:rPr>
              <w:t>指标</w:t>
            </w:r>
          </w:p>
        </w:tc>
        <w:tc>
          <w:tcPr>
            <w:tcW w:w="2908"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评分及标准</w:t>
            </w:r>
          </w:p>
        </w:tc>
        <w:tc>
          <w:tcPr>
            <w:tcW w:w="4252"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指标说明</w:t>
            </w:r>
          </w:p>
        </w:tc>
        <w:tc>
          <w:tcPr>
            <w:tcW w:w="938" w:type="dxa"/>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67"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投</w:t>
            </w:r>
            <w:r>
              <w:rPr>
                <w:rFonts w:ascii="仿宋_GB2312" w:eastAsia="仿宋_GB2312"/>
                <w:szCs w:val="21"/>
              </w:rPr>
              <w:t xml:space="preserve">   </w:t>
            </w:r>
            <w:r>
              <w:rPr>
                <w:rFonts w:hint="eastAsia" w:ascii="仿宋_GB2312" w:eastAsia="仿宋_GB2312"/>
                <w:szCs w:val="21"/>
              </w:rPr>
              <w:t>入</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目标</w:t>
            </w:r>
          </w:p>
          <w:p>
            <w:pPr>
              <w:spacing w:line="320" w:lineRule="exact"/>
              <w:jc w:val="center"/>
              <w:rPr>
                <w:rFonts w:ascii="仿宋_GB2312" w:eastAsia="仿宋_GB2312"/>
                <w:szCs w:val="21"/>
              </w:rPr>
            </w:pPr>
            <w:r>
              <w:rPr>
                <w:rFonts w:hint="eastAsia" w:ascii="仿宋_GB2312" w:eastAsia="仿宋_GB2312"/>
                <w:szCs w:val="21"/>
              </w:rPr>
              <w:t>设定</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14</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绩效目标</w:t>
            </w:r>
          </w:p>
          <w:p>
            <w:pPr>
              <w:spacing w:line="320" w:lineRule="exact"/>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是否符合国家法律法规、国民经济和社会发展总体规划</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②</w:t>
            </w:r>
            <w:r>
              <w:rPr>
                <w:rFonts w:hint="eastAsia" w:ascii="仿宋_GB2312" w:eastAsia="仿宋_GB2312"/>
                <w:szCs w:val="21"/>
              </w:rPr>
              <w:t>是否符合部门“三定”方案确定的职责</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③</w:t>
            </w:r>
            <w:r>
              <w:rPr>
                <w:rFonts w:hint="eastAsia" w:ascii="仿宋_GB2312" w:eastAsia="仿宋_GB2312"/>
                <w:szCs w:val="21"/>
              </w:rPr>
              <w:t>是否符合部门制定的中长期实施规划</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8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绩效指标</w:t>
            </w:r>
          </w:p>
          <w:p>
            <w:pPr>
              <w:spacing w:line="320" w:lineRule="exact"/>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是否将部门整体的绩效目标细化分解为具体的工作任务</w:t>
            </w:r>
            <w:r>
              <w:rPr>
                <w:rFonts w:ascii="仿宋_GB2312" w:eastAsia="仿宋_GB2312"/>
                <w:szCs w:val="21"/>
              </w:rPr>
              <w:t>2</w:t>
            </w:r>
            <w:r>
              <w:rPr>
                <w:rFonts w:hint="eastAsia" w:ascii="仿宋_GB2312" w:eastAsia="仿宋_GB2312"/>
                <w:szCs w:val="21"/>
              </w:rPr>
              <w:t>分；</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是否通过清晰、可衡量的指标值予以体现。</w:t>
            </w:r>
            <w:r>
              <w:rPr>
                <w:rFonts w:ascii="仿宋_GB2312" w:eastAsia="仿宋_GB2312"/>
                <w:szCs w:val="21"/>
              </w:rPr>
              <w:t xml:space="preserve">    </w:t>
            </w:r>
            <w:r>
              <w:rPr>
                <w:rFonts w:hint="eastAsia" w:ascii="仿宋_GB2312" w:hAnsi="宋体" w:eastAsia="仿宋_GB2312" w:cs="宋体"/>
                <w:szCs w:val="21"/>
              </w:rPr>
              <w:t>③</w:t>
            </w:r>
            <w:r>
              <w:rPr>
                <w:rFonts w:hint="eastAsia" w:ascii="仿宋_GB2312" w:eastAsia="仿宋_GB2312"/>
                <w:szCs w:val="21"/>
              </w:rPr>
              <w:t>是否与部门年度的任务数或计划数相对应</w:t>
            </w:r>
            <w:r>
              <w:rPr>
                <w:rFonts w:ascii="仿宋_GB2312" w:eastAsia="仿宋_GB2312"/>
                <w:szCs w:val="21"/>
              </w:rPr>
              <w:t>2</w:t>
            </w:r>
            <w:r>
              <w:rPr>
                <w:rFonts w:hint="eastAsia" w:ascii="仿宋_GB2312" w:eastAsia="仿宋_GB2312"/>
                <w:szCs w:val="21"/>
              </w:rPr>
              <w:t>分；</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是否与本年度部门预算资金相匹配</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配置</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在职人员</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w:t>
            </w:r>
            <w:r>
              <w:rPr>
                <w:rFonts w:ascii="仿宋_GB2312" w:eastAsia="仿宋_GB2312"/>
                <w:szCs w:val="21"/>
              </w:rPr>
              <w:t>100%</w:t>
            </w:r>
            <w:r>
              <w:rPr>
                <w:rFonts w:hint="eastAsia" w:ascii="仿宋_GB2312" w:eastAsia="仿宋_GB2312"/>
                <w:szCs w:val="21"/>
              </w:rPr>
              <w:t>为标准，在职人员控制率≤</w:t>
            </w:r>
            <w:r>
              <w:rPr>
                <w:rFonts w:ascii="仿宋_GB2312" w:eastAsia="仿宋_GB2312"/>
                <w:szCs w:val="21"/>
              </w:rPr>
              <w:t>100%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分；每超过一个百分点扣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在职人员控制率</w:t>
            </w:r>
            <w:r>
              <w:rPr>
                <w:rFonts w:ascii="仿宋_GB2312" w:eastAsia="仿宋_GB2312"/>
                <w:szCs w:val="21"/>
              </w:rPr>
              <w:t>=</w:t>
            </w:r>
            <w:r>
              <w:rPr>
                <w:rFonts w:hint="eastAsia" w:ascii="仿宋_GB2312" w:eastAsia="仿宋_GB2312"/>
                <w:szCs w:val="21"/>
              </w:rPr>
              <w:t>（在职人员数</w:t>
            </w:r>
            <w:r>
              <w:rPr>
                <w:rFonts w:ascii="仿宋_GB2312" w:eastAsia="仿宋_GB2312"/>
                <w:szCs w:val="21"/>
              </w:rPr>
              <w:t>/</w:t>
            </w:r>
            <w:r>
              <w:rPr>
                <w:rFonts w:hint="eastAsia" w:ascii="仿宋_GB2312" w:eastAsia="仿宋_GB2312"/>
                <w:szCs w:val="21"/>
              </w:rPr>
              <w:t>编制数）×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在职人员数：部门实际在职人数，以财政部确定的部门决算编制口径为准。</w:t>
            </w:r>
          </w:p>
          <w:p>
            <w:pPr>
              <w:spacing w:line="320" w:lineRule="exact"/>
              <w:ind w:left="105" w:leftChars="50" w:right="105" w:rightChars="50"/>
              <w:rPr>
                <w:rFonts w:ascii="仿宋_GB2312" w:eastAsia="仿宋_GB2312"/>
                <w:szCs w:val="21"/>
              </w:rPr>
            </w:pPr>
            <w:r>
              <w:rPr>
                <w:rFonts w:hint="eastAsia" w:ascii="仿宋_GB2312" w:eastAsia="仿宋_GB2312"/>
                <w:szCs w:val="21"/>
              </w:rPr>
              <w:t>编制数：机构编制部门核定批复的部门的人员编制数。</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“三公经费”变动率为</w:t>
            </w:r>
            <w:r>
              <w:rPr>
                <w:rFonts w:ascii="仿宋_GB2312" w:eastAsia="仿宋_GB2312"/>
                <w:szCs w:val="21"/>
              </w:rPr>
              <w:t>0</w:t>
            </w:r>
            <w:r>
              <w:rPr>
                <w:rFonts w:hint="eastAsia" w:ascii="仿宋_GB2312" w:eastAsia="仿宋_GB2312"/>
                <w:szCs w:val="21"/>
              </w:rPr>
              <w:t>，计</w:t>
            </w:r>
            <w:r>
              <w:rPr>
                <w:rFonts w:ascii="仿宋_GB2312" w:eastAsia="仿宋_GB2312"/>
                <w:szCs w:val="21"/>
              </w:rPr>
              <w:t>5</w:t>
            </w:r>
            <w:r>
              <w:rPr>
                <w:rFonts w:hint="eastAsia" w:ascii="仿宋_GB2312" w:eastAsia="仿宋_GB2312"/>
                <w:szCs w:val="21"/>
              </w:rPr>
              <w:t>分；“三公经费”＞</w:t>
            </w:r>
            <w:r>
              <w:rPr>
                <w:rFonts w:ascii="仿宋_GB2312" w:eastAsia="仿宋_GB2312"/>
                <w:szCs w:val="21"/>
              </w:rPr>
              <w:t>0</w:t>
            </w:r>
            <w:r>
              <w:rPr>
                <w:rFonts w:hint="eastAsia" w:ascii="仿宋_GB2312" w:eastAsia="仿宋_GB2312"/>
                <w:szCs w:val="21"/>
              </w:rPr>
              <w:t>，每超过一个百分点扣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“三公经费”变动率</w:t>
            </w:r>
            <w:r>
              <w:rPr>
                <w:rFonts w:ascii="仿宋_GB2312" w:eastAsia="仿宋_GB2312"/>
                <w:szCs w:val="21"/>
              </w:rPr>
              <w:t>=[</w:t>
            </w:r>
            <w:r>
              <w:rPr>
                <w:rFonts w:hint="eastAsia" w:ascii="仿宋_GB2312" w:eastAsia="仿宋_GB2312"/>
                <w:szCs w:val="21"/>
              </w:rPr>
              <w:t>（本年度“三公经费”总额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“三公经费”：年度预算安排的因公出国（境）费、公务车辆购置及运行费和公务招待费。</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61"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重点支出</w:t>
            </w:r>
          </w:p>
          <w:p>
            <w:pPr>
              <w:spacing w:line="320" w:lineRule="exact"/>
              <w:jc w:val="center"/>
              <w:rPr>
                <w:rFonts w:ascii="仿宋_GB2312" w:eastAsia="仿宋_GB2312"/>
                <w:szCs w:val="21"/>
              </w:rPr>
            </w:pPr>
            <w:r>
              <w:rPr>
                <w:rFonts w:hint="eastAsia" w:ascii="仿宋_GB2312" w:eastAsia="仿宋_GB2312"/>
                <w:szCs w:val="21"/>
              </w:rPr>
              <w:t>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“重点支出安排率”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分，每下降一个百分点扣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重点支出安排率</w:t>
            </w:r>
            <w:r>
              <w:rPr>
                <w:rFonts w:ascii="仿宋_GB2312" w:eastAsia="仿宋_GB2312"/>
                <w:szCs w:val="21"/>
              </w:rPr>
              <w:t>=</w:t>
            </w:r>
            <w:r>
              <w:rPr>
                <w:rFonts w:hint="eastAsia" w:ascii="仿宋_GB2312" w:eastAsia="仿宋_GB2312"/>
                <w:szCs w:val="21"/>
              </w:rPr>
              <w:t>（重点预算支出</w:t>
            </w:r>
            <w:r>
              <w:rPr>
                <w:rFonts w:ascii="仿宋_GB2312" w:eastAsia="仿宋_GB2312"/>
                <w:szCs w:val="21"/>
              </w:rPr>
              <w:t>/</w:t>
            </w:r>
            <w:r>
              <w:rPr>
                <w:rFonts w:hint="eastAsia" w:ascii="仿宋_GB2312" w:eastAsia="仿宋_GB2312"/>
                <w:szCs w:val="21"/>
              </w:rPr>
              <w:t>预算总支出）×</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重点预算支出：部门年度预算安排的，与本部门履职和发展密切相关、具有明显社会和经济影响、党委政府关心或社会比较关注的预算支出支出总额。</w:t>
            </w:r>
          </w:p>
          <w:p>
            <w:pPr>
              <w:spacing w:line="320" w:lineRule="exact"/>
              <w:ind w:left="105" w:leftChars="50" w:right="105" w:rightChars="50"/>
              <w:rPr>
                <w:rFonts w:ascii="仿宋_GB2312" w:eastAsia="仿宋_GB2312"/>
                <w:szCs w:val="21"/>
              </w:rPr>
            </w:pPr>
            <w:r>
              <w:rPr>
                <w:rFonts w:hint="eastAsia" w:ascii="仿宋_GB2312" w:eastAsia="仿宋_GB2312"/>
                <w:szCs w:val="21"/>
              </w:rPr>
              <w:t>预算总支出：部门年度预算安排的预算支出支出总额。</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60"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（预算执行数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预算执行数：部门本年度实际完成的预算数。</w:t>
            </w:r>
          </w:p>
          <w:p>
            <w:pPr>
              <w:spacing w:line="320" w:lineRule="exact"/>
              <w:ind w:left="105" w:leftChars="50" w:right="105" w:rightChars="50"/>
              <w:rPr>
                <w:rFonts w:ascii="仿宋_GB2312" w:eastAsia="仿宋_GB2312"/>
                <w:szCs w:val="21"/>
              </w:rPr>
            </w:pPr>
            <w:r>
              <w:rPr>
                <w:rFonts w:hint="eastAsia" w:ascii="仿宋_GB2312" w:eastAsia="仿宋_GB2312"/>
                <w:szCs w:val="21"/>
              </w:rPr>
              <w:t>预算数：财政部门批复的本年度部门预算数。</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7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调整率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预算调整率</w:t>
            </w:r>
            <w:r>
              <w:rPr>
                <w:rFonts w:ascii="仿宋_GB2312" w:eastAsia="仿宋_GB2312"/>
                <w:szCs w:val="21"/>
              </w:rPr>
              <w:t>=</w:t>
            </w:r>
            <w:r>
              <w:rPr>
                <w:rFonts w:hint="eastAsia" w:ascii="仿宋_GB2312" w:eastAsia="仿宋_GB2312"/>
                <w:szCs w:val="21"/>
              </w:rPr>
              <w:t>（预算调整数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1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支付</w:t>
            </w:r>
          </w:p>
          <w:p>
            <w:pPr>
              <w:spacing w:line="320" w:lineRule="exact"/>
              <w:jc w:val="center"/>
              <w:rPr>
                <w:rFonts w:ascii="仿宋_GB2312" w:eastAsia="仿宋_GB2312"/>
                <w:szCs w:val="21"/>
              </w:rPr>
            </w:pPr>
            <w:r>
              <w:rPr>
                <w:rFonts w:hint="eastAsia" w:ascii="仿宋_GB2312" w:eastAsia="仿宋_GB2312"/>
                <w:szCs w:val="21"/>
              </w:rPr>
              <w:t>进度率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支付进度率</w:t>
            </w:r>
            <w:r>
              <w:rPr>
                <w:rFonts w:ascii="仿宋_GB2312" w:eastAsia="仿宋_GB2312"/>
                <w:szCs w:val="21"/>
              </w:rPr>
              <w:t>=</w:t>
            </w:r>
            <w:r>
              <w:rPr>
                <w:rFonts w:hint="eastAsia" w:ascii="仿宋_GB2312" w:eastAsia="仿宋_GB2312"/>
                <w:szCs w:val="21"/>
              </w:rPr>
              <w:t>（实际支付进度</w:t>
            </w:r>
            <w:r>
              <w:rPr>
                <w:rFonts w:ascii="仿宋_GB2312" w:eastAsia="仿宋_GB2312"/>
                <w:szCs w:val="21"/>
              </w:rPr>
              <w:t>/</w:t>
            </w:r>
            <w:r>
              <w:rPr>
                <w:rFonts w:hint="eastAsia" w:ascii="仿宋_GB2312" w:eastAsia="仿宋_GB2312"/>
                <w:szCs w:val="21"/>
              </w:rPr>
              <w:t>既定支付进度）×</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实际支付进度：部门在某一时点的支出预算执行总数与年度支出预算数的比率。</w:t>
            </w:r>
          </w:p>
          <w:p>
            <w:pPr>
              <w:spacing w:line="320" w:lineRule="exact"/>
              <w:ind w:left="105" w:leftChars="50" w:right="105" w:rightChars="50"/>
              <w:rPr>
                <w:rFonts w:ascii="仿宋_GB2312" w:eastAsia="仿宋_GB2312"/>
                <w:szCs w:val="21"/>
              </w:rPr>
            </w:pPr>
            <w:r>
              <w:rPr>
                <w:rFonts w:hint="eastAsia" w:ascii="仿宋_GB2312" w:eastAsia="仿宋_GB2312"/>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continue"/>
            <w:tcMar>
              <w:top w:w="10" w:type="dxa"/>
              <w:left w:w="10" w:type="dxa"/>
              <w:bottom w:w="0" w:type="dxa"/>
              <w:right w:w="10" w:type="dxa"/>
            </w:tcMar>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w:t>
            </w:r>
          </w:p>
          <w:p>
            <w:pPr>
              <w:spacing w:line="320" w:lineRule="exact"/>
              <w:jc w:val="center"/>
              <w:rPr>
                <w:rFonts w:ascii="仿宋_GB2312" w:eastAsia="仿宋_GB2312"/>
                <w:szCs w:val="21"/>
              </w:rPr>
            </w:pPr>
            <w:r>
              <w:rPr>
                <w:rFonts w:hint="eastAsia" w:ascii="仿宋_GB2312" w:eastAsia="仿宋_GB2312"/>
                <w:szCs w:val="21"/>
              </w:rPr>
              <w:t>结余率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结转结余率</w:t>
            </w:r>
            <w:r>
              <w:rPr>
                <w:rFonts w:ascii="仿宋_GB2312" w:eastAsia="仿宋_GB2312"/>
                <w:szCs w:val="21"/>
              </w:rPr>
              <w:t>=</w:t>
            </w:r>
            <w:r>
              <w:rPr>
                <w:rFonts w:hint="eastAsia" w:ascii="仿宋_GB2312" w:eastAsia="仿宋_GB2312"/>
                <w:szCs w:val="21"/>
              </w:rPr>
              <w:t>结转结余总额</w:t>
            </w:r>
            <w:r>
              <w:rPr>
                <w:rFonts w:ascii="仿宋_GB2312" w:eastAsia="仿宋_GB2312"/>
                <w:szCs w:val="21"/>
              </w:rPr>
              <w:t>/</w:t>
            </w:r>
            <w:r>
              <w:rPr>
                <w:rFonts w:hint="eastAsia" w:ascii="仿宋_GB2312" w:eastAsia="仿宋_GB2312"/>
                <w:szCs w:val="21"/>
              </w:rPr>
              <w:t>支出预算数×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结转结余总额：部门本年度的结转资金与结余资金之和（以决算数为准）。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结转结余</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结转结余变动率</w:t>
            </w:r>
            <w:r>
              <w:rPr>
                <w:rFonts w:ascii="仿宋_GB2312" w:eastAsia="仿宋_GB2312"/>
                <w:szCs w:val="21"/>
              </w:rPr>
              <w:t>=[</w:t>
            </w:r>
            <w:r>
              <w:rPr>
                <w:rFonts w:hint="eastAsia" w:ascii="仿宋_GB2312" w:eastAsia="仿宋_GB2312"/>
                <w:szCs w:val="21"/>
              </w:rPr>
              <w:t>（本年度累计结转结余资金总额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公用经费</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公用经费控制率</w:t>
            </w:r>
            <w:r>
              <w:rPr>
                <w:rFonts w:ascii="仿宋_GB2312" w:eastAsia="仿宋_GB2312"/>
                <w:szCs w:val="21"/>
              </w:rPr>
              <w:t>=</w:t>
            </w:r>
            <w:r>
              <w:rPr>
                <w:rFonts w:hint="eastAsia" w:ascii="仿宋_GB2312" w:eastAsia="仿宋_GB2312"/>
                <w:szCs w:val="21"/>
              </w:rPr>
              <w:t>（实际支出公用经费总额</w:t>
            </w:r>
            <w:r>
              <w:rPr>
                <w:rFonts w:ascii="仿宋_GB2312" w:eastAsia="仿宋_GB2312"/>
                <w:szCs w:val="21"/>
              </w:rPr>
              <w:t>/</w:t>
            </w:r>
            <w:r>
              <w:rPr>
                <w:rFonts w:hint="eastAsia" w:ascii="仿宋_GB2312" w:eastAsia="仿宋_GB2312"/>
                <w:szCs w:val="21"/>
              </w:rPr>
              <w:t>预算安排公用经费总额）×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4"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“三公经费”控制率（</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“三公经费”控制率</w:t>
            </w:r>
            <w:r>
              <w:rPr>
                <w:rFonts w:ascii="仿宋_GB2312" w:eastAsia="仿宋_GB2312"/>
                <w:szCs w:val="21"/>
              </w:rPr>
              <w:t>=</w:t>
            </w:r>
            <w:r>
              <w:rPr>
                <w:rFonts w:hint="eastAsia" w:ascii="仿宋_GB2312" w:eastAsia="仿宋_GB2312"/>
                <w:szCs w:val="21"/>
              </w:rPr>
              <w:t>（“三公经费”实际支出数</w:t>
            </w:r>
            <w:r>
              <w:rPr>
                <w:rFonts w:ascii="仿宋_GB2312" w:eastAsia="仿宋_GB2312"/>
                <w:szCs w:val="21"/>
              </w:rPr>
              <w:t>/</w:t>
            </w:r>
            <w:r>
              <w:rPr>
                <w:rFonts w:hint="eastAsia" w:ascii="仿宋_GB2312" w:eastAsia="仿宋_GB2312"/>
                <w:szCs w:val="21"/>
              </w:rPr>
              <w:t>“三公经费”预算安排数）×</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政府采购</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政府采购执行率</w:t>
            </w:r>
            <w:r>
              <w:rPr>
                <w:rFonts w:ascii="仿宋_GB2312" w:eastAsia="仿宋_GB2312"/>
                <w:szCs w:val="21"/>
              </w:rPr>
              <w:t>=</w:t>
            </w:r>
            <w:r>
              <w:rPr>
                <w:rFonts w:hint="eastAsia" w:ascii="仿宋_GB2312" w:eastAsia="仿宋_GB2312"/>
                <w:szCs w:val="21"/>
              </w:rPr>
              <w:t>（实际政府采购金额</w:t>
            </w:r>
            <w:r>
              <w:rPr>
                <w:rFonts w:ascii="仿宋_GB2312" w:eastAsia="仿宋_GB2312"/>
                <w:szCs w:val="21"/>
              </w:rPr>
              <w:t>/</w:t>
            </w:r>
            <w:r>
              <w:rPr>
                <w:rFonts w:hint="eastAsia" w:ascii="仿宋_GB2312" w:eastAsia="仿宋_GB2312"/>
                <w:szCs w:val="21"/>
              </w:rPr>
              <w:t>政府采购预算数）×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p>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w:t>
            </w:r>
            <w:r>
              <w:rPr>
                <w:rFonts w:hint="eastAsia" w:ascii="仿宋_GB2312" w:eastAsia="仿宋_GB2312"/>
                <w:szCs w:val="21"/>
              </w:rPr>
              <w:t>有内部财务管理制度，会计核算制度等管理制度，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2.</w:t>
            </w:r>
            <w:r>
              <w:rPr>
                <w:rFonts w:hint="eastAsia" w:ascii="仿宋_GB2312" w:eastAsia="仿宋_GB2312"/>
                <w:szCs w:val="21"/>
              </w:rPr>
              <w:t>有本部门厉行节约制度，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3.</w:t>
            </w:r>
            <w:r>
              <w:rPr>
                <w:rFonts w:hint="eastAsia" w:ascii="仿宋_GB2312" w:eastAsia="仿宋_GB2312"/>
                <w:szCs w:val="21"/>
              </w:rPr>
              <w:t>相关管理制度合法、合规、完整，</w:t>
            </w:r>
            <w:r>
              <w:rPr>
                <w:rFonts w:ascii="仿宋_GB2312" w:eastAsia="仿宋_GB2312"/>
                <w:szCs w:val="21"/>
              </w:rPr>
              <w:t>0.5</w:t>
            </w:r>
            <w:r>
              <w:rPr>
                <w:rFonts w:hint="eastAsia" w:ascii="仿宋_GB2312" w:eastAsia="仿宋_GB2312"/>
                <w:szCs w:val="21"/>
              </w:rPr>
              <w:t>分；</w:t>
            </w:r>
            <w:r>
              <w:rPr>
                <w:rFonts w:ascii="仿宋_GB2312" w:eastAsia="仿宋_GB2312"/>
                <w:szCs w:val="21"/>
              </w:rPr>
              <w:t>4.</w:t>
            </w:r>
            <w:r>
              <w:rPr>
                <w:rFonts w:hint="eastAsia" w:ascii="仿宋_GB2312" w:eastAsia="仿宋_GB2312"/>
                <w:szCs w:val="21"/>
              </w:rPr>
              <w:t>相关管理制度得到有效执行，</w:t>
            </w:r>
            <w:r>
              <w:rPr>
                <w:rFonts w:ascii="仿宋_GB2312" w:eastAsia="仿宋_GB2312"/>
                <w:szCs w:val="21"/>
              </w:rPr>
              <w:t>0.5</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是否已制定或具有预算资金管理办法、内部财务管理制度、会计核算制度等管理制度；</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相关管理制度是否合法、合规、完整；</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相关管理制度是否得到有效执行。</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资金使用</w:t>
            </w:r>
          </w:p>
          <w:p>
            <w:pPr>
              <w:spacing w:line="320" w:lineRule="exact"/>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spacing w:line="300" w:lineRule="exact"/>
              <w:rPr>
                <w:rFonts w:ascii="仿宋_GB2312" w:eastAsia="仿宋_GB2312"/>
                <w:szCs w:val="21"/>
              </w:rPr>
            </w:pPr>
            <w:r>
              <w:rPr>
                <w:rFonts w:ascii="仿宋_GB2312" w:eastAsia="仿宋_GB2312"/>
                <w:szCs w:val="21"/>
              </w:rPr>
              <w:t>1.</w:t>
            </w:r>
            <w:r>
              <w:rPr>
                <w:rFonts w:hint="eastAsia" w:ascii="仿宋_GB2312" w:eastAsia="仿宋_GB2312"/>
                <w:szCs w:val="21"/>
              </w:rPr>
              <w:t>支出符合国家财经法规和财务管理制度规定以及有关专项资金管理办法的规定；</w:t>
            </w:r>
            <w:r>
              <w:rPr>
                <w:rFonts w:ascii="仿宋_GB2312" w:eastAsia="仿宋_GB2312"/>
                <w:szCs w:val="21"/>
              </w:rPr>
              <w:t>2.</w:t>
            </w:r>
            <w:r>
              <w:rPr>
                <w:rFonts w:hint="eastAsia" w:ascii="仿宋_GB2312" w:eastAsia="仿宋_GB2312"/>
                <w:szCs w:val="21"/>
              </w:rPr>
              <w:t>资金拨付有完整的审批程序和手续；</w:t>
            </w:r>
            <w:r>
              <w:rPr>
                <w:rFonts w:ascii="仿宋_GB2312" w:eastAsia="仿宋_GB2312"/>
                <w:szCs w:val="21"/>
              </w:rPr>
              <w:t>3.</w:t>
            </w:r>
            <w:r>
              <w:rPr>
                <w:rFonts w:hint="eastAsia" w:ascii="仿宋_GB2312" w:eastAsia="仿宋_GB2312"/>
                <w:szCs w:val="21"/>
              </w:rPr>
              <w:t>项目支出按规定经过评估论证；</w:t>
            </w:r>
            <w:r>
              <w:rPr>
                <w:rFonts w:ascii="仿宋_GB2312" w:eastAsia="仿宋_GB2312"/>
                <w:szCs w:val="21"/>
              </w:rPr>
              <w:t>4.</w:t>
            </w:r>
            <w:r>
              <w:rPr>
                <w:rFonts w:hint="eastAsia" w:ascii="仿宋_GB2312" w:eastAsia="仿宋_GB2312"/>
                <w:szCs w:val="21"/>
              </w:rPr>
              <w:t>支出符合部门预算批复的用途；</w:t>
            </w:r>
            <w:r>
              <w:rPr>
                <w:rFonts w:ascii="仿宋_GB2312" w:eastAsia="仿宋_GB2312"/>
                <w:szCs w:val="21"/>
              </w:rPr>
              <w:t>5.</w:t>
            </w:r>
            <w:r>
              <w:rPr>
                <w:rFonts w:hint="eastAsia" w:ascii="仿宋_GB2312" w:eastAsia="仿宋_GB2312"/>
                <w:szCs w:val="21"/>
              </w:rPr>
              <w:t>资金使用无截留、挤占、挪用、虚列支出等情况。</w:t>
            </w:r>
          </w:p>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以上情况每出现一例不符合要求的扣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是否符合国家财经法规和财务管理制度规定以及有关预算支出管理办法的规定；</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③</w:t>
            </w:r>
            <w:r>
              <w:rPr>
                <w:rFonts w:hint="eastAsia" w:ascii="仿宋_GB2312" w:eastAsia="仿宋_GB2312"/>
                <w:szCs w:val="21"/>
              </w:rPr>
              <w:t>预算支出的重大开支是否经过评估论证；</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④</w:t>
            </w:r>
            <w:r>
              <w:rPr>
                <w:rFonts w:hint="eastAsia" w:ascii="仿宋_GB2312" w:eastAsia="仿宋_GB2312"/>
                <w:szCs w:val="21"/>
              </w:rPr>
              <w:t>是否符合部门预算批复的用途；</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是否存在截留、挤占、挪用、虚列支出等情况。</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3"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预决算信</w:t>
            </w:r>
          </w:p>
          <w:p>
            <w:pPr>
              <w:spacing w:line="320" w:lineRule="exact"/>
              <w:jc w:val="center"/>
              <w:rPr>
                <w:rFonts w:ascii="仿宋_GB2312" w:eastAsia="仿宋_GB2312"/>
                <w:szCs w:val="21"/>
              </w:rPr>
            </w:pPr>
            <w:r>
              <w:rPr>
                <w:rFonts w:hint="eastAsia" w:ascii="仿宋_GB2312" w:eastAsia="仿宋_GB2312"/>
                <w:szCs w:val="21"/>
              </w:rPr>
              <w:t>息公开性（</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rPr>
                <w:rFonts w:ascii="仿宋_GB2312" w:eastAsia="仿宋_GB2312"/>
                <w:szCs w:val="21"/>
              </w:rPr>
            </w:pPr>
            <w:r>
              <w:rPr>
                <w:rFonts w:hint="eastAsia" w:ascii="仿宋_GB2312" w:eastAsia="仿宋_GB2312"/>
                <w:szCs w:val="21"/>
              </w:rPr>
              <w:t>部门预算、执行、决算、监督、绩效等管理相关的信息未公开，每一项扣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是否按规定内容公开预决算信息；</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是否按规定时限公开预决算信息。</w:t>
            </w:r>
          </w:p>
          <w:p>
            <w:pPr>
              <w:spacing w:line="320" w:lineRule="exact"/>
              <w:ind w:left="105" w:leftChars="50" w:right="105" w:rightChars="50"/>
              <w:rPr>
                <w:rFonts w:ascii="仿宋_GB2312" w:eastAsia="仿宋_GB2312"/>
                <w:szCs w:val="21"/>
              </w:rPr>
            </w:pPr>
            <w:r>
              <w:rPr>
                <w:rFonts w:hint="eastAsia" w:ascii="仿宋_GB2312" w:eastAsia="仿宋_GB2312"/>
                <w:szCs w:val="21"/>
              </w:rPr>
              <w:t>预决算信息是指与部门预算、执行、决算、监督、绩效等管理相关的信息。</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2"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基础信息</w:t>
            </w:r>
          </w:p>
          <w:p>
            <w:pPr>
              <w:spacing w:line="320" w:lineRule="exact"/>
              <w:jc w:val="center"/>
              <w:rPr>
                <w:rFonts w:ascii="仿宋_GB2312" w:eastAsia="仿宋_GB2312"/>
                <w:szCs w:val="21"/>
              </w:rPr>
            </w:pPr>
            <w:r>
              <w:rPr>
                <w:rFonts w:hint="eastAsia" w:ascii="仿宋_GB2312" w:eastAsia="仿宋_GB2312"/>
                <w:szCs w:val="21"/>
              </w:rPr>
              <w:t>完善性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部门基础信息是否完善，缺一项扣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基础数据信息和会计信息资料是否真实；</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基础数据信息和会计信息资料是否完整；</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基础数据信息和会计信息资料是否准确。</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1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资产</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部门有加强资产管理、规范资产管理行为而制定的管理制度的计</w:t>
            </w:r>
            <w:r>
              <w:rPr>
                <w:rFonts w:ascii="仿宋_GB2312" w:eastAsia="仿宋_GB2312"/>
                <w:szCs w:val="21"/>
              </w:rPr>
              <w:t>1</w:t>
            </w:r>
            <w:r>
              <w:rPr>
                <w:rFonts w:hint="eastAsia" w:ascii="仿宋_GB2312" w:eastAsia="仿宋_GB2312"/>
                <w:szCs w:val="21"/>
              </w:rPr>
              <w:t>分；有效执行相关文件的计</w:t>
            </w:r>
            <w:r>
              <w:rPr>
                <w:rFonts w:ascii="仿宋_GB2312" w:eastAsia="仿宋_GB2312"/>
                <w:szCs w:val="21"/>
              </w:rPr>
              <w:t>1</w:t>
            </w:r>
            <w:r>
              <w:rPr>
                <w:rFonts w:hint="eastAsia" w:ascii="仿宋_GB2312" w:eastAsia="仿宋_GB2312"/>
                <w:szCs w:val="21"/>
              </w:rPr>
              <w:t>分。反之不计分。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是否已制定或具有资产管理制度；</w:t>
            </w:r>
            <w:r>
              <w:rPr>
                <w:rFonts w:ascii="仿宋_GB2312" w:eastAsia="仿宋_GB2312"/>
                <w:szCs w:val="21"/>
              </w:rPr>
              <w:t xml:space="preserve">           </w:t>
            </w:r>
            <w:r>
              <w:rPr>
                <w:rFonts w:hint="eastAsia" w:ascii="仿宋_GB2312" w:hAnsi="宋体" w:eastAsia="仿宋_GB2312" w:cs="宋体"/>
                <w:szCs w:val="21"/>
              </w:rPr>
              <w:t>②</w:t>
            </w:r>
            <w:r>
              <w:rPr>
                <w:rFonts w:hint="eastAsia" w:ascii="仿宋_GB2312" w:eastAsia="仿宋_GB2312"/>
                <w:szCs w:val="21"/>
              </w:rPr>
              <w:t>相关资金管理制度是否合法、合规、完整；</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相关资产管理制度是否得到有效执行。</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资产管理</w:t>
            </w:r>
          </w:p>
          <w:p>
            <w:pPr>
              <w:spacing w:line="320" w:lineRule="exact"/>
              <w:jc w:val="center"/>
              <w:rPr>
                <w:rFonts w:ascii="仿宋_GB2312" w:eastAsia="仿宋_GB2312"/>
                <w:szCs w:val="21"/>
              </w:rPr>
            </w:pPr>
            <w:r>
              <w:rPr>
                <w:rFonts w:hint="eastAsia" w:ascii="仿宋_GB2312" w:eastAsia="仿宋_GB2312"/>
                <w:szCs w:val="21"/>
              </w:rPr>
              <w:t>安全性</w:t>
            </w:r>
            <w:r>
              <w:rPr>
                <w:rFonts w:ascii="仿宋_GB2312" w:eastAsia="仿宋_GB2312"/>
                <w:szCs w:val="21"/>
              </w:rPr>
              <w:t xml:space="preserve"> </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部门的资产是否保存完整、使用合规、配置合理、处置规范、收入及时足额上缴计满分，每一项不达标扣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资产保存是否完整；</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资产配置是否合理；</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③</w:t>
            </w:r>
            <w:r>
              <w:rPr>
                <w:rFonts w:hint="eastAsia" w:ascii="仿宋_GB2312" w:eastAsia="仿宋_GB2312"/>
                <w:szCs w:val="21"/>
              </w:rPr>
              <w:t>资产处置是否规范；</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④</w:t>
            </w:r>
            <w:r>
              <w:rPr>
                <w:rFonts w:hint="eastAsia" w:ascii="仿宋_GB2312" w:eastAsia="仿宋_GB2312"/>
                <w:szCs w:val="21"/>
              </w:rPr>
              <w:t>资产账务管理是否合规，是否帐实相符；</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资产是否有偿使用及处置收入及时足额上缴。</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99"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职责</w:t>
            </w:r>
          </w:p>
          <w:p>
            <w:pPr>
              <w:spacing w:line="320" w:lineRule="exact"/>
              <w:jc w:val="center"/>
              <w:rPr>
                <w:rFonts w:ascii="仿宋_GB2312" w:eastAsia="仿宋_GB2312"/>
                <w:szCs w:val="21"/>
              </w:rPr>
            </w:pP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实际</w:t>
            </w:r>
          </w:p>
          <w:p>
            <w:pPr>
              <w:spacing w:line="320" w:lineRule="exact"/>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（实际完成工作数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实际完成工作数：一定时期（年度或规划期）内部门实际完成工作任务的数量。</w:t>
            </w:r>
          </w:p>
          <w:p>
            <w:pPr>
              <w:spacing w:line="320" w:lineRule="exact"/>
              <w:ind w:left="105" w:leftChars="50" w:right="105" w:rightChars="50"/>
              <w:rPr>
                <w:rFonts w:ascii="仿宋_GB2312" w:eastAsia="仿宋_GB2312"/>
                <w:szCs w:val="21"/>
              </w:rPr>
            </w:pPr>
            <w:r>
              <w:rPr>
                <w:rFonts w:hint="eastAsia" w:ascii="仿宋_GB2312" w:eastAsia="仿宋_GB2312"/>
                <w:szCs w:val="21"/>
              </w:rPr>
              <w:t>计划工作数：部门整体绩效目标确定的一定时期（年度或规划期）内预计完成工作任务的数量。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35"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hint="eastAsia"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完成</w:t>
            </w:r>
          </w:p>
          <w:p>
            <w:pPr>
              <w:spacing w:line="320" w:lineRule="exact"/>
              <w:jc w:val="center"/>
              <w:rPr>
                <w:rFonts w:ascii="仿宋_GB2312" w:eastAsia="仿宋_GB2312"/>
                <w:szCs w:val="21"/>
              </w:rPr>
            </w:pPr>
            <w:r>
              <w:rPr>
                <w:rFonts w:hint="eastAsia" w:ascii="仿宋_GB2312" w:eastAsia="仿宋_GB2312"/>
                <w:szCs w:val="21"/>
              </w:rPr>
              <w:t>及时率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完成及时率</w:t>
            </w:r>
            <w:r>
              <w:rPr>
                <w:rFonts w:ascii="仿宋_GB2312" w:eastAsia="仿宋_GB2312"/>
                <w:szCs w:val="21"/>
              </w:rPr>
              <w:t>=</w:t>
            </w:r>
            <w:r>
              <w:rPr>
                <w:rFonts w:hint="eastAsia" w:ascii="仿宋_GB2312" w:eastAsia="仿宋_GB2312"/>
                <w:szCs w:val="21"/>
              </w:rPr>
              <w:t>（及时完成实际工作数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及时完成实际工作数：部门按照整体绩效目标确定的时限实际完成的工作任务数量。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7" w:hRule="atLeast"/>
          <w:jc w:val="center"/>
        </w:trPr>
        <w:tc>
          <w:tcPr>
            <w:tcW w:w="666" w:type="dxa"/>
            <w:vMerge w:val="restart"/>
            <w:vAlign w:val="center"/>
          </w:tcPr>
          <w:p>
            <w:pPr>
              <w:spacing w:line="320" w:lineRule="exact"/>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vMerge w:val="restart"/>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职责</w:t>
            </w:r>
          </w:p>
          <w:p>
            <w:pPr>
              <w:spacing w:line="320" w:lineRule="exact"/>
              <w:rPr>
                <w:rFonts w:ascii="仿宋_GB2312" w:eastAsia="仿宋_GB2312"/>
                <w:szCs w:val="21"/>
              </w:rPr>
            </w:pP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质量</w:t>
            </w:r>
          </w:p>
          <w:p>
            <w:pPr>
              <w:spacing w:line="320" w:lineRule="exact"/>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质量达标实际工作数：一定时期（年度或规划期）内部门实际完成工作数中达到部门绩效目标要求（绩效标准值）的工作任务数量。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7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重点工作</w:t>
            </w:r>
          </w:p>
          <w:p>
            <w:pPr>
              <w:spacing w:line="320" w:lineRule="exact"/>
              <w:jc w:val="center"/>
              <w:rPr>
                <w:rFonts w:ascii="仿宋_GB2312" w:eastAsia="仿宋_GB2312"/>
                <w:szCs w:val="21"/>
              </w:rPr>
            </w:pPr>
            <w:r>
              <w:rPr>
                <w:rFonts w:hint="eastAsia" w:ascii="仿宋_GB2312" w:eastAsia="仿宋_GB2312"/>
                <w:szCs w:val="21"/>
              </w:rPr>
              <w:t>办结率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根据绩效办</w:t>
            </w:r>
            <w:r>
              <w:rPr>
                <w:rFonts w:ascii="仿宋_GB2312" w:eastAsia="仿宋_GB2312"/>
                <w:szCs w:val="21"/>
              </w:rPr>
              <w:t>2019</w:t>
            </w:r>
            <w:r>
              <w:rPr>
                <w:rFonts w:hint="eastAsia" w:ascii="仿宋_GB2312" w:eastAsia="仿宋_GB2312"/>
                <w:szCs w:val="21"/>
              </w:rPr>
              <w:t>年对各部门为民办实事和部门重点工程与重点工作考核分数折算。该项得分</w:t>
            </w:r>
            <w:r>
              <w:rPr>
                <w:rFonts w:ascii="仿宋_GB2312" w:eastAsia="仿宋_GB2312"/>
                <w:szCs w:val="21"/>
              </w:rPr>
              <w:t>=</w:t>
            </w:r>
            <w:r>
              <w:rPr>
                <w:rFonts w:hint="eastAsia" w:ascii="仿宋_GB2312" w:eastAsia="仿宋_GB2312"/>
                <w:szCs w:val="21"/>
              </w:rPr>
              <w:t>（绩效办对应部分考核得分）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重点工作办结率</w:t>
            </w:r>
            <w:r>
              <w:rPr>
                <w:rFonts w:ascii="仿宋_GB2312" w:eastAsia="仿宋_GB2312"/>
                <w:szCs w:val="21"/>
              </w:rPr>
              <w:t>=</w:t>
            </w:r>
            <w:r>
              <w:rPr>
                <w:rFonts w:hint="eastAsia" w:ascii="仿宋_GB2312" w:eastAsia="仿宋_GB2312"/>
                <w:szCs w:val="21"/>
              </w:rPr>
              <w:t>（重点工作实际完成数</w:t>
            </w:r>
            <w:r>
              <w:rPr>
                <w:rFonts w:ascii="仿宋_GB2312" w:eastAsia="仿宋_GB2312"/>
                <w:szCs w:val="21"/>
              </w:rPr>
              <w:t>/</w:t>
            </w:r>
            <w:r>
              <w:rPr>
                <w:rFonts w:hint="eastAsia" w:ascii="仿宋_GB2312" w:eastAsia="仿宋_GB2312"/>
                <w:szCs w:val="21"/>
              </w:rPr>
              <w:t>交办或下达数）×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重点工作是指党委、政府、人大、相关部门交办或下达的工作任务。</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5"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效</w:t>
            </w:r>
          </w:p>
          <w:p>
            <w:pPr>
              <w:spacing w:line="320" w:lineRule="exact"/>
              <w:jc w:val="center"/>
              <w:rPr>
                <w:rFonts w:ascii="仿宋_GB2312" w:eastAsia="仿宋_GB2312"/>
                <w:szCs w:val="21"/>
              </w:rPr>
            </w:pPr>
            <w:r>
              <w:rPr>
                <w:rFonts w:hint="eastAsia" w:ascii="仿宋_GB2312" w:eastAsia="仿宋_GB2312"/>
                <w:szCs w:val="21"/>
              </w:rPr>
              <w:t>果</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履职</w:t>
            </w:r>
          </w:p>
          <w:p>
            <w:pPr>
              <w:spacing w:line="320" w:lineRule="exact"/>
              <w:jc w:val="center"/>
              <w:rPr>
                <w:rFonts w:ascii="仿宋_GB2312" w:eastAsia="仿宋_GB2312"/>
                <w:szCs w:val="21"/>
              </w:rPr>
            </w:pPr>
            <w:r>
              <w:rPr>
                <w:rFonts w:hint="eastAsia" w:ascii="仿宋_GB2312" w:eastAsia="仿宋_GB2312"/>
                <w:szCs w:val="21"/>
              </w:rPr>
              <w:t>效益</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经济效益（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部门履行职责对经济发展所带来的直接或间接影响。</w:t>
            </w:r>
          </w:p>
        </w:tc>
        <w:tc>
          <w:tcPr>
            <w:tcW w:w="4252" w:type="dxa"/>
            <w:vMerge w:val="restart"/>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部门履行职责对社会发展所带来的直接或间接影响。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生态效益（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部门履行职责对生态环境所带来的直接或间接影响。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2"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社会公众</w:t>
            </w:r>
          </w:p>
          <w:p>
            <w:pPr>
              <w:spacing w:line="320" w:lineRule="exact"/>
              <w:jc w:val="center"/>
              <w:rPr>
                <w:rFonts w:ascii="仿宋_GB2312" w:eastAsia="仿宋_GB2312"/>
                <w:szCs w:val="21"/>
              </w:rPr>
            </w:pPr>
            <w:r>
              <w:rPr>
                <w:rFonts w:hint="eastAsia" w:ascii="仿宋_GB2312" w:eastAsia="仿宋_GB2312"/>
                <w:szCs w:val="21"/>
              </w:rPr>
              <w:t>或服务对</w:t>
            </w:r>
          </w:p>
          <w:p>
            <w:pPr>
              <w:spacing w:line="320" w:lineRule="exact"/>
              <w:jc w:val="center"/>
              <w:rPr>
                <w:rFonts w:ascii="仿宋_GB2312" w:eastAsia="仿宋_GB2312"/>
                <w:szCs w:val="21"/>
              </w:rPr>
            </w:pPr>
            <w:r>
              <w:rPr>
                <w:rFonts w:hint="eastAsia" w:ascii="仿宋_GB2312" w:eastAsia="仿宋_GB2312"/>
                <w:szCs w:val="21"/>
              </w:rPr>
              <w:t>象满意度（</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社会公众或部门的服务对象对部门履职效果的满意程度。</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社会公众或服务对象是指部门履行职责而影响到的部门、群体或个人。一般采取社会调查的方式。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2" w:hRule="atLeast"/>
          <w:jc w:val="center"/>
        </w:trPr>
        <w:tc>
          <w:tcPr>
            <w:tcW w:w="9643" w:type="dxa"/>
            <w:gridSpan w:val="5"/>
            <w:vAlign w:val="center"/>
          </w:tcPr>
          <w:p>
            <w:pPr>
              <w:spacing w:line="320" w:lineRule="exact"/>
              <w:ind w:left="105" w:leftChars="50" w:right="105" w:rightChars="50"/>
              <w:jc w:val="center"/>
              <w:rPr>
                <w:rFonts w:ascii="仿宋_GB2312" w:eastAsia="仿宋_GB2312"/>
                <w:szCs w:val="21"/>
              </w:rPr>
            </w:pP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91</w:t>
            </w:r>
            <w:bookmarkStart w:id="11" w:name="_GoBack"/>
            <w:bookmarkEnd w:id="11"/>
          </w:p>
        </w:tc>
      </w:tr>
    </w:tbl>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附件</w:t>
      </w:r>
      <w:r>
        <w:rPr>
          <w:rFonts w:hint="eastAsia" w:cs="宋体"/>
          <w:color w:val="000000"/>
          <w:spacing w:val="0"/>
          <w:w w:val="100"/>
          <w:position w:val="0"/>
          <w:sz w:val="24"/>
          <w:szCs w:val="24"/>
          <w:lang w:val="en-US" w:eastAsia="zh-CN"/>
        </w:rPr>
        <w:t>2</w:t>
      </w:r>
    </w:p>
    <w:p>
      <w:pPr>
        <w:pStyle w:val="15"/>
        <w:spacing w:line="560" w:lineRule="exact"/>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部门整体支出绩效评价基础数据表</w:t>
      </w:r>
    </w:p>
    <w:p>
      <w:pPr>
        <w:pStyle w:val="10"/>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color w:val="000000"/>
          <w:spacing w:val="0"/>
          <w:w w:val="100"/>
          <w:position w:val="0"/>
          <w:sz w:val="24"/>
          <w:szCs w:val="24"/>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填报单位：</w:t>
      </w:r>
      <w:r>
        <w:rPr>
          <w:rFonts w:hint="eastAsia" w:cs="宋体"/>
          <w:color w:val="000000"/>
          <w:spacing w:val="0"/>
          <w:w w:val="100"/>
          <w:position w:val="0"/>
          <w:sz w:val="24"/>
          <w:szCs w:val="24"/>
          <w:lang w:eastAsia="zh-CN"/>
        </w:rPr>
        <w:t>（盖章）</w:t>
      </w:r>
    </w:p>
    <w:tbl>
      <w:tblPr>
        <w:tblStyle w:val="5"/>
        <w:tblW w:w="9437" w:type="dxa"/>
        <w:jc w:val="center"/>
        <w:tblInd w:w="0" w:type="dxa"/>
        <w:tblLayout w:type="fixed"/>
        <w:tblCellMar>
          <w:top w:w="0" w:type="dxa"/>
          <w:left w:w="10" w:type="dxa"/>
          <w:bottom w:w="0" w:type="dxa"/>
          <w:right w:w="10" w:type="dxa"/>
        </w:tblCellMar>
      </w:tblPr>
      <w:tblGrid>
        <w:gridCol w:w="2732"/>
        <w:gridCol w:w="1080"/>
        <w:gridCol w:w="1005"/>
        <w:gridCol w:w="1172"/>
        <w:gridCol w:w="1142"/>
        <w:gridCol w:w="1255"/>
        <w:gridCol w:w="1051"/>
      </w:tblGrid>
      <w:tr>
        <w:tblPrEx>
          <w:tblLayout w:type="fixed"/>
          <w:tblCellMar>
            <w:top w:w="0" w:type="dxa"/>
            <w:left w:w="10" w:type="dxa"/>
            <w:bottom w:w="0" w:type="dxa"/>
            <w:right w:w="10" w:type="dxa"/>
          </w:tblCellMar>
        </w:tblPrEx>
        <w:trPr>
          <w:trHeight w:val="619" w:hRule="exact"/>
          <w:jc w:val="center"/>
        </w:trPr>
        <w:tc>
          <w:tcPr>
            <w:tcW w:w="2732"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财政供养人员情况</w:t>
            </w:r>
          </w:p>
        </w:tc>
        <w:tc>
          <w:tcPr>
            <w:tcW w:w="2085" w:type="dxa"/>
            <w:gridSpan w:val="2"/>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编制数</w:t>
            </w:r>
          </w:p>
        </w:tc>
        <w:tc>
          <w:tcPr>
            <w:tcW w:w="2314" w:type="dxa"/>
            <w:gridSpan w:val="2"/>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000000"/>
                <w:spacing w:val="0"/>
                <w:w w:val="100"/>
                <w:position w:val="0"/>
                <w:sz w:val="21"/>
                <w:szCs w:val="21"/>
                <w:lang w:eastAsia="zh-CN"/>
              </w:rPr>
              <w:t>202</w:t>
            </w:r>
            <w:r>
              <w:rPr>
                <w:rFonts w:hint="eastAsia" w:ascii="仿宋_GB2312" w:hAnsi="仿宋_GB2312" w:eastAsia="仿宋_GB2312" w:cs="仿宋_GB2312"/>
                <w:b w:val="0"/>
                <w:bCs w:val="0"/>
                <w:color w:val="000000"/>
                <w:spacing w:val="0"/>
                <w:w w:val="100"/>
                <w:position w:val="0"/>
                <w:sz w:val="21"/>
                <w:szCs w:val="21"/>
                <w:lang w:val="en-US" w:eastAsia="zh-CN"/>
              </w:rPr>
              <w:t>2</w:t>
            </w:r>
            <w:r>
              <w:rPr>
                <w:rFonts w:hint="eastAsia" w:ascii="仿宋_GB2312" w:hAnsi="仿宋_GB2312" w:eastAsia="仿宋_GB2312" w:cs="仿宋_GB2312"/>
                <w:b w:val="0"/>
                <w:bCs w:val="0"/>
                <w:color w:val="000000"/>
                <w:spacing w:val="0"/>
                <w:w w:val="100"/>
                <w:position w:val="0"/>
                <w:sz w:val="21"/>
                <w:szCs w:val="21"/>
                <w:lang w:eastAsia="zh-CN"/>
              </w:rPr>
              <w:t>年</w:t>
            </w:r>
            <w:r>
              <w:rPr>
                <w:rFonts w:hint="eastAsia" w:ascii="仿宋_GB2312" w:hAnsi="仿宋_GB2312" w:eastAsia="仿宋_GB2312" w:cs="仿宋_GB2312"/>
                <w:b w:val="0"/>
                <w:bCs w:val="0"/>
                <w:color w:val="000000"/>
                <w:spacing w:val="0"/>
                <w:w w:val="100"/>
                <w:position w:val="0"/>
                <w:sz w:val="21"/>
                <w:szCs w:val="21"/>
              </w:rPr>
              <w:t>实际在职人数</w:t>
            </w:r>
          </w:p>
        </w:tc>
        <w:tc>
          <w:tcPr>
            <w:tcW w:w="2306" w:type="dxa"/>
            <w:gridSpan w:val="2"/>
            <w:tcBorders>
              <w:top w:val="single" w:color="auto" w:sz="4" w:space="0"/>
              <w:left w:val="single" w:color="auto" w:sz="4" w:space="0"/>
              <w:righ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000000"/>
                <w:spacing w:val="0"/>
                <w:w w:val="100"/>
                <w:position w:val="0"/>
                <w:sz w:val="21"/>
                <w:szCs w:val="21"/>
              </w:rPr>
              <w:t>控制率</w:t>
            </w:r>
            <w:r>
              <w:rPr>
                <w:rFonts w:hint="eastAsia" w:ascii="仿宋_GB2312" w:hAnsi="仿宋_GB2312" w:eastAsia="仿宋_GB2312" w:cs="仿宋_GB2312"/>
                <w:b w:val="0"/>
                <w:bCs w:val="0"/>
                <w:color w:val="000000"/>
                <w:spacing w:val="0"/>
                <w:w w:val="100"/>
                <w:position w:val="0"/>
                <w:sz w:val="21"/>
                <w:szCs w:val="21"/>
                <w:lang w:val="en-US" w:eastAsia="zh-CN"/>
              </w:rPr>
              <w:t>=</w:t>
            </w:r>
            <w:r>
              <w:rPr>
                <w:rFonts w:hint="eastAsia" w:ascii="仿宋_GB2312" w:hAnsi="仿宋_GB2312" w:eastAsia="仿宋_GB2312" w:cs="仿宋_GB2312"/>
                <w:b w:val="0"/>
                <w:bCs w:val="0"/>
                <w:color w:val="000000"/>
                <w:spacing w:val="0"/>
                <w:w w:val="100"/>
                <w:position w:val="0"/>
                <w:sz w:val="21"/>
                <w:szCs w:val="21"/>
                <w:lang w:eastAsia="zh-CN"/>
              </w:rPr>
              <w:t>202</w:t>
            </w:r>
            <w:r>
              <w:rPr>
                <w:rFonts w:hint="eastAsia" w:ascii="仿宋_GB2312" w:hAnsi="仿宋_GB2312" w:eastAsia="仿宋_GB2312" w:cs="仿宋_GB2312"/>
                <w:b w:val="0"/>
                <w:bCs w:val="0"/>
                <w:color w:val="000000"/>
                <w:spacing w:val="0"/>
                <w:w w:val="100"/>
                <w:position w:val="0"/>
                <w:sz w:val="21"/>
                <w:szCs w:val="21"/>
                <w:lang w:val="en-US" w:eastAsia="zh-CN"/>
              </w:rPr>
              <w:t>2</w:t>
            </w:r>
            <w:r>
              <w:rPr>
                <w:rFonts w:hint="eastAsia" w:ascii="仿宋_GB2312" w:hAnsi="仿宋_GB2312" w:eastAsia="仿宋_GB2312" w:cs="仿宋_GB2312"/>
                <w:b w:val="0"/>
                <w:bCs w:val="0"/>
                <w:color w:val="000000"/>
                <w:spacing w:val="0"/>
                <w:w w:val="100"/>
                <w:position w:val="0"/>
                <w:sz w:val="21"/>
                <w:szCs w:val="21"/>
                <w:lang w:eastAsia="zh-CN"/>
              </w:rPr>
              <w:t>年</w:t>
            </w:r>
            <w:r>
              <w:rPr>
                <w:rFonts w:hint="eastAsia" w:ascii="仿宋_GB2312" w:hAnsi="仿宋_GB2312" w:eastAsia="仿宋_GB2312" w:cs="仿宋_GB2312"/>
                <w:b w:val="0"/>
                <w:bCs w:val="0"/>
                <w:color w:val="000000"/>
                <w:spacing w:val="0"/>
                <w:w w:val="100"/>
                <w:position w:val="0"/>
                <w:sz w:val="21"/>
                <w:szCs w:val="21"/>
              </w:rPr>
              <w:t>实际在职人数</w:t>
            </w:r>
            <w:r>
              <w:rPr>
                <w:rFonts w:hint="eastAsia" w:ascii="仿宋_GB2312" w:hAnsi="仿宋_GB2312" w:eastAsia="仿宋_GB2312" w:cs="仿宋_GB2312"/>
                <w:b w:val="0"/>
                <w:bCs w:val="0"/>
                <w:color w:val="000000"/>
                <w:spacing w:val="0"/>
                <w:w w:val="100"/>
                <w:position w:val="0"/>
                <w:sz w:val="21"/>
                <w:szCs w:val="21"/>
                <w:lang w:val="en-US" w:eastAsia="zh-CN"/>
              </w:rPr>
              <w:t>/</w:t>
            </w:r>
            <w:r>
              <w:rPr>
                <w:rFonts w:hint="eastAsia" w:ascii="仿宋_GB2312" w:hAnsi="仿宋_GB2312" w:eastAsia="仿宋_GB2312" w:cs="仿宋_GB2312"/>
                <w:b w:val="0"/>
                <w:bCs w:val="0"/>
                <w:color w:val="000000"/>
                <w:spacing w:val="0"/>
                <w:w w:val="100"/>
                <w:position w:val="0"/>
                <w:sz w:val="21"/>
                <w:szCs w:val="21"/>
              </w:rPr>
              <w:t>编制数</w:t>
            </w:r>
          </w:p>
        </w:tc>
      </w:tr>
      <w:tr>
        <w:tblPrEx>
          <w:tblLayout w:type="fixed"/>
          <w:tblCellMar>
            <w:top w:w="0" w:type="dxa"/>
            <w:left w:w="10" w:type="dxa"/>
            <w:bottom w:w="0" w:type="dxa"/>
            <w:right w:w="10" w:type="dxa"/>
          </w:tblCellMar>
        </w:tblPrEx>
        <w:trPr>
          <w:trHeight w:val="455" w:hRule="exact"/>
          <w:jc w:val="center"/>
        </w:trPr>
        <w:tc>
          <w:tcPr>
            <w:tcW w:w="2732" w:type="dxa"/>
            <w:vMerge w:val="continue"/>
            <w:tcBorders>
              <w:left w:val="single" w:color="auto" w:sz="4" w:space="0"/>
              <w:bottom w:val="single" w:color="auto" w:sz="4" w:space="0"/>
            </w:tcBorders>
            <w:shd w:val="clear" w:color="auto" w:fill="FFFFFF"/>
            <w:noWrap w:val="0"/>
            <w:vAlign w:val="center"/>
          </w:tcPr>
          <w:p>
            <w:pPr>
              <w:jc w:val="center"/>
              <w:rPr>
                <w:rFonts w:hint="eastAsia" w:ascii="仿宋_GB2312" w:hAnsi="仿宋_GB2312" w:eastAsia="仿宋_GB2312" w:cs="仿宋_GB2312"/>
                <w:sz w:val="21"/>
                <w:szCs w:val="21"/>
              </w:rPr>
            </w:pPr>
          </w:p>
        </w:tc>
        <w:tc>
          <w:tcPr>
            <w:tcW w:w="2085" w:type="dxa"/>
            <w:gridSpan w:val="2"/>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2314" w:type="dxa"/>
            <w:gridSpan w:val="2"/>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2306"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88.89%</w:t>
            </w:r>
          </w:p>
        </w:tc>
      </w:tr>
      <w:tr>
        <w:tblPrEx>
          <w:tblLayout w:type="fixed"/>
          <w:tblCellMar>
            <w:top w:w="0" w:type="dxa"/>
            <w:left w:w="10" w:type="dxa"/>
            <w:bottom w:w="0" w:type="dxa"/>
            <w:right w:w="10" w:type="dxa"/>
          </w:tblCellMar>
        </w:tblPrEx>
        <w:trPr>
          <w:trHeight w:val="532"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rPr>
              <w:t>经费控制情况</w:t>
            </w:r>
          </w:p>
        </w:tc>
        <w:tc>
          <w:tcPr>
            <w:tcW w:w="2085" w:type="dxa"/>
            <w:gridSpan w:val="2"/>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rPr>
              <w:t>20</w:t>
            </w:r>
            <w:r>
              <w:rPr>
                <w:rFonts w:hint="eastAsia" w:ascii="仿宋_GB2312" w:hAnsi="仿宋_GB2312" w:eastAsia="仿宋_GB2312" w:cs="仿宋_GB2312"/>
                <w:b/>
                <w:bCs/>
                <w:color w:val="000000"/>
                <w:spacing w:val="0"/>
                <w:w w:val="100"/>
                <w:position w:val="0"/>
                <w:sz w:val="21"/>
                <w:szCs w:val="21"/>
                <w:lang w:val="en-US" w:eastAsia="zh-CN"/>
              </w:rPr>
              <w:t>21</w:t>
            </w:r>
            <w:r>
              <w:rPr>
                <w:rFonts w:hint="eastAsia" w:ascii="仿宋_GB2312" w:hAnsi="仿宋_GB2312" w:eastAsia="仿宋_GB2312" w:cs="仿宋_GB2312"/>
                <w:b/>
                <w:bCs/>
                <w:color w:val="000000"/>
                <w:spacing w:val="0"/>
                <w:w w:val="100"/>
                <w:position w:val="0"/>
                <w:sz w:val="21"/>
                <w:szCs w:val="21"/>
              </w:rPr>
              <w:t>年决算数</w:t>
            </w:r>
          </w:p>
        </w:tc>
        <w:tc>
          <w:tcPr>
            <w:tcW w:w="2314" w:type="dxa"/>
            <w:gridSpan w:val="2"/>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lang w:eastAsia="zh-CN"/>
              </w:rPr>
              <w:t>202</w:t>
            </w:r>
            <w:r>
              <w:rPr>
                <w:rFonts w:hint="eastAsia" w:ascii="仿宋_GB2312" w:hAnsi="仿宋_GB2312" w:eastAsia="仿宋_GB2312" w:cs="仿宋_GB2312"/>
                <w:b/>
                <w:bCs/>
                <w:color w:val="000000"/>
                <w:spacing w:val="0"/>
                <w:w w:val="100"/>
                <w:position w:val="0"/>
                <w:sz w:val="21"/>
                <w:szCs w:val="21"/>
                <w:lang w:val="en-US" w:eastAsia="zh-CN"/>
              </w:rPr>
              <w:t>2</w:t>
            </w:r>
            <w:r>
              <w:rPr>
                <w:rFonts w:hint="eastAsia" w:ascii="仿宋_GB2312" w:hAnsi="仿宋_GB2312" w:eastAsia="仿宋_GB2312" w:cs="仿宋_GB2312"/>
                <w:b/>
                <w:bCs/>
                <w:color w:val="000000"/>
                <w:spacing w:val="0"/>
                <w:w w:val="100"/>
                <w:position w:val="0"/>
                <w:sz w:val="21"/>
                <w:szCs w:val="21"/>
                <w:lang w:eastAsia="zh-CN"/>
              </w:rPr>
              <w:t>年</w:t>
            </w:r>
            <w:r>
              <w:rPr>
                <w:rFonts w:hint="eastAsia" w:ascii="仿宋_GB2312" w:hAnsi="仿宋_GB2312" w:eastAsia="仿宋_GB2312" w:cs="仿宋_GB2312"/>
                <w:b/>
                <w:bCs/>
                <w:color w:val="000000"/>
                <w:spacing w:val="0"/>
                <w:w w:val="100"/>
                <w:position w:val="0"/>
                <w:sz w:val="21"/>
                <w:szCs w:val="21"/>
              </w:rPr>
              <w:t>预算数</w:t>
            </w:r>
          </w:p>
        </w:tc>
        <w:tc>
          <w:tcPr>
            <w:tcW w:w="2306" w:type="dxa"/>
            <w:gridSpan w:val="2"/>
            <w:tcBorders>
              <w:top w:val="single" w:color="auto" w:sz="4" w:space="0"/>
              <w:left w:val="single" w:color="auto" w:sz="4" w:space="0"/>
              <w:righ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lang w:eastAsia="zh-CN"/>
              </w:rPr>
              <w:t>202</w:t>
            </w:r>
            <w:r>
              <w:rPr>
                <w:rFonts w:hint="eastAsia" w:ascii="仿宋_GB2312" w:hAnsi="仿宋_GB2312" w:eastAsia="仿宋_GB2312" w:cs="仿宋_GB2312"/>
                <w:b/>
                <w:bCs/>
                <w:color w:val="000000"/>
                <w:spacing w:val="0"/>
                <w:w w:val="100"/>
                <w:position w:val="0"/>
                <w:sz w:val="21"/>
                <w:szCs w:val="21"/>
                <w:lang w:val="en-US" w:eastAsia="zh-CN"/>
              </w:rPr>
              <w:t>2</w:t>
            </w:r>
            <w:r>
              <w:rPr>
                <w:rFonts w:hint="eastAsia" w:ascii="仿宋_GB2312" w:hAnsi="仿宋_GB2312" w:eastAsia="仿宋_GB2312" w:cs="仿宋_GB2312"/>
                <w:b/>
                <w:bCs/>
                <w:color w:val="000000"/>
                <w:spacing w:val="0"/>
                <w:w w:val="100"/>
                <w:position w:val="0"/>
                <w:sz w:val="21"/>
                <w:szCs w:val="21"/>
                <w:lang w:eastAsia="zh-CN"/>
              </w:rPr>
              <w:t>年</w:t>
            </w:r>
            <w:r>
              <w:rPr>
                <w:rFonts w:hint="eastAsia" w:ascii="仿宋_GB2312" w:hAnsi="仿宋_GB2312" w:eastAsia="仿宋_GB2312" w:cs="仿宋_GB2312"/>
                <w:b/>
                <w:bCs/>
                <w:color w:val="000000"/>
                <w:spacing w:val="0"/>
                <w:w w:val="100"/>
                <w:position w:val="0"/>
                <w:sz w:val="21"/>
                <w:szCs w:val="21"/>
              </w:rPr>
              <w:t>决算数</w:t>
            </w:r>
          </w:p>
        </w:tc>
      </w:tr>
      <w:tr>
        <w:tblPrEx>
          <w:tblLayout w:type="fixed"/>
          <w:tblCellMar>
            <w:top w:w="0" w:type="dxa"/>
            <w:left w:w="10" w:type="dxa"/>
            <w:bottom w:w="0" w:type="dxa"/>
            <w:right w:w="10" w:type="dxa"/>
          </w:tblCellMar>
        </w:tblPrEx>
        <w:trPr>
          <w:trHeight w:val="46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三公经费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222.13</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223.1</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102.01</w:t>
            </w:r>
          </w:p>
        </w:tc>
      </w:tr>
      <w:tr>
        <w:tblPrEx>
          <w:tblLayout w:type="fixed"/>
          <w:tblCellMar>
            <w:top w:w="0" w:type="dxa"/>
            <w:left w:w="10" w:type="dxa"/>
            <w:bottom w:w="0" w:type="dxa"/>
            <w:right w:w="10" w:type="dxa"/>
          </w:tblCellMar>
        </w:tblPrEx>
        <w:trPr>
          <w:trHeight w:val="652"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1</w:t>
            </w:r>
            <w:r>
              <w:rPr>
                <w:rFonts w:hint="eastAsia" w:ascii="仿宋_GB2312" w:hAnsi="仿宋_GB2312" w:eastAsia="仿宋_GB2312" w:cs="仿宋_GB2312"/>
                <w:color w:val="000000"/>
                <w:spacing w:val="0"/>
                <w:w w:val="100"/>
                <w:position w:val="0"/>
                <w:sz w:val="21"/>
                <w:szCs w:val="21"/>
              </w:rPr>
              <w:t>、公务用车购置和维护经费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220</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98.91</w:t>
            </w:r>
          </w:p>
        </w:tc>
      </w:tr>
      <w:tr>
        <w:tblPrEx>
          <w:tblLayout w:type="fixed"/>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5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其中：公车购置</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Layout w:type="fixed"/>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116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公车运行维护</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135.96</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98</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98.91</w:t>
            </w:r>
          </w:p>
        </w:tc>
      </w:tr>
      <w:tr>
        <w:tblPrEx>
          <w:tblLayout w:type="fixed"/>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2</w:t>
            </w:r>
            <w:r>
              <w:rPr>
                <w:rFonts w:hint="eastAsia" w:ascii="仿宋_GB2312" w:hAnsi="仿宋_GB2312" w:eastAsia="仿宋_GB2312" w:cs="仿宋_GB2312"/>
                <w:color w:val="000000"/>
                <w:spacing w:val="0"/>
                <w:w w:val="100"/>
                <w:position w:val="0"/>
                <w:sz w:val="21"/>
                <w:szCs w:val="21"/>
              </w:rPr>
              <w:t>、出国经费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Layout w:type="fixed"/>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3</w:t>
            </w:r>
            <w:r>
              <w:rPr>
                <w:rFonts w:hint="eastAsia" w:ascii="仿宋_GB2312" w:hAnsi="仿宋_GB2312" w:eastAsia="仿宋_GB2312" w:cs="仿宋_GB2312"/>
                <w:color w:val="000000"/>
                <w:spacing w:val="0"/>
                <w:w w:val="100"/>
                <w:position w:val="0"/>
                <w:sz w:val="21"/>
                <w:szCs w:val="21"/>
              </w:rPr>
              <w:t>、公务接待</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86.17</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w:t>
            </w:r>
          </w:p>
        </w:tc>
      </w:tr>
      <w:tr>
        <w:tblPrEx>
          <w:tblLayout w:type="fixed"/>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项目支出：</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630.82</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375</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651.82</w:t>
            </w:r>
          </w:p>
        </w:tc>
      </w:tr>
      <w:tr>
        <w:tblPrEx>
          <w:tblLayout w:type="fixed"/>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1</w:t>
            </w:r>
            <w:r>
              <w:rPr>
                <w:rFonts w:hint="eastAsia" w:ascii="仿宋_GB2312" w:hAnsi="仿宋_GB2312" w:eastAsia="仿宋_GB2312" w:cs="仿宋_GB2312"/>
                <w:color w:val="000000"/>
                <w:spacing w:val="0"/>
                <w:w w:val="100"/>
                <w:position w:val="0"/>
                <w:sz w:val="21"/>
                <w:szCs w:val="21"/>
              </w:rPr>
              <w:t>、业务工作专项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630.82</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375</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651.82</w:t>
            </w:r>
          </w:p>
        </w:tc>
      </w:tr>
      <w:tr>
        <w:tblPrEx>
          <w:tblLayout w:type="fixed"/>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2</w:t>
            </w:r>
            <w:r>
              <w:rPr>
                <w:rFonts w:hint="eastAsia" w:ascii="仿宋_GB2312" w:hAnsi="仿宋_GB2312" w:eastAsia="仿宋_GB2312" w:cs="仿宋_GB2312"/>
                <w:color w:val="000000"/>
                <w:spacing w:val="0"/>
                <w:w w:val="100"/>
                <w:position w:val="0"/>
                <w:sz w:val="21"/>
                <w:szCs w:val="21"/>
              </w:rPr>
              <w:t>、运行维护专项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Layout w:type="fixed"/>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公用经费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169.89</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3.24</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375.41</w:t>
            </w:r>
          </w:p>
        </w:tc>
      </w:tr>
      <w:tr>
        <w:tblPrEx>
          <w:tblLayout w:type="fixed"/>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right="0" w:firstLine="3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其中：办公经费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169.89</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3.24</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1.34</w:t>
            </w:r>
          </w:p>
        </w:tc>
      </w:tr>
      <w:tr>
        <w:tblPrEx>
          <w:tblLayout w:type="fixed"/>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right="0"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水费、电费、差旅费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19.66</w:t>
            </w:r>
          </w:p>
        </w:tc>
      </w:tr>
      <w:tr>
        <w:tblPrEx>
          <w:tblLayout w:type="fixed"/>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right="0"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会议费、培训费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Layout w:type="fixed"/>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政府采购金额</w:t>
            </w:r>
          </w:p>
        </w:tc>
        <w:tc>
          <w:tcPr>
            <w:tcW w:w="2085" w:type="dxa"/>
            <w:gridSpan w:val="2"/>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Layout w:type="fixed"/>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部门整体支出预算调整</w:t>
            </w:r>
          </w:p>
        </w:tc>
        <w:tc>
          <w:tcPr>
            <w:tcW w:w="2085" w:type="dxa"/>
            <w:gridSpan w:val="2"/>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442.8</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Layout w:type="fixed"/>
          <w:tblCellMar>
            <w:top w:w="0" w:type="dxa"/>
            <w:left w:w="10" w:type="dxa"/>
            <w:bottom w:w="0" w:type="dxa"/>
            <w:right w:w="10" w:type="dxa"/>
          </w:tblCellMar>
        </w:tblPrEx>
        <w:trPr>
          <w:trHeight w:val="782" w:hRule="exact"/>
          <w:jc w:val="center"/>
        </w:trPr>
        <w:tc>
          <w:tcPr>
            <w:tcW w:w="2732"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98"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 xml:space="preserve">楼堂馆所控制情况 </w:t>
            </w:r>
            <w:r>
              <w:rPr>
                <w:rFonts w:hint="eastAsia" w:ascii="仿宋_GB2312" w:hAnsi="仿宋_GB2312" w:eastAsia="仿宋_GB2312" w:cs="仿宋_GB2312"/>
                <w:b w:val="0"/>
                <w:bCs w:val="0"/>
                <w:color w:val="000000"/>
                <w:spacing w:val="0"/>
                <w:w w:val="100"/>
                <w:position w:val="0"/>
                <w:sz w:val="21"/>
                <w:szCs w:val="21"/>
              </w:rPr>
              <w:t>（</w:t>
            </w:r>
            <w:r>
              <w:rPr>
                <w:rFonts w:hint="eastAsia" w:ascii="仿宋_GB2312" w:hAnsi="仿宋_GB2312" w:eastAsia="仿宋_GB2312" w:cs="仿宋_GB2312"/>
                <w:b w:val="0"/>
                <w:bCs w:val="0"/>
                <w:color w:val="000000"/>
                <w:spacing w:val="0"/>
                <w:w w:val="100"/>
                <w:position w:val="0"/>
                <w:sz w:val="21"/>
                <w:szCs w:val="21"/>
                <w:lang w:eastAsia="zh-CN"/>
              </w:rPr>
              <w:t>202</w:t>
            </w:r>
            <w:r>
              <w:rPr>
                <w:rFonts w:hint="eastAsia" w:ascii="仿宋_GB2312" w:hAnsi="仿宋_GB2312" w:eastAsia="仿宋_GB2312" w:cs="仿宋_GB2312"/>
                <w:b w:val="0"/>
                <w:bCs w:val="0"/>
                <w:color w:val="000000"/>
                <w:spacing w:val="0"/>
                <w:w w:val="100"/>
                <w:position w:val="0"/>
                <w:sz w:val="21"/>
                <w:szCs w:val="21"/>
                <w:lang w:val="en-US" w:eastAsia="zh-CN"/>
              </w:rPr>
              <w:t>2</w:t>
            </w:r>
            <w:r>
              <w:rPr>
                <w:rFonts w:hint="eastAsia" w:ascii="仿宋_GB2312" w:hAnsi="仿宋_GB2312" w:eastAsia="仿宋_GB2312" w:cs="仿宋_GB2312"/>
                <w:b w:val="0"/>
                <w:bCs w:val="0"/>
                <w:color w:val="000000"/>
                <w:spacing w:val="0"/>
                <w:w w:val="100"/>
                <w:position w:val="0"/>
                <w:sz w:val="21"/>
                <w:szCs w:val="21"/>
                <w:lang w:eastAsia="zh-CN"/>
              </w:rPr>
              <w:t>年</w:t>
            </w:r>
            <w:r>
              <w:rPr>
                <w:rFonts w:hint="eastAsia" w:ascii="仿宋_GB2312" w:hAnsi="仿宋_GB2312" w:eastAsia="仿宋_GB2312" w:cs="仿宋_GB2312"/>
                <w:color w:val="000000"/>
                <w:spacing w:val="0"/>
                <w:w w:val="100"/>
                <w:position w:val="0"/>
                <w:sz w:val="21"/>
                <w:szCs w:val="21"/>
              </w:rPr>
              <w:t>完工项目）</w:t>
            </w:r>
          </w:p>
        </w:tc>
        <w:tc>
          <w:tcPr>
            <w:tcW w:w="1080"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98"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 xml:space="preserve">批复规模 </w:t>
            </w:r>
            <w:r>
              <w:rPr>
                <w:rFonts w:hint="eastAsia" w:ascii="仿宋_GB2312" w:hAnsi="仿宋_GB2312" w:eastAsia="仿宋_GB2312" w:cs="仿宋_GB2312"/>
                <w:color w:val="000000"/>
                <w:spacing w:val="0"/>
                <w:w w:val="100"/>
                <w:position w:val="0"/>
                <w:sz w:val="21"/>
                <w:szCs w:val="21"/>
                <w:lang w:val="en-US" w:eastAsia="en-US" w:bidi="en-US"/>
              </w:rPr>
              <w:t>（m</w:t>
            </w:r>
            <w:r>
              <w:rPr>
                <w:rFonts w:hint="eastAsia" w:ascii="仿宋_GB2312" w:hAnsi="仿宋_GB2312" w:eastAsia="仿宋_GB2312" w:cs="仿宋_GB2312"/>
                <w:color w:val="000000"/>
                <w:spacing w:val="0"/>
                <w:w w:val="100"/>
                <w:position w:val="0"/>
                <w:sz w:val="21"/>
                <w:szCs w:val="21"/>
                <w:vertAlign w:val="superscript"/>
                <w:lang w:val="en-US" w:eastAsia="en-US" w:bidi="en-US"/>
              </w:rPr>
              <w:t>1</w:t>
            </w:r>
            <w:r>
              <w:rPr>
                <w:rFonts w:hint="eastAsia" w:ascii="仿宋_GB2312" w:hAnsi="仿宋_GB2312" w:eastAsia="仿宋_GB2312" w:cs="仿宋_GB2312"/>
                <w:color w:val="000000"/>
                <w:spacing w:val="0"/>
                <w:w w:val="100"/>
                <w:position w:val="0"/>
                <w:sz w:val="21"/>
                <w:szCs w:val="21"/>
                <w:lang w:val="en-US" w:eastAsia="en-US" w:bidi="en-US"/>
              </w:rPr>
              <w:t>）</w:t>
            </w:r>
          </w:p>
        </w:tc>
        <w:tc>
          <w:tcPr>
            <w:tcW w:w="1005"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40" w:line="312" w:lineRule="exact"/>
              <w:ind w:right="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实际规模</w:t>
            </w:r>
          </w:p>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en-US" w:bidi="en-US"/>
              </w:rPr>
              <w:t>（m</w:t>
            </w:r>
            <w:r>
              <w:rPr>
                <w:rFonts w:hint="eastAsia" w:ascii="仿宋_GB2312" w:hAnsi="仿宋_GB2312" w:eastAsia="仿宋_GB2312" w:cs="仿宋_GB2312"/>
                <w:color w:val="000000"/>
                <w:spacing w:val="0"/>
                <w:w w:val="100"/>
                <w:position w:val="0"/>
                <w:sz w:val="21"/>
                <w:szCs w:val="21"/>
                <w:vertAlign w:val="superscript"/>
                <w:lang w:val="en-US" w:eastAsia="en-US" w:bidi="en-US"/>
              </w:rPr>
              <w:t>2</w:t>
            </w:r>
            <w:r>
              <w:rPr>
                <w:rFonts w:hint="eastAsia" w:ascii="仿宋_GB2312" w:hAnsi="仿宋_GB2312" w:eastAsia="仿宋_GB2312" w:cs="仿宋_GB2312"/>
                <w:color w:val="000000"/>
                <w:spacing w:val="0"/>
                <w:w w:val="100"/>
                <w:position w:val="0"/>
                <w:sz w:val="21"/>
                <w:szCs w:val="21"/>
                <w:lang w:val="en-US" w:eastAsia="en-US" w:bidi="en-US"/>
              </w:rPr>
              <w:t>）</w:t>
            </w:r>
          </w:p>
        </w:tc>
        <w:tc>
          <w:tcPr>
            <w:tcW w:w="117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规模控制率</w:t>
            </w:r>
          </w:p>
        </w:tc>
        <w:tc>
          <w:tcPr>
            <w:tcW w:w="114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预算投资</w:t>
            </w:r>
            <w:r>
              <w:rPr>
                <w:rFonts w:hint="eastAsia" w:ascii="仿宋_GB2312" w:hAnsi="仿宋_GB2312" w:eastAsia="仿宋_GB2312" w:cs="仿宋_GB2312"/>
                <w:color w:val="000000"/>
                <w:spacing w:val="0"/>
                <w:w w:val="100"/>
                <w:position w:val="0"/>
                <w:sz w:val="21"/>
                <w:szCs w:val="21"/>
                <w:lang w:val="en-US" w:eastAsia="zh-CN"/>
              </w:rPr>
              <w:t xml:space="preserve">     </w:t>
            </w:r>
            <w:r>
              <w:rPr>
                <w:rFonts w:hint="eastAsia" w:ascii="仿宋_GB2312" w:hAnsi="仿宋_GB2312" w:eastAsia="仿宋_GB2312" w:cs="仿宋_GB2312"/>
                <w:color w:val="000000"/>
                <w:spacing w:val="0"/>
                <w:w w:val="100"/>
                <w:position w:val="0"/>
                <w:sz w:val="21"/>
                <w:szCs w:val="21"/>
              </w:rPr>
              <w:t>（万元）</w:t>
            </w:r>
          </w:p>
        </w:tc>
        <w:tc>
          <w:tcPr>
            <w:tcW w:w="1255"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实际投资 （万元）</w:t>
            </w:r>
          </w:p>
        </w:tc>
        <w:tc>
          <w:tcPr>
            <w:tcW w:w="1051" w:type="dxa"/>
            <w:tcBorders>
              <w:top w:val="single" w:color="auto" w:sz="4" w:space="0"/>
              <w:left w:val="single" w:color="auto" w:sz="4" w:space="0"/>
              <w:righ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83"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投资概算控制率</w:t>
            </w:r>
          </w:p>
        </w:tc>
      </w:tr>
      <w:tr>
        <w:tblPrEx>
          <w:tblLayout w:type="fixed"/>
          <w:tblCellMar>
            <w:top w:w="0" w:type="dxa"/>
            <w:left w:w="10" w:type="dxa"/>
            <w:bottom w:w="0" w:type="dxa"/>
            <w:right w:w="10" w:type="dxa"/>
          </w:tblCellMar>
        </w:tblPrEx>
        <w:trPr>
          <w:trHeight w:val="466" w:hRule="exact"/>
          <w:jc w:val="center"/>
        </w:trPr>
        <w:tc>
          <w:tcPr>
            <w:tcW w:w="2732"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1080"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005"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172"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142"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255"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051"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Layout w:type="fixed"/>
          <w:tblCellMar>
            <w:top w:w="0" w:type="dxa"/>
            <w:left w:w="10" w:type="dxa"/>
            <w:bottom w:w="0" w:type="dxa"/>
            <w:right w:w="10" w:type="dxa"/>
          </w:tblCellMar>
        </w:tblPrEx>
        <w:trPr>
          <w:trHeight w:val="1480" w:hRule="exact"/>
          <w:jc w:val="center"/>
        </w:trPr>
        <w:tc>
          <w:tcPr>
            <w:tcW w:w="2732" w:type="dxa"/>
            <w:tcBorders>
              <w:top w:val="single" w:color="auto" w:sz="4" w:space="0"/>
              <w:left w:val="single" w:color="auto" w:sz="4" w:space="0"/>
              <w:bottom w:val="single" w:color="auto" w:sz="4" w:space="0"/>
            </w:tcBorders>
            <w:shd w:val="clear" w:color="auto" w:fill="FFFFFF"/>
            <w:noWrap w:val="0"/>
            <w:vAlign w:val="top"/>
          </w:tcPr>
          <w:p>
            <w:pPr>
              <w:pStyle w:val="9"/>
              <w:keepNext w:val="0"/>
              <w:keepLines w:val="0"/>
              <w:widowControl w:val="0"/>
              <w:shd w:val="clear" w:color="auto" w:fill="auto"/>
              <w:bidi w:val="0"/>
              <w:spacing w:before="80" w:after="0" w:line="240" w:lineRule="auto"/>
              <w:ind w:left="0" w:right="0" w:firstLine="600"/>
              <w:jc w:val="left"/>
              <w:rPr>
                <w:rFonts w:hint="eastAsia" w:ascii="仿宋_GB2312" w:hAnsi="仿宋_GB2312" w:eastAsia="仿宋_GB2312" w:cs="仿宋_GB2312"/>
                <w:color w:val="000000"/>
                <w:spacing w:val="0"/>
                <w:w w:val="100"/>
                <w:position w:val="0"/>
                <w:sz w:val="21"/>
                <w:szCs w:val="21"/>
              </w:rPr>
            </w:pPr>
          </w:p>
          <w:p>
            <w:pPr>
              <w:pStyle w:val="9"/>
              <w:keepNext w:val="0"/>
              <w:keepLines w:val="0"/>
              <w:widowControl w:val="0"/>
              <w:shd w:val="clear" w:color="auto" w:fill="auto"/>
              <w:bidi w:val="0"/>
              <w:spacing w:before="80" w:after="0" w:line="240" w:lineRule="auto"/>
              <w:ind w:left="0" w:right="0" w:firstLine="6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厉行节约保障措施</w:t>
            </w:r>
          </w:p>
        </w:tc>
        <w:tc>
          <w:tcPr>
            <w:tcW w:w="6705" w:type="dxa"/>
            <w:gridSpan w:val="6"/>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r>
              <w:rPr>
                <w:rFonts w:hint="eastAsia" w:ascii="仿宋" w:hAnsi="仿宋" w:eastAsia="仿宋" w:cs="仿宋"/>
                <w:sz w:val="21"/>
                <w:szCs w:val="21"/>
              </w:rPr>
              <w:t>为确保</w:t>
            </w:r>
            <w:r>
              <w:rPr>
                <w:rFonts w:hint="eastAsia" w:ascii="仿宋" w:hAnsi="仿宋" w:eastAsia="仿宋" w:cs="仿宋"/>
                <w:sz w:val="21"/>
                <w:szCs w:val="21"/>
                <w:lang w:val="en-US" w:eastAsia="zh-CN"/>
              </w:rPr>
              <w:t>区委、</w:t>
            </w:r>
            <w:r>
              <w:rPr>
                <w:rFonts w:hint="eastAsia" w:ascii="仿宋" w:hAnsi="仿宋" w:eastAsia="仿宋" w:cs="仿宋"/>
                <w:sz w:val="21"/>
                <w:szCs w:val="21"/>
              </w:rPr>
              <w:t>区政府后勤服务、</w:t>
            </w:r>
            <w:r>
              <w:rPr>
                <w:rFonts w:hint="eastAsia" w:ascii="仿宋" w:hAnsi="仿宋" w:eastAsia="仿宋" w:cs="仿宋"/>
                <w:sz w:val="21"/>
                <w:szCs w:val="21"/>
                <w:lang w:val="en-US" w:eastAsia="zh-CN"/>
              </w:rPr>
              <w:t>食堂管理、保洁、安保、</w:t>
            </w:r>
            <w:r>
              <w:rPr>
                <w:rFonts w:hint="eastAsia" w:ascii="仿宋" w:hAnsi="仿宋" w:eastAsia="仿宋" w:cs="仿宋"/>
                <w:sz w:val="21"/>
                <w:szCs w:val="21"/>
              </w:rPr>
              <w:t>公车管理及公务接待</w:t>
            </w:r>
            <w:r>
              <w:rPr>
                <w:rFonts w:hint="eastAsia" w:ascii="仿宋" w:hAnsi="仿宋" w:eastAsia="仿宋" w:cs="仿宋"/>
                <w:sz w:val="21"/>
                <w:szCs w:val="21"/>
                <w:lang w:val="en-US" w:eastAsia="zh-CN"/>
              </w:rPr>
              <w:t>等各项工作顺利进行</w:t>
            </w:r>
            <w:r>
              <w:rPr>
                <w:rFonts w:hint="eastAsia" w:ascii="仿宋" w:hAnsi="仿宋" w:eastAsia="仿宋" w:cs="仿宋"/>
                <w:sz w:val="21"/>
                <w:szCs w:val="21"/>
              </w:rPr>
              <w:t>，做到专款专用，保障后勤正常运转</w:t>
            </w:r>
            <w:r>
              <w:rPr>
                <w:rFonts w:hint="eastAsia" w:ascii="仿宋" w:hAnsi="仿宋" w:eastAsia="仿宋" w:cs="仿宋"/>
                <w:sz w:val="21"/>
                <w:szCs w:val="21"/>
                <w:lang w:eastAsia="zh-CN"/>
              </w:rPr>
              <w:t>。</w:t>
            </w:r>
            <w:r>
              <w:rPr>
                <w:rFonts w:hint="eastAsia" w:ascii="仿宋" w:hAnsi="仿宋" w:eastAsia="仿宋" w:cs="仿宋"/>
                <w:sz w:val="21"/>
                <w:szCs w:val="21"/>
              </w:rPr>
              <w:t>制定</w:t>
            </w:r>
            <w:r>
              <w:rPr>
                <w:rFonts w:hint="eastAsia" w:ascii="仿宋" w:hAnsi="仿宋" w:eastAsia="仿宋" w:cs="仿宋"/>
                <w:sz w:val="21"/>
                <w:szCs w:val="21"/>
                <w:lang w:val="en-US" w:eastAsia="zh-CN"/>
              </w:rPr>
              <w:t>了各项规章制度及</w:t>
            </w:r>
            <w:r>
              <w:rPr>
                <w:rFonts w:hint="eastAsia" w:ascii="仿宋" w:hAnsi="仿宋" w:eastAsia="仿宋" w:cs="仿宋"/>
                <w:sz w:val="21"/>
                <w:szCs w:val="21"/>
              </w:rPr>
              <w:t>工作措施</w:t>
            </w:r>
            <w:r>
              <w:rPr>
                <w:rFonts w:hint="eastAsia" w:ascii="仿宋" w:hAnsi="仿宋" w:eastAsia="仿宋" w:cs="仿宋"/>
                <w:sz w:val="21"/>
                <w:szCs w:val="21"/>
                <w:lang w:eastAsia="zh-CN"/>
              </w:rPr>
              <w:t>。</w:t>
            </w:r>
          </w:p>
        </w:tc>
      </w:tr>
    </w:tbl>
    <w:p>
      <w:pPr>
        <w:pStyle w:val="11"/>
        <w:keepNext w:val="0"/>
        <w:keepLines w:val="0"/>
        <w:widowControl w:val="0"/>
        <w:shd w:val="clear" w:color="auto" w:fill="auto"/>
        <w:bidi w:val="0"/>
        <w:spacing w:before="0" w:after="0"/>
        <w:ind w:left="0" w:right="0" w:firstLine="0"/>
        <w:jc w:val="left"/>
        <w:rPr>
          <w:rFonts w:hint="eastAsia" w:ascii="宋体" w:hAnsi="宋体" w:eastAsia="宋体" w:cs="宋体"/>
          <w:color w:val="000000"/>
          <w:spacing w:val="0"/>
          <w:w w:val="100"/>
          <w:position w:val="0"/>
          <w:sz w:val="24"/>
          <w:szCs w:val="24"/>
        </w:rPr>
      </w:pPr>
    </w:p>
    <w:p>
      <w:pPr>
        <w:pStyle w:val="11"/>
        <w:keepNext w:val="0"/>
        <w:keepLines w:val="0"/>
        <w:widowControl w:val="0"/>
        <w:shd w:val="clear" w:color="auto" w:fill="auto"/>
        <w:bidi w:val="0"/>
        <w:spacing w:before="0" w:after="0"/>
        <w:ind w:left="0" w:right="0" w:firstLine="0"/>
        <w:jc w:val="left"/>
        <w:rPr>
          <w:rFonts w:hint="eastAsia" w:ascii="宋体" w:hAnsi="宋体" w:eastAsia="宋体" w:cs="宋体"/>
          <w:sz w:val="32"/>
          <w:szCs w:val="32"/>
        </w:rPr>
        <w:sectPr>
          <w:footerReference r:id="rId3" w:type="default"/>
          <w:footerReference r:id="rId4" w:type="even"/>
          <w:footnotePr>
            <w:numFmt w:val="decimal"/>
          </w:footnotePr>
          <w:pgSz w:w="11850" w:h="16783"/>
          <w:pgMar w:top="1440" w:right="1803" w:bottom="1440" w:left="1803" w:header="0" w:footer="850" w:gutter="0"/>
          <w:cols w:space="720" w:num="1"/>
          <w:rtlGutter w:val="0"/>
          <w:docGrid w:linePitch="360" w:charSpace="0"/>
        </w:sectPr>
      </w:pPr>
      <w:r>
        <w:rPr>
          <w:rFonts w:hint="eastAsia" w:ascii="宋体" w:hAnsi="宋体" w:eastAsia="宋体" w:cs="宋体"/>
          <w:color w:val="000000"/>
          <w:spacing w:val="0"/>
          <w:w w:val="100"/>
          <w:position w:val="0"/>
          <w:sz w:val="24"/>
          <w:szCs w:val="24"/>
        </w:rPr>
        <w:t>说明：“项目支出”需要填报基本支出以外的所有项目情况，包括业务工作项目、运行维护项目等；“公用经费”填报基本支出中的一般商品和服务支出。</w:t>
      </w:r>
    </w:p>
    <w:p>
      <w:pPr>
        <w:pStyle w:val="10"/>
        <w:keepNext w:val="0"/>
        <w:keepLines w:val="0"/>
        <w:widowControl w:val="0"/>
        <w:shd w:val="clear" w:color="auto" w:fill="auto"/>
        <w:bidi w:val="0"/>
        <w:spacing w:before="0" w:line="240" w:lineRule="auto"/>
        <w:ind w:left="0" w:leftChars="0" w:right="0" w:firstLine="0" w:firstLineChars="0"/>
        <w:jc w:val="left"/>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附件</w:t>
      </w:r>
      <w:r>
        <w:rPr>
          <w:rFonts w:hint="eastAsia" w:cs="宋体"/>
          <w:color w:val="000000"/>
          <w:spacing w:val="0"/>
          <w:w w:val="100"/>
          <w:position w:val="0"/>
          <w:sz w:val="24"/>
          <w:szCs w:val="24"/>
          <w:lang w:val="en-US" w:eastAsia="zh-CN"/>
        </w:rPr>
        <w:t>3</w:t>
      </w:r>
    </w:p>
    <w:p>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jc w:val="center"/>
        <w:textAlignment w:val="auto"/>
        <w:rPr>
          <w:rFonts w:hint="eastAsia" w:ascii="仿宋_GB2312" w:hAnsi="仿宋_GB2312" w:eastAsia="方正小标宋_GBK" w:cs="仿宋_GB2312"/>
          <w:b/>
          <w:bCs/>
          <w:color w:val="000000"/>
          <w:spacing w:val="0"/>
          <w:w w:val="100"/>
          <w:position w:val="0"/>
          <w:sz w:val="32"/>
          <w:szCs w:val="32"/>
          <w:lang w:eastAsia="zh-CN"/>
        </w:rPr>
      </w:pPr>
      <w:r>
        <w:rPr>
          <w:rFonts w:hint="default" w:ascii="Times New Roman" w:hAnsi="Times New Roman" w:eastAsia="方正小标宋_GBK" w:cs="Times New Roman"/>
          <w:kern w:val="0"/>
          <w:sz w:val="36"/>
          <w:szCs w:val="36"/>
        </w:rPr>
        <w:t>部门整体支出绩效评价</w:t>
      </w:r>
      <w:r>
        <w:rPr>
          <w:rFonts w:hint="eastAsia" w:ascii="Times New Roman" w:hAnsi="Times New Roman" w:eastAsia="方正小标宋_GBK" w:cs="Times New Roman"/>
          <w:kern w:val="0"/>
          <w:sz w:val="36"/>
          <w:szCs w:val="36"/>
          <w:lang w:eastAsia="zh-CN"/>
        </w:rPr>
        <w:t>报告</w:t>
      </w:r>
    </w:p>
    <w:p>
      <w:pPr>
        <w:pStyle w:val="7"/>
        <w:keepNext w:val="0"/>
        <w:keepLines w:val="0"/>
        <w:pageBreakBefore w:val="0"/>
        <w:widowControl w:val="0"/>
        <w:numPr>
          <w:ilvl w:val="0"/>
          <w:numId w:val="1"/>
        </w:numPr>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部门概况</w:t>
      </w:r>
      <w:bookmarkStart w:id="0" w:name="bookmark92"/>
    </w:p>
    <w:bookmarkEnd w:id="0"/>
    <w:p>
      <w:pPr>
        <w:pStyle w:val="7"/>
        <w:keepNext w:val="0"/>
        <w:keepLines w:val="0"/>
        <w:pageBreakBefore w:val="0"/>
        <w:widowControl w:val="0"/>
        <w:numPr>
          <w:ilvl w:val="0"/>
          <w:numId w:val="2"/>
        </w:numPr>
        <w:shd w:val="clear" w:color="auto" w:fill="auto"/>
        <w:tabs>
          <w:tab w:val="left" w:pos="86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部门基本情况</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right="0" w:firstLine="928" w:firstLineChars="29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依据中共珠晖区委机构编制委员会的珠编[2019]4号文件精神，核定编制人数9人。区委机关事务和接待中心现在实有在编在岗人员8人，机构设置如下：（1）办公室；（2）公务用车股；（3）机关事务股；（4）公务接待股。</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right="0" w:firstLine="928" w:firstLineChars="29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区委机关事务和接待中心主要职责是：</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w:t>
      </w:r>
      <w:r>
        <w:rPr>
          <w:rFonts w:hint="default" w:ascii="仿宋_GB2312" w:hAnsi="仿宋_GB2312" w:eastAsia="仿宋_GB2312" w:cs="仿宋_GB2312"/>
          <w:color w:val="000000"/>
          <w:spacing w:val="0"/>
          <w:w w:val="100"/>
          <w:position w:val="0"/>
          <w:sz w:val="32"/>
          <w:szCs w:val="32"/>
          <w:lang w:val="en-US" w:eastAsia="zh-CN"/>
        </w:rPr>
        <w:t>贯彻国家机关事务工作和后勤体制改革的法律法规、政策规定，结合单位实际，制定并组织实施机关事务服务工作的具体计划、制度和办法。</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w:t>
      </w:r>
      <w:r>
        <w:rPr>
          <w:rFonts w:hint="default" w:ascii="仿宋_GB2312" w:hAnsi="仿宋_GB2312" w:eastAsia="仿宋_GB2312" w:cs="仿宋_GB2312"/>
          <w:color w:val="000000"/>
          <w:spacing w:val="0"/>
          <w:w w:val="100"/>
          <w:position w:val="0"/>
          <w:sz w:val="32"/>
          <w:szCs w:val="32"/>
          <w:lang w:val="en-US" w:eastAsia="zh-CN"/>
        </w:rPr>
        <w:t>负责区机关大院的绿化、卫生、环境秩序、物业管理、安全保卫、餐饮服务等后勤服务保障工作。</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w:t>
      </w:r>
      <w:r>
        <w:rPr>
          <w:rFonts w:hint="default" w:ascii="仿宋_GB2312" w:hAnsi="仿宋_GB2312" w:eastAsia="仿宋_GB2312" w:cs="仿宋_GB2312"/>
          <w:color w:val="000000"/>
          <w:spacing w:val="0"/>
          <w:w w:val="100"/>
          <w:position w:val="0"/>
          <w:sz w:val="32"/>
          <w:szCs w:val="32"/>
          <w:lang w:val="en-US" w:eastAsia="zh-CN"/>
        </w:rPr>
        <w:t>负责申报区机关大院用房及设施的维修、保养项目并组织实施；负责区委区政府大院的大中型技术设备的检测和安全运行管理工作。</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4、</w:t>
      </w:r>
      <w:r>
        <w:rPr>
          <w:rFonts w:hint="default" w:ascii="仿宋_GB2312" w:hAnsi="仿宋_GB2312" w:eastAsia="仿宋_GB2312" w:cs="仿宋_GB2312"/>
          <w:color w:val="000000"/>
          <w:spacing w:val="0"/>
          <w:w w:val="100"/>
          <w:position w:val="0"/>
          <w:sz w:val="32"/>
          <w:szCs w:val="32"/>
          <w:lang w:val="en-US" w:eastAsia="zh-CN"/>
        </w:rPr>
        <w:t>协助承办区级重要会议和重大活动的会务、事务工作；负责区机关大院会议场所的管理和事务管理工作。</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5、</w:t>
      </w:r>
      <w:r>
        <w:rPr>
          <w:rFonts w:hint="default" w:ascii="仿宋_GB2312" w:hAnsi="仿宋_GB2312" w:eastAsia="仿宋_GB2312" w:cs="仿宋_GB2312"/>
          <w:color w:val="000000"/>
          <w:spacing w:val="0"/>
          <w:w w:val="100"/>
          <w:position w:val="0"/>
          <w:sz w:val="32"/>
          <w:szCs w:val="32"/>
          <w:lang w:val="en-US" w:eastAsia="zh-CN"/>
        </w:rPr>
        <w:t>按规定会同有关部门承担全区公务用车的编制、标准、采购配备、处置及牌证管理工作；推进机关公务用车平台化、标识化、信息化管理；拟订全区公务用车管理相关制度和办法并组织实施；会同有关部门指导机关公务用车管理；负责公务用车安全生产工作。</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6、</w:t>
      </w:r>
      <w:r>
        <w:rPr>
          <w:rFonts w:hint="default" w:ascii="仿宋_GB2312" w:hAnsi="仿宋_GB2312" w:eastAsia="仿宋_GB2312" w:cs="仿宋_GB2312"/>
          <w:color w:val="000000"/>
          <w:spacing w:val="0"/>
          <w:w w:val="100"/>
          <w:position w:val="0"/>
          <w:sz w:val="32"/>
          <w:szCs w:val="32"/>
          <w:lang w:val="en-US" w:eastAsia="zh-CN"/>
        </w:rPr>
        <w:t>负责各项公务及商务接待工作。</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7、</w:t>
      </w:r>
      <w:r>
        <w:rPr>
          <w:rFonts w:hint="default" w:ascii="仿宋_GB2312" w:hAnsi="仿宋_GB2312" w:eastAsia="仿宋_GB2312" w:cs="仿宋_GB2312"/>
          <w:color w:val="000000"/>
          <w:spacing w:val="0"/>
          <w:w w:val="100"/>
          <w:position w:val="0"/>
          <w:sz w:val="32"/>
          <w:szCs w:val="32"/>
          <w:lang w:val="en-US" w:eastAsia="zh-CN"/>
        </w:rPr>
        <w:t>完成区委、区政府交办的其他任务。</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为确保区委、区政府后勤服务、食堂管理、保洁、安保、公车管理及公务接待等各项工作顺利进行，做到专款专用，保障后勤正常运转。制定各项规章制度及工作措施，得到社会和服务对象的满意。</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right="0" w:firstLine="928" w:firstLineChars="290"/>
        <w:jc w:val="both"/>
        <w:textAlignment w:val="auto"/>
        <w:rPr>
          <w:rFonts w:hint="eastAsia" w:ascii="仿宋_GB2312" w:hAnsi="仿宋_GB2312" w:eastAsia="仿宋_GB2312" w:cs="仿宋_GB2312"/>
          <w:color w:val="000000"/>
          <w:spacing w:val="0"/>
          <w:w w:val="100"/>
          <w:position w:val="0"/>
          <w:sz w:val="32"/>
          <w:szCs w:val="32"/>
          <w:lang w:val="en-US" w:eastAsia="zh-CN"/>
        </w:rPr>
      </w:pPr>
    </w:p>
    <w:p>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right="0" w:rightChars="0"/>
        <w:jc w:val="both"/>
        <w:textAlignment w:val="auto"/>
        <w:rPr>
          <w:rFonts w:hint="default" w:ascii="仿宋_GB2312" w:hAnsi="仿宋_GB2312" w:eastAsia="仿宋_GB2312" w:cs="仿宋_GB2312"/>
          <w:color w:val="000000"/>
          <w:spacing w:val="0"/>
          <w:w w:val="100"/>
          <w:position w:val="0"/>
          <w:sz w:val="32"/>
          <w:szCs w:val="32"/>
          <w:lang w:val="en-US" w:eastAsia="zh-CN"/>
        </w:rPr>
      </w:pPr>
    </w:p>
    <w:p>
      <w:pPr>
        <w:pStyle w:val="7"/>
        <w:keepNext w:val="0"/>
        <w:keepLines w:val="0"/>
        <w:pageBreakBefore w:val="0"/>
        <w:widowControl w:val="0"/>
        <w:numPr>
          <w:ilvl w:val="0"/>
          <w:numId w:val="2"/>
        </w:numPr>
        <w:shd w:val="clear" w:color="auto" w:fill="auto"/>
        <w:tabs>
          <w:tab w:val="left" w:pos="1101"/>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部门整体支出规模、使用方向和主要内容、涉及范围等。</w:t>
      </w:r>
    </w:p>
    <w:p>
      <w:pPr>
        <w:widowControl/>
        <w:numPr>
          <w:ilvl w:val="0"/>
          <w:numId w:val="0"/>
        </w:numPr>
        <w:spacing w:line="600" w:lineRule="exact"/>
        <w:ind w:firstLine="640" w:firstLineChars="200"/>
        <w:jc w:val="left"/>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2022年</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基本支出年初预算数为</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206.9</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万元，是指为保障单位机构正常运转、完成日常工作任务而发生的各项支出，包括用于基本工资、津贴补贴、</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社保</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等人员经费以及办公费、印刷费、水电费、办公设备购置等日常公用经费。</w:t>
      </w:r>
    </w:p>
    <w:p>
      <w:pPr>
        <w:pStyle w:val="7"/>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20</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22</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年项目支出年初预算数为</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595.00</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万元（其中：物业管理经费支出</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85</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万元，主要用于区机关安保工作等方面；食堂经费支出</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220</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万元，主要用于食堂米、油、菜金、设备设施添置等方面；公务用车经费支出</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220</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万元，主要用于车辆用油、保养、维修、司机工资福利等方面；水电及维修经费支出</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70</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万元，主要用于机关水电费、水电设施设备维修等方面）。</w:t>
      </w:r>
    </w:p>
    <w:p>
      <w:pPr>
        <w:pStyle w:val="7"/>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560" w:lineRule="exact"/>
        <w:ind w:leftChars="200" w:right="0" w:rightChars="0"/>
        <w:jc w:val="both"/>
        <w:textAlignment w:val="auto"/>
        <w:rPr>
          <w:rFonts w:hint="eastAsia" w:ascii="仿宋_GB2312" w:hAnsi="仿宋_GB2312" w:eastAsia="仿宋_GB2312" w:cs="仿宋_GB2312"/>
          <w:color w:val="000000"/>
          <w:spacing w:val="0"/>
          <w:w w:val="100"/>
          <w:position w:val="0"/>
          <w:sz w:val="32"/>
          <w:szCs w:val="32"/>
        </w:rPr>
      </w:pPr>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sz w:val="32"/>
          <w:szCs w:val="32"/>
        </w:rPr>
      </w:pPr>
      <w:bookmarkStart w:id="1" w:name="bookmark94"/>
      <w:r>
        <w:rPr>
          <w:rFonts w:hint="eastAsia" w:ascii="仿宋_GB2312" w:hAnsi="仿宋_GB2312" w:eastAsia="仿宋_GB2312" w:cs="仿宋_GB2312"/>
          <w:b/>
          <w:bCs/>
          <w:color w:val="000000"/>
          <w:spacing w:val="0"/>
          <w:w w:val="100"/>
          <w:position w:val="0"/>
          <w:sz w:val="32"/>
          <w:szCs w:val="32"/>
        </w:rPr>
        <w:t>二</w:t>
      </w:r>
      <w:bookmarkEnd w:id="1"/>
      <w:r>
        <w:rPr>
          <w:rFonts w:hint="eastAsia" w:ascii="仿宋_GB2312" w:hAnsi="仿宋_GB2312" w:eastAsia="仿宋_GB2312" w:cs="仿宋_GB2312"/>
          <w:b/>
          <w:bCs/>
          <w:color w:val="000000"/>
          <w:spacing w:val="0"/>
          <w:w w:val="100"/>
          <w:position w:val="0"/>
          <w:sz w:val="32"/>
          <w:szCs w:val="32"/>
        </w:rPr>
        <w:t>、部门整体支出管理及使用情况</w:t>
      </w:r>
    </w:p>
    <w:p>
      <w:pPr>
        <w:pStyle w:val="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bookmarkStart w:id="2" w:name="bookmark95"/>
      <w:r>
        <w:rPr>
          <w:rFonts w:hint="eastAsia" w:ascii="仿宋_GB2312" w:hAnsi="仿宋_GB2312" w:eastAsia="仿宋_GB2312" w:cs="仿宋_GB2312"/>
          <w:color w:val="000000"/>
          <w:spacing w:val="0"/>
          <w:w w:val="100"/>
          <w:position w:val="0"/>
          <w:sz w:val="32"/>
          <w:szCs w:val="32"/>
        </w:rPr>
        <w:t>（</w:t>
      </w:r>
      <w:bookmarkEnd w:id="2"/>
      <w:r>
        <w:rPr>
          <w:rFonts w:hint="eastAsia" w:ascii="仿宋_GB2312" w:hAnsi="仿宋_GB2312" w:eastAsia="仿宋_GB2312" w:cs="仿宋_GB2312"/>
          <w:color w:val="000000"/>
          <w:spacing w:val="0"/>
          <w:w w:val="100"/>
          <w:position w:val="0"/>
          <w:sz w:val="32"/>
          <w:szCs w:val="32"/>
        </w:rPr>
        <w:t>一）基本支出</w:t>
      </w:r>
    </w:p>
    <w:p>
      <w:pPr>
        <w:widowControl/>
        <w:spacing w:line="600" w:lineRule="exact"/>
        <w:ind w:firstLine="660"/>
        <w:jc w:val="left"/>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bookmarkStart w:id="3" w:name="bookmark96"/>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基本支出主要</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为保障单位机构正常运转、完成日常工作任务而发生的各项支出，包括用于基本工资、津贴补贴、</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社保</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等人员经费（</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含临聘人员工资福利</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）以及办公费、印刷费、办公设备购置等日常公用经费；</w:t>
      </w:r>
    </w:p>
    <w:p>
      <w:pPr>
        <w:widowControl/>
        <w:spacing w:line="600" w:lineRule="exact"/>
        <w:ind w:firstLine="660"/>
        <w:jc w:val="left"/>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为确保</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各项资金的使用到位</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制定</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了资金使用管理制度，规范资金的使用范围，必要做到专款专用；</w:t>
      </w:r>
    </w:p>
    <w:p>
      <w:pPr>
        <w:widowControl/>
        <w:spacing w:line="600" w:lineRule="exact"/>
        <w:ind w:firstLine="660"/>
        <w:jc w:val="left"/>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三公”中“公务用车经费”全年预算220万元，此预算金额中包括司勤人员全年的工资121.09万元，其余98.91万元主要用于公车的燃油、保养、维修等。“公务接待费”全年预算3.1万元，全年支出3.1万元，与预算持平。</w:t>
      </w:r>
    </w:p>
    <w:p>
      <w:pPr>
        <w:pStyle w:val="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w:t>
      </w:r>
      <w:bookmarkEnd w:id="3"/>
      <w:r>
        <w:rPr>
          <w:rFonts w:hint="eastAsia" w:ascii="仿宋_GB2312" w:hAnsi="仿宋_GB2312" w:eastAsia="仿宋_GB2312" w:cs="仿宋_GB2312"/>
          <w:color w:val="000000"/>
          <w:spacing w:val="0"/>
          <w:w w:val="100"/>
          <w:position w:val="0"/>
          <w:sz w:val="32"/>
          <w:szCs w:val="32"/>
        </w:rPr>
        <w:t>二）项目支出</w:t>
      </w:r>
    </w:p>
    <w:p>
      <w:pPr>
        <w:widowControl/>
        <w:spacing w:line="600" w:lineRule="exact"/>
        <w:ind w:firstLine="660"/>
        <w:jc w:val="left"/>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bookmarkStart w:id="4" w:name="bookmark97"/>
      <w:r>
        <w:rPr>
          <w:rFonts w:hint="eastAsia" w:ascii="仿宋_GB2312" w:hAnsi="仿宋_GB2312" w:eastAsia="仿宋_GB2312" w:cs="仿宋_GB2312"/>
          <w:b w:val="0"/>
          <w:bCs w:val="0"/>
          <w:color w:val="000000"/>
          <w:spacing w:val="0"/>
          <w:w w:val="100"/>
          <w:position w:val="0"/>
          <w:sz w:val="32"/>
          <w:szCs w:val="32"/>
        </w:rPr>
        <w:t>1</w:t>
      </w:r>
      <w:bookmarkEnd w:id="4"/>
      <w:r>
        <w:rPr>
          <w:rFonts w:hint="eastAsia" w:ascii="仿宋_GB2312" w:hAnsi="仿宋_GB2312" w:eastAsia="仿宋_GB2312" w:cs="仿宋_GB2312"/>
          <w:b w:val="0"/>
          <w:bCs w:val="0"/>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项目资金（包括财政资金、自筹资金等）安排落实、总投入等情况分析</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750.73</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万元（其中：物业管理费157.19万元；水电及日常维护费80.62万元；公务用车运行经费98.91万元；食堂经费322.91万元；机关维修90.86万元）</w:t>
      </w:r>
    </w:p>
    <w:p>
      <w:pPr>
        <w:pStyle w:val="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p>
    <w:p>
      <w:pPr>
        <w:widowControl/>
        <w:spacing w:line="600" w:lineRule="exact"/>
        <w:ind w:firstLine="660"/>
        <w:jc w:val="left"/>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zh-CN"/>
        </w:rPr>
      </w:pPr>
      <w:bookmarkStart w:id="5" w:name="bookmark98"/>
      <w:r>
        <w:rPr>
          <w:rFonts w:hint="eastAsia" w:ascii="仿宋_GB2312" w:hAnsi="仿宋_GB2312" w:eastAsia="仿宋_GB2312" w:cs="仿宋_GB2312"/>
          <w:b w:val="0"/>
          <w:bCs w:val="0"/>
          <w:color w:val="000000"/>
          <w:spacing w:val="0"/>
          <w:w w:val="100"/>
          <w:position w:val="0"/>
          <w:sz w:val="32"/>
          <w:szCs w:val="32"/>
        </w:rPr>
        <w:t>2</w:t>
      </w:r>
      <w:bookmarkEnd w:id="5"/>
      <w:r>
        <w:rPr>
          <w:rFonts w:hint="eastAsia" w:ascii="仿宋_GB2312" w:hAnsi="仿宋_GB2312" w:eastAsia="仿宋_GB2312" w:cs="仿宋_GB2312"/>
          <w:b w:val="0"/>
          <w:bCs w:val="0"/>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项目资金（主要指财政资金）实际使用情况分析</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物业管理费预算85万元，实际使用157.19万元，超过预算原因为原物业公司合同到期，经过重新招投标，将保洁等14人劳务外包给新物业公司；水电及日常维护费预算70万元，实际使用80.62万元，是因为本年二机关水费收费标准有所上调；公务用车经费预算220万元，此预算中包括司勤人员全年工资及福利，公务用车实际运行经费98.91万元；公务接待费预算3.1万元，实际使用3.1万元；食堂经费预算220万元，实际使用322.91万元，因2021年年初预算不足，2022年预算支付2021年10-12月三月食堂菜金开支约60万元；机关院内维修实际使用90.86万元，财政追加。</w:t>
      </w:r>
    </w:p>
    <w:p>
      <w:pPr>
        <w:pStyle w:val="7"/>
        <w:keepNext w:val="0"/>
        <w:keepLines w:val="0"/>
        <w:pageBreakBefore w:val="0"/>
        <w:widowControl w:val="0"/>
        <w:shd w:val="clear" w:color="auto" w:fill="auto"/>
        <w:tabs>
          <w:tab w:val="left" w:pos="765"/>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p>
    <w:p>
      <w:pPr>
        <w:pStyle w:val="7"/>
        <w:keepNext w:val="0"/>
        <w:keepLines w:val="0"/>
        <w:pageBreakBefore w:val="0"/>
        <w:widowControl w:val="0"/>
        <w:shd w:val="clear" w:color="auto" w:fill="auto"/>
        <w:tabs>
          <w:tab w:val="left" w:pos="770"/>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bookmarkStart w:id="6" w:name="bookmark99"/>
      <w:r>
        <w:rPr>
          <w:rFonts w:hint="eastAsia" w:ascii="仿宋_GB2312" w:hAnsi="仿宋_GB2312" w:eastAsia="仿宋_GB2312" w:cs="仿宋_GB2312"/>
          <w:b w:val="0"/>
          <w:bCs w:val="0"/>
          <w:color w:val="000000"/>
          <w:spacing w:val="0"/>
          <w:w w:val="100"/>
          <w:position w:val="0"/>
          <w:sz w:val="32"/>
          <w:szCs w:val="32"/>
        </w:rPr>
        <w:t>3</w:t>
      </w:r>
      <w:bookmarkEnd w:id="6"/>
      <w:r>
        <w:rPr>
          <w:rFonts w:hint="eastAsia" w:ascii="仿宋_GB2312" w:hAnsi="仿宋_GB2312" w:eastAsia="仿宋_GB2312" w:cs="仿宋_GB2312"/>
          <w:b w:val="0"/>
          <w:bCs w:val="0"/>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项目资金管理情况分析，主要包括管理制度、办法的制订及执行情况</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为了规范资金使用及审批流程，我单位制定了《珠晖区区委机关事务和接待中心财务管理制度》。为了预算资金使用效率而制定了物业管理工作措施及考核办法、用水用电工作措施及水电设施维修管理办法、公务用车工作措施及管理办法、公务接待审批流程及管理办法、食堂管理工作措施及食堂资金管理办法。</w:t>
      </w:r>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sz w:val="32"/>
          <w:szCs w:val="32"/>
        </w:rPr>
      </w:pPr>
      <w:bookmarkStart w:id="7" w:name="bookmark100"/>
      <w:r>
        <w:rPr>
          <w:rFonts w:hint="eastAsia" w:ascii="仿宋_GB2312" w:hAnsi="仿宋_GB2312" w:eastAsia="仿宋_GB2312" w:cs="仿宋_GB2312"/>
          <w:b/>
          <w:bCs/>
          <w:color w:val="000000"/>
          <w:spacing w:val="0"/>
          <w:w w:val="100"/>
          <w:position w:val="0"/>
          <w:sz w:val="32"/>
          <w:szCs w:val="32"/>
        </w:rPr>
        <w:t>三</w:t>
      </w:r>
      <w:bookmarkEnd w:id="7"/>
      <w:r>
        <w:rPr>
          <w:rFonts w:hint="eastAsia" w:ascii="仿宋_GB2312" w:hAnsi="仿宋_GB2312" w:eastAsia="仿宋_GB2312" w:cs="仿宋_GB2312"/>
          <w:b/>
          <w:bCs/>
          <w:color w:val="000000"/>
          <w:spacing w:val="0"/>
          <w:w w:val="100"/>
          <w:position w:val="0"/>
          <w:sz w:val="32"/>
          <w:szCs w:val="32"/>
        </w:rPr>
        <w:t>、部门项目组织实施情况</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（一）项目组织情况分析，主要包括项目招投标、调整、竣工验收等情况。</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1、公务用车司机实行劳务派遣。</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2、公务接待费用实行按需拨付，控制上限。</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3、物业管理公开招投标，将保安、保洁人员整体进行劳务外包。</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4、食堂材料公开招投标，与中标配送公司签订配送协议。</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5、机关维修项目实行先行申报审批，审批通过后按维修金额进行政府采购或者湖南省政府采购电子卖场采购。</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p>
    <w:p>
      <w:pPr>
        <w:pStyle w:val="7"/>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项目管理情况分析，主要包括项目管理制度建设、日常检查监督管理等情况。</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为了预算资金使用效率，制定了各项工作措施及管理制度(珠晖区区委机关事务和接待中心财务管理制度；物业管理工作措施及考核办法；用水用电工作措施及水电设施维修管理办法；公务用车工作措施及管理办法；公务接待审批制度及管理办法；食堂管理工作措施及食堂资金管理办法等)。</w:t>
      </w:r>
    </w:p>
    <w:p>
      <w:pPr>
        <w:pStyle w:val="7"/>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bookmarkStart w:id="8" w:name="bookmark101"/>
      <w:r>
        <w:rPr>
          <w:rFonts w:hint="eastAsia" w:ascii="仿宋_GB2312" w:hAnsi="仿宋_GB2312" w:eastAsia="仿宋_GB2312" w:cs="仿宋_GB2312"/>
          <w:b/>
          <w:bCs/>
          <w:color w:val="000000"/>
          <w:spacing w:val="0"/>
          <w:w w:val="100"/>
          <w:position w:val="0"/>
          <w:sz w:val="32"/>
          <w:szCs w:val="32"/>
        </w:rPr>
        <w:t>四</w:t>
      </w:r>
      <w:bookmarkEnd w:id="8"/>
      <w:r>
        <w:rPr>
          <w:rFonts w:hint="eastAsia" w:ascii="仿宋_GB2312" w:hAnsi="仿宋_GB2312" w:eastAsia="仿宋_GB2312" w:cs="仿宋_GB2312"/>
          <w:b/>
          <w:bCs/>
          <w:color w:val="000000"/>
          <w:spacing w:val="0"/>
          <w:w w:val="100"/>
          <w:position w:val="0"/>
          <w:sz w:val="32"/>
          <w:szCs w:val="32"/>
        </w:rPr>
        <w:t>、资产管理情况</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highlight w:val="none"/>
          <w:u w:val="none"/>
          <w:shd w:val="clear" w:color="auto" w:fill="auto"/>
          <w:lang w:val="en-US" w:eastAsia="zh-CN" w:bidi="zh-CN"/>
        </w:rPr>
      </w:pPr>
      <w:bookmarkStart w:id="9" w:name="bookmark102"/>
      <w:r>
        <w:rPr>
          <w:rFonts w:hint="eastAsia" w:ascii="仿宋_GB2312" w:hAnsi="仿宋_GB2312" w:eastAsia="仿宋_GB2312" w:cs="仿宋_GB2312"/>
          <w:color w:val="000000"/>
          <w:spacing w:val="0"/>
          <w:w w:val="100"/>
          <w:kern w:val="2"/>
          <w:position w:val="0"/>
          <w:sz w:val="32"/>
          <w:szCs w:val="32"/>
          <w:highlight w:val="none"/>
          <w:u w:val="none"/>
          <w:shd w:val="clear" w:color="auto" w:fill="auto"/>
          <w:lang w:val="en-US" w:eastAsia="zh-CN" w:bidi="zh-CN"/>
        </w:rPr>
        <w:t>2022年末，我单位共有固定资产共256件，原值5811931.8元（其中通用设备97件，原值5442526.8元；专用设备6件，原值95486元；家具、用具152件，原值272639元；房屋、构筑物1件，原值1280元）。</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default" w:ascii="仿宋_GB2312" w:hAnsi="仿宋_GB2312" w:eastAsia="仿宋_GB2312" w:cs="仿宋_GB2312"/>
          <w:color w:val="000000"/>
          <w:spacing w:val="0"/>
          <w:w w:val="100"/>
          <w:kern w:val="2"/>
          <w:position w:val="0"/>
          <w:sz w:val="32"/>
          <w:szCs w:val="32"/>
          <w:highlight w:val="none"/>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highlight w:val="none"/>
          <w:u w:val="none"/>
          <w:shd w:val="clear" w:color="auto" w:fill="auto"/>
          <w:lang w:val="en-US" w:eastAsia="zh-CN" w:bidi="zh-CN"/>
        </w:rPr>
        <w:t>我中心制度了固定资产管理办法，规范了固定资产购置、使用、管理及报废流程；明确了岗位职责，由办公室负责固定资产的实物管理，财务负责固定资产的账面管理，做到账实相符。</w:t>
      </w:r>
    </w:p>
    <w:bookmarkEnd w:id="9"/>
    <w:p>
      <w:pPr>
        <w:pStyle w:val="7"/>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五、</w:t>
      </w:r>
      <w:r>
        <w:rPr>
          <w:rFonts w:hint="eastAsia" w:ascii="仿宋_GB2312" w:hAnsi="仿宋_GB2312" w:eastAsia="仿宋_GB2312" w:cs="仿宋_GB2312"/>
          <w:b/>
          <w:bCs/>
          <w:color w:val="000000"/>
          <w:spacing w:val="0"/>
          <w:w w:val="100"/>
          <w:position w:val="0"/>
          <w:sz w:val="32"/>
          <w:szCs w:val="32"/>
        </w:rPr>
        <w:t>部门整体支出绩效情况</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bookmarkStart w:id="10" w:name="bookmark103"/>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我单位全年财政预算共计801.9万元，基本支出206.9万元，包括人员经费203.66万、公用经费3.24万元；项目支出595万元，包括物业管理85万元、食堂经费220万元、水电及维修70万元、公务用车经费220万元，具体分析如下：</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全年各项支出尽量控制在预算以内，厉行节约。</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区政府机关物业管理服务、公车管理及公务接待，做到专款专用，保障后勤正常运转。各项工作均在2022年底圆满完成。</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物业管理工作到位，节约用水用电，进一步改善食堂伙食，公车服务到位。各项经费到位率百分之百，做到物业管理、水电维修、食堂伙食、公务用车到位均百分之百。</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 xml:space="preserve">确保安保到位，食堂伙食改善，节约用水用电，保障公务用车均为百分之百， 社会公众和服务对象整体满意率百分之九十以上。  </w:t>
      </w:r>
      <w:bookmarkEnd w:id="10"/>
    </w:p>
    <w:p>
      <w:pPr>
        <w:pStyle w:val="7"/>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六、</w:t>
      </w:r>
      <w:r>
        <w:rPr>
          <w:rFonts w:hint="eastAsia" w:ascii="仿宋_GB2312" w:hAnsi="仿宋_GB2312" w:eastAsia="仿宋_GB2312" w:cs="仿宋_GB2312"/>
          <w:b/>
          <w:bCs/>
          <w:color w:val="000000"/>
          <w:spacing w:val="0"/>
          <w:w w:val="100"/>
          <w:position w:val="0"/>
          <w:sz w:val="32"/>
          <w:szCs w:val="32"/>
        </w:rPr>
        <w:t>存在的主要问题</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1、年初各项目支出预算不足，致使年底追加预算多；</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2、无机关日常维修经费预算。</w:t>
      </w:r>
    </w:p>
    <w:p>
      <w:pPr>
        <w:pStyle w:val="7"/>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七、</w:t>
      </w:r>
      <w:r>
        <w:rPr>
          <w:rFonts w:hint="eastAsia" w:ascii="仿宋_GB2312" w:hAnsi="仿宋_GB2312" w:eastAsia="仿宋_GB2312" w:cs="仿宋_GB2312"/>
          <w:b/>
          <w:bCs/>
          <w:color w:val="000000"/>
          <w:spacing w:val="0"/>
          <w:w w:val="100"/>
          <w:position w:val="0"/>
          <w:sz w:val="32"/>
          <w:szCs w:val="32"/>
        </w:rPr>
        <w:t>改进措施和有关建议</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1、年初足额预算，以免年底追加预算经费；</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2、增加机关日常维修费项目年初预算。</w:t>
      </w:r>
    </w:p>
    <w:p>
      <w:pPr>
        <w:pageBreakBefore w:val="0"/>
        <w:widowControl w:val="0"/>
        <w:kinsoku/>
        <w:wordWrap/>
        <w:overflowPunct/>
        <w:topLinePunct w:val="0"/>
        <w:autoSpaceDE/>
        <w:autoSpaceDN/>
        <w:bidi w:val="0"/>
        <w:adjustRightInd/>
        <w:snapToGrid/>
        <w:spacing w:line="560" w:lineRule="exact"/>
        <w:ind w:firstLine="360" w:firstLineChars="200"/>
        <w:jc w:val="both"/>
        <w:textAlignment w:val="auto"/>
        <w:rPr>
          <w:rFonts w:hint="eastAsia" w:ascii="宋体" w:hAnsi="宋体" w:eastAsia="宋体" w:cs="宋体"/>
          <w:sz w:val="18"/>
          <w:szCs w:val="18"/>
          <w:lang w:eastAsia="zh-CN"/>
        </w:rPr>
      </w:pPr>
    </w:p>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pPr>
    </w:p>
    <w:p/>
    <w:sectPr>
      <w:pgSz w:w="11906" w:h="16838"/>
      <w:pgMar w:top="1383" w:right="1417" w:bottom="1270"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1010920</wp:posOffset>
              </wp:positionH>
              <wp:positionV relativeFrom="page">
                <wp:posOffset>9731375</wp:posOffset>
              </wp:positionV>
              <wp:extent cx="603250" cy="10668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603250" cy="106680"/>
                      </a:xfrm>
                      <a:prstGeom prst="rect">
                        <a:avLst/>
                      </a:prstGeom>
                      <a:noFill/>
                      <a:ln>
                        <a:noFill/>
                      </a:ln>
                      <a:effectLst/>
                    </wps:spPr>
                    <wps:txbx>
                      <w:txbxContent>
                        <w:p>
                          <w:pPr>
                            <w:pStyle w:val="14"/>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_x0000_s1026" o:spid="_x0000_s1026"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1oCMQbIBAABNAwAADgAAAGRycy9lMm9Eb2MueG1srVPB&#10;btswDL0P2D8Iui92UiwojDjFhqLDgKEb0PUDFFmKBUiiIKqx8wPrH+y0y+77rnzHKMVJu+427EJT&#10;JPX0HkmvrkZn2U5FNOBbPp/VnCkvoTN+2/L7rzdvLjnDJHwnLHjV8r1CfrV+/Wo1hEYtoAfbqcgI&#10;xGMzhJb3KYWmqlD2ygmcQVCekhqiE4mOcVt1UQyE7my1qOtlNUDsQgSpECl6fUzydcHXWsn0WWtU&#10;idmWE7dUbCx2k221XolmG0XojZxoiH9g4YTx9OgZ6lokwR6i+QvKGRkBQaeZBFeB1kaqooHUzOsX&#10;au56EVTRQs3BcG4T/j9Yebv7EpnpWn5B7fHC0YwO3x8PP34dfn5jFKMGDQEbqrsLVJnG9zDSoE9x&#10;pGDWPero8pcUMcoT1v7cXjUmJim4rC8WbykjKTWvl8vLgl49XQ4R0wcFjmWn5ZGmV5oqdp8wEREq&#10;PZXktzzcGGvLBK3/I0CFx4gqKzDdzjqOfLOXxs04idtAtydtA61Byz3tKWf2o6cu5405OfHkbCYn&#10;v4jh3UMiGoVdRj1CEdV8oJkV0tN+5aV4fi5VT3/B+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e&#10;MLcw2AAAAA0BAAAPAAAAAAAAAAEAIAAAACIAAABkcnMvZG93bnJldi54bWxQSwECFAAUAAAACACH&#10;TuJA1oCMQbIBAABNAwAADgAAAAAAAAABACAAAAAnAQAAZHJzL2Uyb0RvYy54bWxQSwUGAAAAAAYA&#10;BgBZAQAASwU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BA716E"/>
    <w:multiLevelType w:val="singleLevel"/>
    <w:tmpl w:val="CBBA716E"/>
    <w:lvl w:ilvl="0" w:tentative="0">
      <w:start w:val="1"/>
      <w:numFmt w:val="chineseCounting"/>
      <w:suff w:val="nothing"/>
      <w:lvlText w:val="（%1）"/>
      <w:lvlJc w:val="left"/>
      <w:rPr>
        <w:rFonts w:hint="eastAsia"/>
      </w:rPr>
    </w:lvl>
  </w:abstractNum>
  <w:abstractNum w:abstractNumId="1">
    <w:nsid w:val="0E813F1C"/>
    <w:multiLevelType w:val="singleLevel"/>
    <w:tmpl w:val="0E813F1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MTQ0MWM2ZTBjN2NkNGMwNTgzMmJjZDY0ZmZiOGIifQ=="/>
  </w:docVars>
  <w:rsids>
    <w:rsidRoot w:val="00000000"/>
    <w:rsid w:val="031559C5"/>
    <w:rsid w:val="0605654C"/>
    <w:rsid w:val="0AC44368"/>
    <w:rsid w:val="0CAB2596"/>
    <w:rsid w:val="11B16D8A"/>
    <w:rsid w:val="19400566"/>
    <w:rsid w:val="19BD6875"/>
    <w:rsid w:val="1A0B2E3F"/>
    <w:rsid w:val="1C0B1F5C"/>
    <w:rsid w:val="1C351653"/>
    <w:rsid w:val="23482FC2"/>
    <w:rsid w:val="24650CAD"/>
    <w:rsid w:val="26BA007F"/>
    <w:rsid w:val="271A54E9"/>
    <w:rsid w:val="29CE2D26"/>
    <w:rsid w:val="29EF6BAA"/>
    <w:rsid w:val="2ACF592A"/>
    <w:rsid w:val="2D1E0223"/>
    <w:rsid w:val="2D647451"/>
    <w:rsid w:val="2F330FDF"/>
    <w:rsid w:val="310815C0"/>
    <w:rsid w:val="32D31E67"/>
    <w:rsid w:val="34883186"/>
    <w:rsid w:val="36EE7D5A"/>
    <w:rsid w:val="371C1FA2"/>
    <w:rsid w:val="389F6CA1"/>
    <w:rsid w:val="3C691D0E"/>
    <w:rsid w:val="3CC01671"/>
    <w:rsid w:val="3D59245F"/>
    <w:rsid w:val="3DC05EB1"/>
    <w:rsid w:val="41812D59"/>
    <w:rsid w:val="426D2EAD"/>
    <w:rsid w:val="45124078"/>
    <w:rsid w:val="49216FFB"/>
    <w:rsid w:val="49892887"/>
    <w:rsid w:val="536A198B"/>
    <w:rsid w:val="54B468D6"/>
    <w:rsid w:val="55263604"/>
    <w:rsid w:val="55755470"/>
    <w:rsid w:val="56857103"/>
    <w:rsid w:val="57A25BA3"/>
    <w:rsid w:val="5B69428A"/>
    <w:rsid w:val="5C1F3C24"/>
    <w:rsid w:val="5CA97CC5"/>
    <w:rsid w:val="5CB44DFD"/>
    <w:rsid w:val="5D0F1715"/>
    <w:rsid w:val="5D43733D"/>
    <w:rsid w:val="63125DE6"/>
    <w:rsid w:val="66C124D1"/>
    <w:rsid w:val="67BB4751"/>
    <w:rsid w:val="6FB0035C"/>
    <w:rsid w:val="72E40307"/>
    <w:rsid w:val="734A7F94"/>
    <w:rsid w:val="73E70F2A"/>
    <w:rsid w:val="75D15838"/>
    <w:rsid w:val="75D41F91"/>
    <w:rsid w:val="7CD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8">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9">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10">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11">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12">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paragraph" w:customStyle="1" w:styleId="13">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14">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15">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5490</Words>
  <Characters>5710</Characters>
  <Lines>0</Lines>
  <Paragraphs>0</Paragraphs>
  <TotalTime>30</TotalTime>
  <ScaleCrop>false</ScaleCrop>
  <LinksUpToDate>false</LinksUpToDate>
  <CharactersWithSpaces>5863</CharactersWithSpaces>
  <Application>WPS Office_11.1.0.8784_F1E327BC-269C-435d-A152-05C5408002CA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2023-06-26T02:14:00Z</dcterms:created>
  <dc:creator>Administrator</dc:creator>
  <cp:lastModifiedBy>admin</cp:lastModifiedBy>
  <cp:lastPrinted>2023-07-20T01:54:00Z</cp:lastPrinted>
  <dcterms:modified xsi:type="dcterms:W3CDTF">2023-07-20T03:05:21Z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y fmtid="{D5CDD505-2E9C-101B-9397-08002B2CF9AE}" pid="3" name="ICV">
    <vt:lpwstr>63176D46D4254EDE9C05EF843BE536E6_12</vt:lpwstr>
  </property>
</Properties>
</file>