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keepNext w:val="0"/>
        <w:keepLines w:val="0"/>
        <w:pageBreakBefore w:val="0"/>
        <w:widowControl w:val="0"/>
        <w:numPr>
          <w:ilvl w:val="0"/>
          <w:numId w:val="0"/>
        </w:numPr>
        <w:shd w:val="clear" w:color="auto" w:fill="auto"/>
        <w:tabs>
          <w:tab w:val="left" w:pos="867"/>
        </w:tabs>
        <w:kinsoku/>
        <w:wordWrap/>
        <w:overflowPunct/>
        <w:topLinePunct w:val="0"/>
        <w:autoSpaceDE/>
        <w:autoSpaceDN/>
        <w:bidi w:val="0"/>
        <w:adjustRightInd/>
        <w:snapToGrid/>
        <w:spacing w:before="0" w:after="0" w:line="560" w:lineRule="exact"/>
        <w:ind w:leftChars="200" w:right="0" w:rightChars="0"/>
        <w:jc w:val="center"/>
        <w:textAlignment w:val="auto"/>
        <w:rPr>
          <w:rFonts w:hint="eastAsia" w:ascii="方正小标宋简体" w:hAnsi="方正小标宋简体" w:eastAsia="方正小标宋简体" w:cs="方正小标宋简体"/>
          <w:b/>
          <w:bCs/>
          <w:kern w:val="0"/>
          <w:sz w:val="44"/>
          <w:szCs w:val="44"/>
          <w:lang w:eastAsia="zh-CN"/>
        </w:rPr>
      </w:pPr>
    </w:p>
    <w:p>
      <w:pPr>
        <w:pStyle w:val="12"/>
        <w:keepNext w:val="0"/>
        <w:keepLines w:val="0"/>
        <w:pageBreakBefore w:val="0"/>
        <w:widowControl w:val="0"/>
        <w:numPr>
          <w:ilvl w:val="0"/>
          <w:numId w:val="0"/>
        </w:numPr>
        <w:shd w:val="clear" w:color="auto" w:fill="auto"/>
        <w:tabs>
          <w:tab w:val="left" w:pos="867"/>
        </w:tabs>
        <w:kinsoku/>
        <w:wordWrap/>
        <w:overflowPunct/>
        <w:topLinePunct w:val="0"/>
        <w:autoSpaceDE/>
        <w:autoSpaceDN/>
        <w:bidi w:val="0"/>
        <w:adjustRightInd/>
        <w:snapToGrid/>
        <w:spacing w:before="0" w:after="0" w:line="560" w:lineRule="exact"/>
        <w:ind w:leftChars="200" w:right="0" w:rightChars="0"/>
        <w:jc w:val="center"/>
        <w:textAlignment w:val="auto"/>
        <w:rPr>
          <w:rFonts w:hint="eastAsia" w:ascii="方正小标宋简体" w:hAnsi="方正小标宋简体" w:eastAsia="方正小标宋简体" w:cs="方正小标宋简体"/>
          <w:b/>
          <w:bCs/>
          <w:kern w:val="0"/>
          <w:sz w:val="44"/>
          <w:szCs w:val="44"/>
          <w:lang w:eastAsia="zh-CN"/>
        </w:rPr>
      </w:pPr>
      <w:r>
        <w:rPr>
          <w:rFonts w:hint="eastAsia" w:ascii="方正小标宋简体" w:hAnsi="方正小标宋简体" w:eastAsia="方正小标宋简体" w:cs="方正小标宋简体"/>
          <w:b/>
          <w:bCs/>
          <w:kern w:val="0"/>
          <w:sz w:val="44"/>
          <w:szCs w:val="44"/>
          <w:lang w:eastAsia="zh-CN"/>
        </w:rPr>
        <w:t>珠晖区人民政府办公室</w:t>
      </w:r>
    </w:p>
    <w:p>
      <w:pPr>
        <w:pStyle w:val="12"/>
        <w:keepNext w:val="0"/>
        <w:keepLines w:val="0"/>
        <w:pageBreakBefore w:val="0"/>
        <w:widowControl w:val="0"/>
        <w:numPr>
          <w:ilvl w:val="0"/>
          <w:numId w:val="0"/>
        </w:numPr>
        <w:shd w:val="clear" w:color="auto" w:fill="auto"/>
        <w:tabs>
          <w:tab w:val="left" w:pos="867"/>
        </w:tabs>
        <w:kinsoku/>
        <w:wordWrap/>
        <w:overflowPunct/>
        <w:topLinePunct w:val="0"/>
        <w:autoSpaceDE/>
        <w:autoSpaceDN/>
        <w:bidi w:val="0"/>
        <w:adjustRightInd/>
        <w:snapToGrid/>
        <w:spacing w:before="0" w:after="0" w:line="560" w:lineRule="exact"/>
        <w:ind w:leftChars="200" w:right="0" w:rightChars="0"/>
        <w:jc w:val="center"/>
        <w:textAlignment w:val="auto"/>
        <w:rPr>
          <w:rFonts w:hint="eastAsia" w:ascii="方正小标宋简体" w:hAnsi="方正小标宋简体" w:eastAsia="方正小标宋简体" w:cs="方正小标宋简体"/>
          <w:b/>
          <w:bCs/>
          <w:kern w:val="0"/>
          <w:sz w:val="44"/>
          <w:szCs w:val="44"/>
          <w:lang w:eastAsia="zh-CN"/>
        </w:rPr>
      </w:pPr>
      <w:r>
        <w:rPr>
          <w:rFonts w:hint="eastAsia" w:ascii="方正小标宋简体" w:hAnsi="方正小标宋简体" w:eastAsia="方正小标宋简体" w:cs="方正小标宋简体"/>
          <w:b/>
          <w:bCs/>
          <w:kern w:val="0"/>
          <w:sz w:val="44"/>
          <w:szCs w:val="44"/>
          <w:lang w:val="en-US" w:eastAsia="zh-CN"/>
        </w:rPr>
        <w:t>2022年度</w:t>
      </w:r>
      <w:r>
        <w:rPr>
          <w:rFonts w:hint="eastAsia" w:ascii="方正小标宋简体" w:hAnsi="方正小标宋简体" w:eastAsia="方正小标宋简体" w:cs="方正小标宋简体"/>
          <w:b/>
          <w:bCs/>
          <w:kern w:val="0"/>
          <w:sz w:val="44"/>
          <w:szCs w:val="44"/>
        </w:rPr>
        <w:t>整体支出绩效评价</w:t>
      </w:r>
      <w:r>
        <w:rPr>
          <w:rFonts w:hint="eastAsia" w:ascii="方正小标宋简体" w:hAnsi="方正小标宋简体" w:eastAsia="方正小标宋简体" w:cs="方正小标宋简体"/>
          <w:b/>
          <w:bCs/>
          <w:kern w:val="0"/>
          <w:sz w:val="44"/>
          <w:szCs w:val="44"/>
          <w:lang w:eastAsia="zh-CN"/>
        </w:rPr>
        <w:t>报告</w:t>
      </w:r>
    </w:p>
    <w:p>
      <w:pPr>
        <w:pStyle w:val="12"/>
        <w:keepNext w:val="0"/>
        <w:keepLines w:val="0"/>
        <w:pageBreakBefore w:val="0"/>
        <w:widowControl w:val="0"/>
        <w:numPr>
          <w:ilvl w:val="0"/>
          <w:numId w:val="0"/>
        </w:numPr>
        <w:shd w:val="clear" w:color="auto" w:fill="auto"/>
        <w:tabs>
          <w:tab w:val="left" w:pos="867"/>
        </w:tabs>
        <w:kinsoku/>
        <w:wordWrap/>
        <w:overflowPunct/>
        <w:topLinePunct w:val="0"/>
        <w:autoSpaceDE/>
        <w:autoSpaceDN/>
        <w:bidi w:val="0"/>
        <w:adjustRightInd/>
        <w:snapToGrid/>
        <w:spacing w:before="0" w:after="0" w:line="560" w:lineRule="exact"/>
        <w:ind w:leftChars="200" w:right="0" w:rightChars="0"/>
        <w:jc w:val="center"/>
        <w:textAlignment w:val="auto"/>
        <w:rPr>
          <w:rFonts w:hint="eastAsia" w:ascii="Times New Roman" w:hAnsi="Times New Roman" w:eastAsia="方正小标宋_GBK" w:cs="Times New Roman"/>
          <w:kern w:val="0"/>
          <w:sz w:val="36"/>
          <w:szCs w:val="36"/>
          <w:lang w:eastAsia="zh-CN"/>
        </w:rPr>
      </w:pPr>
    </w:p>
    <w:p>
      <w:pPr>
        <w:pStyle w:val="12"/>
        <w:keepNext w:val="0"/>
        <w:keepLines w:val="0"/>
        <w:pageBreakBefore w:val="0"/>
        <w:widowControl w:val="0"/>
        <w:numPr>
          <w:ilvl w:val="0"/>
          <w:numId w:val="0"/>
        </w:numPr>
        <w:shd w:val="clear" w:color="auto" w:fill="auto"/>
        <w:tabs>
          <w:tab w:val="left" w:pos="867"/>
        </w:tabs>
        <w:kinsoku/>
        <w:wordWrap/>
        <w:overflowPunct/>
        <w:topLinePunct w:val="0"/>
        <w:autoSpaceDE/>
        <w:autoSpaceDN/>
        <w:bidi w:val="0"/>
        <w:adjustRightInd/>
        <w:snapToGrid/>
        <w:spacing w:before="0" w:line="600" w:lineRule="exact"/>
        <w:ind w:leftChars="0" w:right="0" w:rightChars="0" w:firstLine="640" w:firstLineChars="200"/>
        <w:jc w:val="both"/>
        <w:textAlignment w:val="auto"/>
        <w:rPr>
          <w:rFonts w:hint="eastAsia" w:ascii="黑体" w:hAnsi="黑体" w:eastAsia="黑体" w:cs="黑体"/>
          <w:b w:val="0"/>
          <w:bCs w:val="0"/>
          <w:color w:val="000000"/>
          <w:spacing w:val="0"/>
          <w:w w:val="100"/>
          <w:position w:val="0"/>
          <w:sz w:val="32"/>
          <w:szCs w:val="32"/>
        </w:rPr>
      </w:pPr>
      <w:r>
        <w:rPr>
          <w:rFonts w:hint="eastAsia" w:ascii="黑体" w:hAnsi="黑体" w:eastAsia="黑体" w:cs="黑体"/>
          <w:b w:val="0"/>
          <w:bCs w:val="0"/>
          <w:color w:val="000000"/>
          <w:spacing w:val="0"/>
          <w:w w:val="100"/>
          <w:position w:val="0"/>
          <w:sz w:val="32"/>
          <w:szCs w:val="32"/>
          <w:lang w:eastAsia="zh-CN"/>
        </w:rPr>
        <w:t>一、</w:t>
      </w:r>
      <w:r>
        <w:rPr>
          <w:rFonts w:hint="eastAsia" w:ascii="黑体" w:hAnsi="黑体" w:eastAsia="黑体" w:cs="黑体"/>
          <w:b w:val="0"/>
          <w:bCs w:val="0"/>
          <w:color w:val="000000"/>
          <w:spacing w:val="0"/>
          <w:w w:val="100"/>
          <w:position w:val="0"/>
          <w:sz w:val="32"/>
          <w:szCs w:val="32"/>
        </w:rPr>
        <w:t>部门概况</w:t>
      </w:r>
      <w:bookmarkStart w:id="0" w:name="bookmark92"/>
    </w:p>
    <w:p>
      <w:pPr>
        <w:pStyle w:val="12"/>
        <w:keepNext w:val="0"/>
        <w:keepLines w:val="0"/>
        <w:pageBreakBefore w:val="0"/>
        <w:widowControl w:val="0"/>
        <w:numPr>
          <w:ilvl w:val="0"/>
          <w:numId w:val="0"/>
        </w:numPr>
        <w:shd w:val="clear" w:color="auto" w:fill="auto"/>
        <w:tabs>
          <w:tab w:val="left" w:pos="867"/>
        </w:tabs>
        <w:kinsoku/>
        <w:wordWrap/>
        <w:overflowPunct/>
        <w:topLinePunct w:val="0"/>
        <w:autoSpaceDE/>
        <w:autoSpaceDN/>
        <w:bidi w:val="0"/>
        <w:adjustRightInd/>
        <w:snapToGrid/>
        <w:spacing w:before="0" w:line="600" w:lineRule="exact"/>
        <w:ind w:leftChars="0" w:right="0" w:rightChars="0" w:firstLine="642" w:firstLineChars="200"/>
        <w:jc w:val="both"/>
        <w:textAlignment w:val="auto"/>
        <w:rPr>
          <w:rFonts w:hint="eastAsia" w:ascii="楷体_GB2312" w:hAnsi="楷体_GB2312" w:eastAsia="楷体_GB2312" w:cs="楷体_GB2312"/>
          <w:b/>
          <w:bCs/>
          <w:color w:val="000000"/>
          <w:spacing w:val="0"/>
          <w:w w:val="100"/>
          <w:position w:val="0"/>
          <w:sz w:val="32"/>
          <w:szCs w:val="32"/>
        </w:rPr>
      </w:pPr>
      <w:r>
        <w:rPr>
          <w:rFonts w:hint="eastAsia" w:ascii="楷体_GB2312" w:hAnsi="楷体_GB2312" w:eastAsia="楷体_GB2312" w:cs="楷体_GB2312"/>
          <w:b/>
          <w:bCs/>
          <w:color w:val="000000"/>
          <w:spacing w:val="0"/>
          <w:w w:val="100"/>
          <w:position w:val="0"/>
          <w:sz w:val="32"/>
          <w:szCs w:val="32"/>
        </w:rPr>
        <w:t>（</w:t>
      </w:r>
      <w:bookmarkEnd w:id="0"/>
      <w:r>
        <w:rPr>
          <w:rFonts w:hint="eastAsia" w:ascii="楷体_GB2312" w:hAnsi="楷体_GB2312" w:eastAsia="楷体_GB2312" w:cs="楷体_GB2312"/>
          <w:b/>
          <w:bCs/>
          <w:color w:val="000000"/>
          <w:spacing w:val="0"/>
          <w:w w:val="100"/>
          <w:position w:val="0"/>
          <w:sz w:val="32"/>
          <w:szCs w:val="32"/>
        </w:rPr>
        <w:t>一）部门基本情况</w:t>
      </w:r>
    </w:p>
    <w:p>
      <w:pPr>
        <w:pStyle w:val="12"/>
        <w:keepNext w:val="0"/>
        <w:keepLines w:val="0"/>
        <w:pageBreakBefore w:val="0"/>
        <w:widowControl w:val="0"/>
        <w:numPr>
          <w:ilvl w:val="0"/>
          <w:numId w:val="0"/>
        </w:numPr>
        <w:shd w:val="clear" w:color="auto" w:fill="auto"/>
        <w:tabs>
          <w:tab w:val="left" w:pos="867"/>
        </w:tabs>
        <w:kinsoku/>
        <w:wordWrap/>
        <w:overflowPunct/>
        <w:topLinePunct w:val="0"/>
        <w:autoSpaceDE/>
        <w:autoSpaceDN/>
        <w:bidi w:val="0"/>
        <w:adjustRightInd/>
        <w:snapToGrid/>
        <w:spacing w:before="0" w:line="600" w:lineRule="exact"/>
        <w:ind w:leftChars="0" w:right="0" w:rightChars="0" w:firstLine="642" w:firstLineChars="2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b/>
          <w:bCs/>
          <w:i w:val="0"/>
          <w:caps w:val="0"/>
          <w:color w:val="000000" w:themeColor="text1"/>
          <w:spacing w:val="0"/>
          <w:sz w:val="32"/>
          <w:szCs w:val="32"/>
          <w:lang w:val="en-US" w:eastAsia="zh-CN"/>
          <w14:textFill>
            <w14:solidFill>
              <w14:schemeClr w14:val="tx1"/>
            </w14:solidFill>
          </w14:textFill>
        </w:rPr>
        <w:t>1.部门组织机构及人员情况</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firstLine="640" w:firstLineChars="200"/>
        <w:textAlignment w:val="auto"/>
        <w:rPr>
          <w:rFonts w:hint="default" w:ascii="仿宋_GB2312" w:hAnsi="仿宋_GB2312" w:eastAsia="仿宋_GB2312" w:cs="仿宋_GB2312"/>
          <w:i w:val="0"/>
          <w:caps w:val="0"/>
          <w:color w:val="000000" w:themeColor="text1"/>
          <w:spacing w:val="0"/>
          <w:sz w:val="32"/>
          <w:szCs w:val="32"/>
          <w:lang w:val="en-US" w:eastAsia="zh-CN"/>
          <w14:textFill>
            <w14:solidFill>
              <w14:schemeClr w14:val="tx1"/>
            </w14:solidFill>
          </w14:textFill>
        </w:rPr>
      </w:pPr>
      <w:r>
        <w:rPr>
          <w:rFonts w:hint="default" w:ascii="仿宋_GB2312" w:hAnsi="仿宋_GB2312" w:eastAsia="仿宋_GB2312" w:cs="仿宋_GB2312"/>
          <w:i w:val="0"/>
          <w:caps w:val="0"/>
          <w:color w:val="000000" w:themeColor="text1"/>
          <w:spacing w:val="0"/>
          <w:sz w:val="32"/>
          <w:szCs w:val="32"/>
          <w:lang w:val="en-US" w:eastAsia="zh-CN"/>
          <w14:textFill>
            <w14:solidFill>
              <w14:schemeClr w14:val="tx1"/>
            </w14:solidFill>
          </w14:textFill>
        </w:rPr>
        <w:t>本部门共有编制人数50人，实有人数42人。由机关本级和3个财政拨款事业单位(区政府研究中心、区社会化禁毒事务中心、区金融事务中心）构成。</w:t>
      </w:r>
      <w:bookmarkStart w:id="10" w:name="_GoBack"/>
      <w:bookmarkEnd w:id="10"/>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firstLine="642" w:firstLineChars="200"/>
        <w:textAlignment w:val="auto"/>
        <w:rPr>
          <w:rFonts w:hint="default" w:ascii="仿宋_GB2312" w:hAnsi="仿宋_GB2312" w:eastAsia="仿宋_GB2312" w:cs="仿宋_GB2312"/>
          <w:b/>
          <w:bCs/>
          <w:i w:val="0"/>
          <w:caps w:val="0"/>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b/>
          <w:bCs/>
          <w:i w:val="0"/>
          <w:caps w:val="0"/>
          <w:color w:val="000000" w:themeColor="text1"/>
          <w:spacing w:val="0"/>
          <w:sz w:val="32"/>
          <w:szCs w:val="32"/>
          <w:lang w:val="en-US" w:eastAsia="zh-CN"/>
          <w14:textFill>
            <w14:solidFill>
              <w14:schemeClr w14:val="tx1"/>
            </w14:solidFill>
          </w14:textFill>
        </w:rPr>
        <w:t>2.部门职能职责</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firstLine="640" w:firstLineChars="200"/>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lang w:val="en-US" w:eastAsia="zh-CN"/>
          <w14:textFill>
            <w14:solidFill>
              <w14:schemeClr w14:val="tx1"/>
            </w14:solidFill>
          </w14:textFill>
        </w:rPr>
        <w:t>（一）</w:t>
      </w: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研究区政府各部门和各街道、乡镇请示区政府的问题，提出审核意见，报区政府领导审批、决定。</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firstLine="640" w:firstLineChars="200"/>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lang w:eastAsia="zh-CN"/>
          <w14:textFill>
            <w14:solidFill>
              <w14:schemeClr w14:val="tx1"/>
            </w14:solidFill>
          </w14:textFill>
        </w:rPr>
        <w:t>（二）</w:t>
      </w: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负责区政府会议的组织和服务工作，协助实施会议决定事项。</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firstLine="640" w:firstLineChars="200"/>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lang w:eastAsia="zh-CN"/>
          <w14:textFill>
            <w14:solidFill>
              <w14:schemeClr w14:val="tx1"/>
            </w14:solidFill>
          </w14:textFill>
        </w:rPr>
        <w:t>（三）</w:t>
      </w: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根据区政府领导的指示或工作需要，对有关问题进行协调，提出处理意见，报区政府领导决定。</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firstLine="640" w:firstLineChars="200"/>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lang w:eastAsia="zh-CN"/>
          <w14:textFill>
            <w14:solidFill>
              <w14:schemeClr w14:val="tx1"/>
            </w14:solidFill>
          </w14:textFill>
        </w:rPr>
        <w:t>（四）</w:t>
      </w: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办理中央和省、市、区领导同志的批示，并督促落实。督促检查区政府各部门、直属单位和乡镇政府、街道办事处对区政府决定事项的执行落实情况，及时向区政府领导报告。</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firstLine="640" w:firstLineChars="200"/>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lang w:eastAsia="zh-CN"/>
          <w14:textFill>
            <w14:solidFill>
              <w14:schemeClr w14:val="tx1"/>
            </w14:solidFill>
          </w14:textFill>
        </w:rPr>
        <w:t>（五）</w:t>
      </w: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组织开展区人大代表建议、政协提案办理工作。</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firstLine="640" w:firstLineChars="200"/>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lang w:eastAsia="zh-CN"/>
          <w14:textFill>
            <w14:solidFill>
              <w14:schemeClr w14:val="tx1"/>
            </w14:solidFill>
          </w14:textFill>
        </w:rPr>
        <w:t>（六）</w:t>
      </w: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负责区政府值班工作。负责向国务院和省、市、区政府领导同志报告重要信息和情况。</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firstLine="640" w:firstLineChars="200"/>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lang w:eastAsia="zh-CN"/>
          <w14:textFill>
            <w14:solidFill>
              <w14:schemeClr w14:val="tx1"/>
            </w14:solidFill>
          </w14:textFill>
        </w:rPr>
        <w:t>（七）</w:t>
      </w: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负责区域内金融风险监控、防范工作。</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firstLine="640" w:firstLineChars="200"/>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lang w:eastAsia="zh-CN"/>
          <w14:textFill>
            <w14:solidFill>
              <w14:schemeClr w14:val="tx1"/>
            </w14:solidFill>
          </w14:textFill>
        </w:rPr>
        <w:t>（八）</w:t>
      </w: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负责区域内社会化禁毒相关工作。</w:t>
      </w:r>
    </w:p>
    <w:p>
      <w:pPr>
        <w:pStyle w:val="12"/>
        <w:keepNext w:val="0"/>
        <w:keepLines w:val="0"/>
        <w:pageBreakBefore w:val="0"/>
        <w:widowControl w:val="0"/>
        <w:numPr>
          <w:ilvl w:val="0"/>
          <w:numId w:val="0"/>
        </w:numPr>
        <w:shd w:val="clear" w:color="auto" w:fill="auto"/>
        <w:tabs>
          <w:tab w:val="left" w:pos="867"/>
        </w:tabs>
        <w:kinsoku/>
        <w:wordWrap/>
        <w:overflowPunct/>
        <w:topLinePunct w:val="0"/>
        <w:autoSpaceDE/>
        <w:autoSpaceDN/>
        <w:bidi w:val="0"/>
        <w:adjustRightInd/>
        <w:snapToGrid/>
        <w:spacing w:before="0" w:line="600" w:lineRule="exact"/>
        <w:ind w:leftChars="0" w:right="0" w:rightChars="0" w:firstLine="640" w:firstLineChars="200"/>
        <w:jc w:val="both"/>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lang w:eastAsia="zh-CN"/>
          <w14:textFill>
            <w14:solidFill>
              <w14:schemeClr w14:val="tx1"/>
            </w14:solidFill>
          </w14:textFill>
        </w:rPr>
        <w:t>（九）</w:t>
      </w: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完成区政府和区政府领导同志交办的其他事项。</w:t>
      </w:r>
    </w:p>
    <w:p>
      <w:pPr>
        <w:pStyle w:val="12"/>
        <w:keepNext w:val="0"/>
        <w:keepLines w:val="0"/>
        <w:pageBreakBefore w:val="0"/>
        <w:widowControl w:val="0"/>
        <w:numPr>
          <w:ilvl w:val="0"/>
          <w:numId w:val="0"/>
        </w:numPr>
        <w:shd w:val="clear" w:color="auto" w:fill="auto"/>
        <w:tabs>
          <w:tab w:val="left" w:pos="867"/>
        </w:tabs>
        <w:kinsoku/>
        <w:wordWrap/>
        <w:overflowPunct/>
        <w:topLinePunct w:val="0"/>
        <w:autoSpaceDE/>
        <w:autoSpaceDN/>
        <w:bidi w:val="0"/>
        <w:adjustRightInd/>
        <w:snapToGrid/>
        <w:spacing w:before="0" w:line="600" w:lineRule="exact"/>
        <w:ind w:leftChars="0" w:right="0" w:rightChars="0" w:firstLine="642" w:firstLineChars="200"/>
        <w:jc w:val="both"/>
        <w:textAlignment w:val="auto"/>
        <w:rPr>
          <w:rFonts w:hint="eastAsia" w:ascii="楷体_GB2312" w:hAnsi="楷体_GB2312" w:eastAsia="楷体_GB2312" w:cs="楷体_GB2312"/>
          <w:b/>
          <w:bCs/>
          <w:color w:val="000000"/>
          <w:spacing w:val="0"/>
          <w:w w:val="100"/>
          <w:position w:val="0"/>
          <w:sz w:val="32"/>
          <w:szCs w:val="32"/>
        </w:rPr>
      </w:pPr>
      <w:bookmarkStart w:id="1" w:name="bookmark93"/>
      <w:r>
        <w:rPr>
          <w:rFonts w:hint="eastAsia" w:ascii="楷体_GB2312" w:hAnsi="楷体_GB2312" w:eastAsia="楷体_GB2312" w:cs="楷体_GB2312"/>
          <w:b/>
          <w:bCs/>
          <w:color w:val="000000"/>
          <w:spacing w:val="0"/>
          <w:w w:val="100"/>
          <w:position w:val="0"/>
          <w:sz w:val="32"/>
          <w:szCs w:val="32"/>
        </w:rPr>
        <w:t>（</w:t>
      </w:r>
      <w:bookmarkEnd w:id="1"/>
      <w:r>
        <w:rPr>
          <w:rFonts w:hint="eastAsia" w:ascii="楷体_GB2312" w:hAnsi="楷体_GB2312" w:eastAsia="楷体_GB2312" w:cs="楷体_GB2312"/>
          <w:b/>
          <w:bCs/>
          <w:color w:val="000000"/>
          <w:spacing w:val="0"/>
          <w:w w:val="100"/>
          <w:position w:val="0"/>
          <w:sz w:val="32"/>
          <w:szCs w:val="32"/>
        </w:rPr>
        <w:t>二）部门整体支出规模、使用方向和主要内容、涉及范围等</w:t>
      </w:r>
    </w:p>
    <w:p>
      <w:pPr>
        <w:keepNext w:val="0"/>
        <w:keepLines w:val="0"/>
        <w:pageBreakBefore w:val="0"/>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color w:val="auto"/>
          <w:spacing w:val="0"/>
          <w:w w:val="100"/>
          <w:position w:val="0"/>
          <w:sz w:val="32"/>
          <w:szCs w:val="32"/>
        </w:rPr>
      </w:pPr>
      <w:r>
        <w:rPr>
          <w:rFonts w:hint="eastAsia" w:ascii="仿宋" w:hAnsi="仿宋" w:eastAsia="仿宋" w:cs="仿宋_GB2312"/>
          <w:color w:val="auto"/>
          <w:kern w:val="0"/>
          <w:sz w:val="32"/>
          <w:szCs w:val="32"/>
          <w:lang w:eastAsia="zh-CN"/>
        </w:rPr>
        <w:t>202</w:t>
      </w:r>
      <w:r>
        <w:rPr>
          <w:rFonts w:hint="eastAsia" w:ascii="仿宋" w:hAnsi="仿宋" w:eastAsia="仿宋" w:cs="仿宋_GB2312"/>
          <w:color w:val="auto"/>
          <w:kern w:val="0"/>
          <w:sz w:val="32"/>
          <w:szCs w:val="32"/>
          <w:lang w:val="en-US" w:eastAsia="zh-CN"/>
        </w:rPr>
        <w:t>2</w:t>
      </w:r>
      <w:r>
        <w:rPr>
          <w:rFonts w:ascii="仿宋" w:hAnsi="仿宋" w:eastAsia="仿宋" w:cs="仿宋_GB2312"/>
          <w:color w:val="auto"/>
          <w:kern w:val="0"/>
          <w:sz w:val="32"/>
          <w:szCs w:val="32"/>
        </w:rPr>
        <w:t>度收入总计</w:t>
      </w:r>
      <w:r>
        <w:rPr>
          <w:rFonts w:hint="eastAsia" w:ascii="仿宋" w:hAnsi="仿宋" w:eastAsia="仿宋" w:cs="仿宋_GB2312"/>
          <w:color w:val="auto"/>
          <w:kern w:val="0"/>
          <w:sz w:val="32"/>
          <w:szCs w:val="32"/>
          <w:lang w:val="en-US" w:eastAsia="zh-CN"/>
        </w:rPr>
        <w:t>1042.19</w:t>
      </w:r>
      <w:r>
        <w:rPr>
          <w:rFonts w:ascii="仿宋" w:hAnsi="仿宋" w:eastAsia="仿宋" w:cs="仿宋_GB2312"/>
          <w:color w:val="auto"/>
          <w:kern w:val="0"/>
          <w:sz w:val="32"/>
          <w:szCs w:val="32"/>
        </w:rPr>
        <w:t>万元，其中财政拨款收入</w:t>
      </w:r>
      <w:r>
        <w:rPr>
          <w:rFonts w:hint="eastAsia" w:ascii="仿宋" w:hAnsi="仿宋" w:eastAsia="仿宋" w:cs="仿宋_GB2312"/>
          <w:color w:val="auto"/>
          <w:kern w:val="0"/>
          <w:sz w:val="32"/>
          <w:szCs w:val="32"/>
          <w:lang w:val="en-US" w:eastAsia="zh-CN"/>
        </w:rPr>
        <w:t>1042.19</w:t>
      </w:r>
      <w:r>
        <w:rPr>
          <w:rFonts w:ascii="仿宋" w:hAnsi="仿宋" w:eastAsia="仿宋" w:cs="仿宋_GB2312"/>
          <w:color w:val="auto"/>
          <w:kern w:val="0"/>
          <w:sz w:val="32"/>
          <w:szCs w:val="32"/>
        </w:rPr>
        <w:t>万元，占本年收入</w:t>
      </w:r>
      <w:r>
        <w:rPr>
          <w:rFonts w:hint="eastAsia" w:ascii="仿宋" w:hAnsi="仿宋" w:eastAsia="仿宋" w:cs="仿宋_GB2312"/>
          <w:color w:val="auto"/>
          <w:kern w:val="0"/>
          <w:sz w:val="32"/>
          <w:szCs w:val="32"/>
        </w:rPr>
        <w:t>100</w:t>
      </w:r>
      <w:r>
        <w:rPr>
          <w:rFonts w:ascii="仿宋" w:hAnsi="仿宋" w:eastAsia="仿宋" w:cs="仿宋_GB2312"/>
          <w:color w:val="auto"/>
          <w:kern w:val="0"/>
          <w:sz w:val="32"/>
          <w:szCs w:val="32"/>
        </w:rPr>
        <w:t>%；其他收入</w:t>
      </w:r>
      <w:r>
        <w:rPr>
          <w:rFonts w:hint="eastAsia" w:ascii="仿宋" w:hAnsi="仿宋" w:eastAsia="仿宋" w:cs="仿宋_GB2312"/>
          <w:color w:val="auto"/>
          <w:kern w:val="0"/>
          <w:sz w:val="32"/>
          <w:szCs w:val="32"/>
        </w:rPr>
        <w:t>0</w:t>
      </w:r>
      <w:r>
        <w:rPr>
          <w:rFonts w:ascii="仿宋" w:hAnsi="仿宋" w:eastAsia="仿宋" w:cs="仿宋_GB2312"/>
          <w:color w:val="auto"/>
          <w:kern w:val="0"/>
          <w:sz w:val="32"/>
          <w:szCs w:val="32"/>
        </w:rPr>
        <w:t>万元，占本年收入</w:t>
      </w:r>
      <w:r>
        <w:rPr>
          <w:rFonts w:hint="eastAsia" w:ascii="仿宋" w:hAnsi="仿宋" w:eastAsia="仿宋" w:cs="仿宋_GB2312"/>
          <w:color w:val="auto"/>
          <w:kern w:val="0"/>
          <w:sz w:val="32"/>
          <w:szCs w:val="32"/>
        </w:rPr>
        <w:t>0</w:t>
      </w:r>
      <w:r>
        <w:rPr>
          <w:rFonts w:ascii="仿宋" w:hAnsi="仿宋" w:eastAsia="仿宋" w:cs="仿宋_GB2312"/>
          <w:color w:val="auto"/>
          <w:kern w:val="0"/>
          <w:sz w:val="32"/>
          <w:szCs w:val="32"/>
        </w:rPr>
        <w:t>%。本年支出总计</w:t>
      </w:r>
      <w:r>
        <w:rPr>
          <w:rFonts w:hint="eastAsia" w:ascii="仿宋" w:hAnsi="仿宋" w:eastAsia="仿宋" w:cs="仿宋_GB2312"/>
          <w:color w:val="auto"/>
          <w:kern w:val="0"/>
          <w:sz w:val="32"/>
          <w:szCs w:val="32"/>
          <w:lang w:val="en-US" w:eastAsia="zh-CN"/>
        </w:rPr>
        <w:t>1042.19</w:t>
      </w:r>
      <w:r>
        <w:rPr>
          <w:rFonts w:ascii="仿宋" w:hAnsi="仿宋" w:eastAsia="仿宋" w:cs="仿宋_GB2312"/>
          <w:color w:val="auto"/>
          <w:kern w:val="0"/>
          <w:sz w:val="32"/>
          <w:szCs w:val="32"/>
        </w:rPr>
        <w:t>万元，其中：</w:t>
      </w:r>
      <w:r>
        <w:rPr>
          <w:rFonts w:hint="eastAsia" w:ascii="仿宋" w:hAnsi="仿宋" w:eastAsia="仿宋" w:cs="仿宋_GB2312"/>
          <w:color w:val="auto"/>
          <w:kern w:val="0"/>
          <w:sz w:val="32"/>
          <w:szCs w:val="32"/>
        </w:rPr>
        <w:t>财政拨款</w:t>
      </w:r>
      <w:r>
        <w:rPr>
          <w:rFonts w:ascii="仿宋" w:hAnsi="仿宋" w:eastAsia="仿宋" w:cs="仿宋_GB2312"/>
          <w:color w:val="auto"/>
          <w:kern w:val="0"/>
          <w:sz w:val="32"/>
          <w:szCs w:val="32"/>
        </w:rPr>
        <w:t>支出</w:t>
      </w:r>
      <w:r>
        <w:rPr>
          <w:rFonts w:hint="eastAsia" w:ascii="仿宋" w:hAnsi="仿宋" w:eastAsia="仿宋" w:cs="仿宋_GB2312"/>
          <w:color w:val="auto"/>
          <w:kern w:val="0"/>
          <w:sz w:val="32"/>
          <w:szCs w:val="32"/>
          <w:lang w:val="en-US" w:eastAsia="zh-CN"/>
        </w:rPr>
        <w:t>1042.19</w:t>
      </w:r>
      <w:r>
        <w:rPr>
          <w:rFonts w:ascii="仿宋" w:hAnsi="仿宋" w:eastAsia="仿宋" w:cs="仿宋_GB2312"/>
          <w:color w:val="auto"/>
          <w:kern w:val="0"/>
          <w:sz w:val="32"/>
          <w:szCs w:val="32"/>
        </w:rPr>
        <w:t>万元，占本年支出的</w:t>
      </w:r>
      <w:r>
        <w:rPr>
          <w:rFonts w:hint="eastAsia" w:ascii="仿宋" w:hAnsi="仿宋" w:eastAsia="仿宋" w:cs="仿宋_GB2312"/>
          <w:color w:val="auto"/>
          <w:kern w:val="0"/>
          <w:sz w:val="32"/>
          <w:szCs w:val="32"/>
        </w:rPr>
        <w:t>100</w:t>
      </w:r>
      <w:r>
        <w:rPr>
          <w:rFonts w:ascii="仿宋" w:hAnsi="仿宋" w:eastAsia="仿宋" w:cs="仿宋_GB2312"/>
          <w:color w:val="auto"/>
          <w:kern w:val="0"/>
          <w:sz w:val="32"/>
          <w:szCs w:val="32"/>
        </w:rPr>
        <w:t>%；</w:t>
      </w:r>
      <w:r>
        <w:rPr>
          <w:rFonts w:hint="eastAsia" w:ascii="仿宋" w:hAnsi="仿宋" w:eastAsia="仿宋" w:cs="仿宋_GB2312"/>
          <w:color w:val="auto"/>
          <w:kern w:val="0"/>
          <w:sz w:val="32"/>
          <w:szCs w:val="32"/>
        </w:rPr>
        <w:t>其他资金</w:t>
      </w:r>
      <w:r>
        <w:rPr>
          <w:rFonts w:ascii="仿宋" w:hAnsi="仿宋" w:eastAsia="仿宋" w:cs="仿宋_GB2312"/>
          <w:color w:val="auto"/>
          <w:kern w:val="0"/>
          <w:sz w:val="32"/>
          <w:szCs w:val="32"/>
        </w:rPr>
        <w:t>支出</w:t>
      </w:r>
      <w:r>
        <w:rPr>
          <w:rFonts w:hint="eastAsia" w:ascii="仿宋" w:hAnsi="仿宋" w:eastAsia="仿宋" w:cs="仿宋_GB2312"/>
          <w:color w:val="auto"/>
          <w:kern w:val="0"/>
          <w:sz w:val="32"/>
          <w:szCs w:val="32"/>
        </w:rPr>
        <w:t>0</w:t>
      </w:r>
      <w:r>
        <w:rPr>
          <w:rFonts w:ascii="仿宋" w:hAnsi="仿宋" w:eastAsia="仿宋" w:cs="仿宋_GB2312"/>
          <w:color w:val="auto"/>
          <w:kern w:val="0"/>
          <w:sz w:val="32"/>
          <w:szCs w:val="32"/>
        </w:rPr>
        <w:t>万元，占本年支出的</w:t>
      </w:r>
      <w:r>
        <w:rPr>
          <w:rFonts w:hint="eastAsia" w:ascii="仿宋" w:hAnsi="仿宋" w:eastAsia="仿宋" w:cs="仿宋_GB2312"/>
          <w:color w:val="auto"/>
          <w:kern w:val="0"/>
          <w:sz w:val="32"/>
          <w:szCs w:val="32"/>
        </w:rPr>
        <w:t>0</w:t>
      </w:r>
      <w:r>
        <w:rPr>
          <w:rFonts w:ascii="仿宋" w:hAnsi="仿宋" w:eastAsia="仿宋" w:cs="仿宋_GB2312"/>
          <w:color w:val="auto"/>
          <w:kern w:val="0"/>
          <w:sz w:val="32"/>
          <w:szCs w:val="32"/>
        </w:rPr>
        <w:t>%</w:t>
      </w:r>
      <w:r>
        <w:rPr>
          <w:rFonts w:hint="eastAsia" w:ascii="仿宋" w:hAnsi="仿宋" w:eastAsia="仿宋" w:cs="仿宋_GB2312"/>
          <w:color w:val="auto"/>
          <w:kern w:val="0"/>
          <w:sz w:val="32"/>
          <w:szCs w:val="32"/>
        </w:rPr>
        <w:t>。</w:t>
      </w:r>
    </w:p>
    <w:p>
      <w:pPr>
        <w:pStyle w:val="12"/>
        <w:keepNext w:val="0"/>
        <w:keepLines w:val="0"/>
        <w:pageBreakBefore w:val="0"/>
        <w:widowControl w:val="0"/>
        <w:numPr>
          <w:ilvl w:val="0"/>
          <w:numId w:val="0"/>
        </w:numPr>
        <w:shd w:val="clear" w:color="auto" w:fill="auto"/>
        <w:tabs>
          <w:tab w:val="left" w:pos="867"/>
        </w:tabs>
        <w:kinsoku/>
        <w:wordWrap/>
        <w:overflowPunct/>
        <w:topLinePunct w:val="0"/>
        <w:autoSpaceDE/>
        <w:autoSpaceDN/>
        <w:bidi w:val="0"/>
        <w:adjustRightInd/>
        <w:snapToGrid/>
        <w:spacing w:before="0" w:line="600" w:lineRule="exact"/>
        <w:ind w:leftChars="0" w:right="0" w:rightChars="0" w:firstLine="640" w:firstLineChars="200"/>
        <w:jc w:val="both"/>
        <w:textAlignment w:val="auto"/>
        <w:rPr>
          <w:rFonts w:hint="eastAsia" w:ascii="黑体" w:hAnsi="黑体" w:eastAsia="黑体" w:cs="黑体"/>
          <w:b w:val="0"/>
          <w:bCs w:val="0"/>
          <w:color w:val="000000"/>
          <w:spacing w:val="0"/>
          <w:w w:val="100"/>
          <w:position w:val="0"/>
          <w:sz w:val="32"/>
          <w:szCs w:val="32"/>
          <w:lang w:eastAsia="zh-CN"/>
        </w:rPr>
      </w:pPr>
      <w:bookmarkStart w:id="2" w:name="bookmark94"/>
      <w:r>
        <w:rPr>
          <w:rFonts w:hint="eastAsia" w:ascii="黑体" w:hAnsi="黑体" w:eastAsia="黑体" w:cs="黑体"/>
          <w:b w:val="0"/>
          <w:bCs w:val="0"/>
          <w:color w:val="000000"/>
          <w:spacing w:val="0"/>
          <w:w w:val="100"/>
          <w:position w:val="0"/>
          <w:sz w:val="32"/>
          <w:szCs w:val="32"/>
          <w:lang w:eastAsia="zh-CN"/>
        </w:rPr>
        <w:t>二</w:t>
      </w:r>
      <w:bookmarkEnd w:id="2"/>
      <w:r>
        <w:rPr>
          <w:rFonts w:hint="eastAsia" w:ascii="黑体" w:hAnsi="黑体" w:eastAsia="黑体" w:cs="黑体"/>
          <w:b w:val="0"/>
          <w:bCs w:val="0"/>
          <w:color w:val="000000"/>
          <w:spacing w:val="0"/>
          <w:w w:val="100"/>
          <w:position w:val="0"/>
          <w:sz w:val="32"/>
          <w:szCs w:val="32"/>
          <w:lang w:eastAsia="zh-CN"/>
        </w:rPr>
        <w:t>、部门整体支出管理及使用情况</w:t>
      </w:r>
    </w:p>
    <w:p>
      <w:pPr>
        <w:pStyle w:val="12"/>
        <w:keepNext w:val="0"/>
        <w:keepLines w:val="0"/>
        <w:pageBreakBefore w:val="0"/>
        <w:widowControl w:val="0"/>
        <w:numPr>
          <w:ilvl w:val="0"/>
          <w:numId w:val="0"/>
        </w:numPr>
        <w:shd w:val="clear" w:color="auto" w:fill="auto"/>
        <w:tabs>
          <w:tab w:val="left" w:pos="867"/>
        </w:tabs>
        <w:kinsoku/>
        <w:wordWrap/>
        <w:overflowPunct/>
        <w:topLinePunct w:val="0"/>
        <w:autoSpaceDE/>
        <w:autoSpaceDN/>
        <w:bidi w:val="0"/>
        <w:adjustRightInd/>
        <w:snapToGrid/>
        <w:spacing w:before="0" w:line="600" w:lineRule="exact"/>
        <w:ind w:leftChars="0" w:right="0" w:rightChars="0" w:firstLine="642" w:firstLineChars="200"/>
        <w:jc w:val="both"/>
        <w:textAlignment w:val="auto"/>
        <w:rPr>
          <w:rFonts w:hint="eastAsia" w:ascii="楷体_GB2312" w:hAnsi="楷体_GB2312" w:eastAsia="楷体_GB2312" w:cs="楷体_GB2312"/>
          <w:b/>
          <w:bCs/>
          <w:color w:val="000000"/>
          <w:spacing w:val="0"/>
          <w:w w:val="100"/>
          <w:position w:val="0"/>
          <w:sz w:val="32"/>
          <w:szCs w:val="32"/>
        </w:rPr>
      </w:pPr>
      <w:bookmarkStart w:id="3" w:name="bookmark95"/>
      <w:r>
        <w:rPr>
          <w:rFonts w:hint="eastAsia" w:ascii="楷体_GB2312" w:hAnsi="楷体_GB2312" w:eastAsia="楷体_GB2312" w:cs="楷体_GB2312"/>
          <w:b/>
          <w:bCs/>
          <w:color w:val="000000"/>
          <w:spacing w:val="0"/>
          <w:w w:val="100"/>
          <w:position w:val="0"/>
          <w:sz w:val="32"/>
          <w:szCs w:val="32"/>
        </w:rPr>
        <w:t>（</w:t>
      </w:r>
      <w:bookmarkEnd w:id="3"/>
      <w:r>
        <w:rPr>
          <w:rFonts w:hint="eastAsia" w:ascii="楷体_GB2312" w:hAnsi="楷体_GB2312" w:eastAsia="楷体_GB2312" w:cs="楷体_GB2312"/>
          <w:b/>
          <w:bCs/>
          <w:color w:val="000000"/>
          <w:spacing w:val="0"/>
          <w:w w:val="100"/>
          <w:position w:val="0"/>
          <w:sz w:val="32"/>
          <w:szCs w:val="32"/>
        </w:rPr>
        <w:t>一）基本支出</w:t>
      </w:r>
    </w:p>
    <w:p>
      <w:pPr>
        <w:pStyle w:val="12"/>
        <w:keepNext w:val="0"/>
        <w:keepLines w:val="0"/>
        <w:pageBreakBefore w:val="0"/>
        <w:widowControl w:val="0"/>
        <w:shd w:val="clear" w:color="auto" w:fill="auto"/>
        <w:tabs>
          <w:tab w:val="left" w:pos="1111"/>
        </w:tabs>
        <w:kinsoku/>
        <w:wordWrap/>
        <w:overflowPunct/>
        <w:topLinePunct w:val="0"/>
        <w:autoSpaceDE/>
        <w:autoSpaceDN/>
        <w:bidi w:val="0"/>
        <w:adjustRightInd/>
        <w:snapToGrid/>
        <w:spacing w:before="0" w:line="600" w:lineRule="exact"/>
        <w:ind w:left="0" w:leftChars="0" w:right="0" w:firstLine="640" w:firstLineChars="200"/>
        <w:jc w:val="both"/>
        <w:textAlignment w:val="auto"/>
        <w:rPr>
          <w:rFonts w:hint="eastAsia" w:ascii="仿宋_GB2312" w:hAnsi="仿宋_GB2312" w:eastAsia="仿宋_GB2312" w:cs="仿宋_GB2312"/>
          <w:color w:val="000000"/>
          <w:spacing w:val="0"/>
          <w:w w:val="100"/>
          <w:position w:val="0"/>
          <w:sz w:val="32"/>
          <w:szCs w:val="32"/>
        </w:rPr>
      </w:pPr>
      <w:bookmarkStart w:id="4" w:name="bookmark96"/>
      <w:r>
        <w:rPr>
          <w:rFonts w:hint="eastAsia" w:ascii="仿宋_GB2312" w:hAnsi="仿宋_GB2312" w:eastAsia="仿宋_GB2312" w:cs="仿宋_GB2312"/>
          <w:color w:val="000000"/>
          <w:spacing w:val="0"/>
          <w:w w:val="100"/>
          <w:position w:val="0"/>
          <w:sz w:val="32"/>
          <w:szCs w:val="32"/>
        </w:rPr>
        <w:t>基本支出是保障我办机构正常运转、完成日常工作任务而发生的各项支出，包括用于在职和离退休人员基本工资、各项保险缴费、津贴补贴等人员经费以及为保障基本运行而发生的水电费、物业管理费、办公费、印刷费、邮电费、维修费、办公设备购置等日常公用经费。202</w:t>
      </w:r>
      <w:r>
        <w:rPr>
          <w:rFonts w:hint="eastAsia" w:ascii="仿宋_GB2312" w:hAnsi="仿宋_GB2312" w:eastAsia="仿宋_GB2312" w:cs="仿宋_GB2312"/>
          <w:color w:val="000000"/>
          <w:spacing w:val="0"/>
          <w:w w:val="100"/>
          <w:position w:val="0"/>
          <w:sz w:val="32"/>
          <w:szCs w:val="32"/>
          <w:lang w:val="en-US" w:eastAsia="zh-CN"/>
        </w:rPr>
        <w:t>2</w:t>
      </w:r>
      <w:r>
        <w:rPr>
          <w:rFonts w:hint="eastAsia" w:ascii="仿宋_GB2312" w:hAnsi="仿宋_GB2312" w:eastAsia="仿宋_GB2312" w:cs="仿宋_GB2312"/>
          <w:color w:val="000000"/>
          <w:spacing w:val="0"/>
          <w:w w:val="100"/>
          <w:position w:val="0"/>
          <w:sz w:val="32"/>
          <w:szCs w:val="32"/>
        </w:rPr>
        <w:t>年基本支出</w:t>
      </w:r>
      <w:r>
        <w:rPr>
          <w:rFonts w:hint="eastAsia" w:ascii="仿宋_GB2312" w:hAnsi="仿宋_GB2312" w:eastAsia="仿宋_GB2312" w:cs="仿宋_GB2312"/>
          <w:color w:val="000000"/>
          <w:spacing w:val="0"/>
          <w:w w:val="100"/>
          <w:position w:val="0"/>
          <w:sz w:val="32"/>
          <w:szCs w:val="32"/>
          <w:lang w:val="en-US" w:eastAsia="zh-CN"/>
        </w:rPr>
        <w:t>855.38</w:t>
      </w:r>
      <w:r>
        <w:rPr>
          <w:rFonts w:hint="eastAsia" w:ascii="仿宋_GB2312" w:hAnsi="仿宋_GB2312" w:eastAsia="仿宋_GB2312" w:cs="仿宋_GB2312"/>
          <w:color w:val="000000"/>
          <w:spacing w:val="0"/>
          <w:w w:val="100"/>
          <w:position w:val="0"/>
          <w:sz w:val="32"/>
          <w:szCs w:val="32"/>
        </w:rPr>
        <w:t>万元，较上年</w:t>
      </w:r>
      <w:r>
        <w:rPr>
          <w:rFonts w:hint="eastAsia" w:ascii="仿宋_GB2312" w:hAnsi="仿宋_GB2312" w:eastAsia="仿宋_GB2312" w:cs="仿宋_GB2312"/>
          <w:color w:val="000000"/>
          <w:spacing w:val="0"/>
          <w:w w:val="100"/>
          <w:position w:val="0"/>
          <w:sz w:val="32"/>
          <w:szCs w:val="32"/>
          <w:lang w:eastAsia="zh-CN"/>
        </w:rPr>
        <w:t>增加</w:t>
      </w:r>
      <w:r>
        <w:rPr>
          <w:rFonts w:hint="eastAsia" w:ascii="仿宋_GB2312" w:hAnsi="仿宋_GB2312" w:eastAsia="仿宋_GB2312" w:cs="仿宋_GB2312"/>
          <w:color w:val="000000"/>
          <w:spacing w:val="0"/>
          <w:w w:val="100"/>
          <w:position w:val="0"/>
          <w:sz w:val="32"/>
          <w:szCs w:val="32"/>
          <w:lang w:val="en-US" w:eastAsia="zh-CN"/>
        </w:rPr>
        <w:t>7.84</w:t>
      </w:r>
      <w:r>
        <w:rPr>
          <w:rFonts w:hint="eastAsia" w:ascii="仿宋_GB2312" w:hAnsi="仿宋_GB2312" w:eastAsia="仿宋_GB2312" w:cs="仿宋_GB2312"/>
          <w:color w:val="000000"/>
          <w:spacing w:val="0"/>
          <w:w w:val="100"/>
          <w:position w:val="0"/>
          <w:sz w:val="32"/>
          <w:szCs w:val="32"/>
        </w:rPr>
        <w:t>万元，主要是因为</w:t>
      </w:r>
      <w:r>
        <w:rPr>
          <w:rFonts w:hint="eastAsia" w:ascii="仿宋_GB2312" w:hAnsi="仿宋_GB2312" w:eastAsia="仿宋_GB2312" w:cs="仿宋_GB2312"/>
          <w:color w:val="000000"/>
          <w:spacing w:val="0"/>
          <w:w w:val="100"/>
          <w:position w:val="0"/>
          <w:sz w:val="32"/>
          <w:szCs w:val="32"/>
          <w:lang w:eastAsia="zh-CN"/>
        </w:rPr>
        <w:t>人员增加</w:t>
      </w:r>
      <w:r>
        <w:rPr>
          <w:rFonts w:hint="eastAsia" w:ascii="仿宋_GB2312" w:hAnsi="仿宋_GB2312" w:eastAsia="仿宋_GB2312" w:cs="仿宋_GB2312"/>
          <w:color w:val="000000"/>
          <w:spacing w:val="0"/>
          <w:w w:val="100"/>
          <w:position w:val="0"/>
          <w:sz w:val="32"/>
          <w:szCs w:val="32"/>
        </w:rPr>
        <w:t>。其中：人员经费</w:t>
      </w:r>
      <w:r>
        <w:rPr>
          <w:rFonts w:hint="eastAsia" w:ascii="仿宋_GB2312" w:hAnsi="仿宋_GB2312" w:eastAsia="仿宋_GB2312" w:cs="仿宋_GB2312"/>
          <w:color w:val="000000"/>
          <w:spacing w:val="0"/>
          <w:w w:val="100"/>
          <w:position w:val="0"/>
          <w:sz w:val="32"/>
          <w:szCs w:val="32"/>
          <w:lang w:val="en-US" w:eastAsia="zh-CN"/>
        </w:rPr>
        <w:t>796.79</w:t>
      </w:r>
      <w:r>
        <w:rPr>
          <w:rFonts w:hint="eastAsia" w:ascii="仿宋_GB2312" w:hAnsi="仿宋_GB2312" w:eastAsia="仿宋_GB2312" w:cs="仿宋_GB2312"/>
          <w:color w:val="000000"/>
          <w:spacing w:val="0"/>
          <w:w w:val="100"/>
          <w:position w:val="0"/>
          <w:sz w:val="32"/>
          <w:szCs w:val="32"/>
        </w:rPr>
        <w:t>万元，占基本支出的</w:t>
      </w:r>
      <w:r>
        <w:rPr>
          <w:rFonts w:hint="eastAsia" w:ascii="仿宋_GB2312" w:hAnsi="仿宋_GB2312" w:eastAsia="仿宋_GB2312" w:cs="仿宋_GB2312"/>
          <w:color w:val="000000"/>
          <w:spacing w:val="0"/>
          <w:w w:val="100"/>
          <w:position w:val="0"/>
          <w:sz w:val="32"/>
          <w:szCs w:val="32"/>
          <w:lang w:val="en-US" w:eastAsia="zh-CN"/>
        </w:rPr>
        <w:t>93.16</w:t>
      </w:r>
      <w:r>
        <w:rPr>
          <w:rFonts w:hint="eastAsia" w:ascii="仿宋_GB2312" w:hAnsi="仿宋_GB2312" w:eastAsia="仿宋_GB2312" w:cs="仿宋_GB2312"/>
          <w:color w:val="000000"/>
          <w:spacing w:val="0"/>
          <w:w w:val="100"/>
          <w:position w:val="0"/>
          <w:sz w:val="32"/>
          <w:szCs w:val="32"/>
        </w:rPr>
        <w:t>%。日常公用经费</w:t>
      </w:r>
      <w:r>
        <w:rPr>
          <w:rFonts w:hint="eastAsia" w:ascii="仿宋_GB2312" w:hAnsi="仿宋_GB2312" w:eastAsia="仿宋_GB2312" w:cs="仿宋_GB2312"/>
          <w:color w:val="000000"/>
          <w:spacing w:val="0"/>
          <w:w w:val="100"/>
          <w:position w:val="0"/>
          <w:sz w:val="32"/>
          <w:szCs w:val="32"/>
          <w:lang w:val="en-US" w:eastAsia="zh-CN"/>
        </w:rPr>
        <w:t>58.59</w:t>
      </w:r>
      <w:r>
        <w:rPr>
          <w:rFonts w:hint="eastAsia" w:ascii="仿宋_GB2312" w:hAnsi="仿宋_GB2312" w:eastAsia="仿宋_GB2312" w:cs="仿宋_GB2312"/>
          <w:color w:val="000000"/>
          <w:spacing w:val="0"/>
          <w:w w:val="100"/>
          <w:position w:val="0"/>
          <w:sz w:val="32"/>
          <w:szCs w:val="32"/>
        </w:rPr>
        <w:t>万元，占基本支出的</w:t>
      </w:r>
      <w:r>
        <w:rPr>
          <w:rFonts w:hint="eastAsia" w:ascii="仿宋_GB2312" w:hAnsi="仿宋_GB2312" w:eastAsia="仿宋_GB2312" w:cs="仿宋_GB2312"/>
          <w:color w:val="000000"/>
          <w:spacing w:val="0"/>
          <w:w w:val="100"/>
          <w:position w:val="0"/>
          <w:sz w:val="32"/>
          <w:szCs w:val="32"/>
          <w:lang w:val="en-US" w:eastAsia="zh-CN"/>
        </w:rPr>
        <w:t>6.84</w:t>
      </w:r>
      <w:r>
        <w:rPr>
          <w:rFonts w:hint="eastAsia" w:ascii="仿宋_GB2312" w:hAnsi="仿宋_GB2312" w:eastAsia="仿宋_GB2312" w:cs="仿宋_GB2312"/>
          <w:color w:val="000000"/>
          <w:spacing w:val="0"/>
          <w:w w:val="100"/>
          <w:position w:val="0"/>
          <w:sz w:val="32"/>
          <w:szCs w:val="32"/>
        </w:rPr>
        <w:t>%。</w:t>
      </w:r>
    </w:p>
    <w:p>
      <w:pPr>
        <w:pStyle w:val="12"/>
        <w:keepNext w:val="0"/>
        <w:keepLines w:val="0"/>
        <w:pageBreakBefore w:val="0"/>
        <w:widowControl w:val="0"/>
        <w:numPr>
          <w:ilvl w:val="0"/>
          <w:numId w:val="0"/>
        </w:numPr>
        <w:shd w:val="clear" w:color="auto" w:fill="auto"/>
        <w:tabs>
          <w:tab w:val="left" w:pos="867"/>
        </w:tabs>
        <w:kinsoku/>
        <w:wordWrap/>
        <w:overflowPunct/>
        <w:topLinePunct w:val="0"/>
        <w:autoSpaceDE/>
        <w:autoSpaceDN/>
        <w:bidi w:val="0"/>
        <w:adjustRightInd/>
        <w:snapToGrid/>
        <w:spacing w:before="0" w:line="600" w:lineRule="exact"/>
        <w:ind w:leftChars="0" w:right="0" w:rightChars="0" w:firstLine="642" w:firstLineChars="200"/>
        <w:jc w:val="both"/>
        <w:textAlignment w:val="auto"/>
        <w:rPr>
          <w:rFonts w:hint="eastAsia" w:ascii="楷体_GB2312" w:hAnsi="楷体_GB2312" w:eastAsia="楷体_GB2312" w:cs="楷体_GB2312"/>
          <w:b/>
          <w:bCs/>
          <w:color w:val="000000"/>
          <w:spacing w:val="0"/>
          <w:w w:val="100"/>
          <w:position w:val="0"/>
          <w:sz w:val="32"/>
          <w:szCs w:val="32"/>
        </w:rPr>
      </w:pPr>
      <w:r>
        <w:rPr>
          <w:rFonts w:hint="eastAsia" w:ascii="楷体_GB2312" w:hAnsi="楷体_GB2312" w:eastAsia="楷体_GB2312" w:cs="楷体_GB2312"/>
          <w:b/>
          <w:bCs/>
          <w:color w:val="000000"/>
          <w:spacing w:val="0"/>
          <w:w w:val="100"/>
          <w:position w:val="0"/>
          <w:sz w:val="32"/>
          <w:szCs w:val="32"/>
        </w:rPr>
        <w:t>（</w:t>
      </w:r>
      <w:bookmarkEnd w:id="4"/>
      <w:r>
        <w:rPr>
          <w:rFonts w:hint="eastAsia" w:ascii="楷体_GB2312" w:hAnsi="楷体_GB2312" w:eastAsia="楷体_GB2312" w:cs="楷体_GB2312"/>
          <w:b/>
          <w:bCs/>
          <w:color w:val="000000"/>
          <w:spacing w:val="0"/>
          <w:w w:val="100"/>
          <w:position w:val="0"/>
          <w:sz w:val="32"/>
          <w:szCs w:val="32"/>
        </w:rPr>
        <w:t>二）项目支出</w:t>
      </w:r>
    </w:p>
    <w:p>
      <w:pPr>
        <w:pStyle w:val="12"/>
        <w:keepNext w:val="0"/>
        <w:keepLines w:val="0"/>
        <w:pageBreakBefore w:val="0"/>
        <w:widowControl w:val="0"/>
        <w:shd w:val="clear" w:color="auto" w:fill="auto"/>
        <w:tabs>
          <w:tab w:val="left" w:pos="767"/>
        </w:tabs>
        <w:kinsoku/>
        <w:wordWrap/>
        <w:overflowPunct/>
        <w:topLinePunct w:val="0"/>
        <w:autoSpaceDE/>
        <w:autoSpaceDN/>
        <w:bidi w:val="0"/>
        <w:adjustRightInd/>
        <w:snapToGrid/>
        <w:spacing w:before="0" w:line="600" w:lineRule="exact"/>
        <w:ind w:left="0" w:leftChars="0" w:right="0" w:firstLine="642" w:firstLineChars="200"/>
        <w:jc w:val="both"/>
        <w:textAlignment w:val="auto"/>
      </w:pPr>
      <w:bookmarkStart w:id="5" w:name="bookmark97"/>
      <w:bookmarkStart w:id="6" w:name="bookmark100"/>
      <w:r>
        <w:rPr>
          <w:rFonts w:hint="eastAsia" w:ascii="仿宋_GB2312" w:hAnsi="仿宋_GB2312" w:eastAsia="仿宋_GB2312" w:cs="仿宋_GB2312"/>
          <w:b/>
          <w:bCs/>
          <w:color w:val="000000"/>
          <w:spacing w:val="0"/>
          <w:w w:val="100"/>
          <w:position w:val="0"/>
          <w:sz w:val="32"/>
          <w:szCs w:val="32"/>
        </w:rPr>
        <w:t>1</w:t>
      </w:r>
      <w:bookmarkEnd w:id="5"/>
      <w:r>
        <w:rPr>
          <w:rFonts w:hint="eastAsia" w:ascii="仿宋_GB2312" w:hAnsi="仿宋_GB2312" w:eastAsia="仿宋_GB2312" w:cs="仿宋_GB2312"/>
          <w:b/>
          <w:bCs/>
          <w:color w:val="000000"/>
          <w:spacing w:val="0"/>
          <w:w w:val="100"/>
          <w:position w:val="0"/>
          <w:sz w:val="32"/>
          <w:szCs w:val="32"/>
        </w:rPr>
        <w:t>、项目资金安排落实、总投入等情况分析。</w:t>
      </w:r>
      <w:r>
        <w:rPr>
          <w:rFonts w:hint="eastAsia" w:ascii="仿宋_GB2312" w:hAnsi="仿宋_GB2312" w:eastAsia="仿宋_GB2312" w:cs="仿宋_GB2312"/>
          <w:color w:val="000000"/>
          <w:spacing w:val="0"/>
          <w:w w:val="100"/>
          <w:position w:val="0"/>
          <w:sz w:val="32"/>
          <w:szCs w:val="32"/>
        </w:rPr>
        <w:t>202</w:t>
      </w:r>
      <w:r>
        <w:rPr>
          <w:rFonts w:hint="eastAsia" w:ascii="仿宋_GB2312" w:hAnsi="仿宋_GB2312" w:eastAsia="仿宋_GB2312" w:cs="仿宋_GB2312"/>
          <w:color w:val="000000"/>
          <w:spacing w:val="0"/>
          <w:w w:val="100"/>
          <w:position w:val="0"/>
          <w:sz w:val="32"/>
          <w:szCs w:val="32"/>
          <w:lang w:val="en-US" w:eastAsia="zh-CN"/>
        </w:rPr>
        <w:t>2</w:t>
      </w:r>
      <w:r>
        <w:rPr>
          <w:rFonts w:hint="eastAsia" w:ascii="仿宋_GB2312" w:hAnsi="仿宋_GB2312" w:eastAsia="仿宋_GB2312" w:cs="仿宋_GB2312"/>
          <w:color w:val="000000"/>
          <w:spacing w:val="0"/>
          <w:w w:val="100"/>
          <w:position w:val="0"/>
          <w:sz w:val="32"/>
          <w:szCs w:val="32"/>
        </w:rPr>
        <w:t>年度我</w:t>
      </w:r>
      <w:r>
        <w:rPr>
          <w:rFonts w:hint="eastAsia" w:ascii="仿宋_GB2312" w:hAnsi="仿宋_GB2312" w:eastAsia="仿宋_GB2312" w:cs="仿宋_GB2312"/>
          <w:color w:val="000000"/>
          <w:spacing w:val="0"/>
          <w:w w:val="100"/>
          <w:position w:val="0"/>
          <w:sz w:val="32"/>
          <w:szCs w:val="32"/>
          <w:lang w:eastAsia="zh-CN"/>
        </w:rPr>
        <w:t>办</w:t>
      </w:r>
      <w:r>
        <w:rPr>
          <w:rFonts w:hint="eastAsia" w:ascii="仿宋_GB2312" w:hAnsi="仿宋_GB2312" w:eastAsia="仿宋_GB2312" w:cs="仿宋_GB2312"/>
          <w:b w:val="0"/>
          <w:bCs w:val="0"/>
          <w:color w:val="000000"/>
          <w:spacing w:val="0"/>
          <w:w w:val="100"/>
          <w:position w:val="0"/>
          <w:sz w:val="32"/>
          <w:szCs w:val="32"/>
        </w:rPr>
        <w:t>项目支出</w:t>
      </w:r>
      <w:r>
        <w:rPr>
          <w:rFonts w:hint="eastAsia" w:ascii="仿宋_GB2312" w:hAnsi="仿宋_GB2312" w:eastAsia="仿宋_GB2312" w:cs="仿宋_GB2312"/>
          <w:b w:val="0"/>
          <w:bCs w:val="0"/>
          <w:color w:val="000000"/>
          <w:spacing w:val="0"/>
          <w:w w:val="100"/>
          <w:position w:val="0"/>
          <w:sz w:val="32"/>
          <w:szCs w:val="32"/>
          <w:lang w:val="en-US" w:eastAsia="zh-CN"/>
        </w:rPr>
        <w:t>186.81</w:t>
      </w:r>
      <w:r>
        <w:rPr>
          <w:rFonts w:hint="eastAsia" w:ascii="仿宋_GB2312" w:hAnsi="仿宋_GB2312" w:eastAsia="仿宋_GB2312" w:cs="仿宋_GB2312"/>
          <w:b w:val="0"/>
          <w:bCs w:val="0"/>
          <w:color w:val="000000"/>
          <w:spacing w:val="0"/>
          <w:w w:val="100"/>
          <w:position w:val="0"/>
          <w:sz w:val="32"/>
          <w:szCs w:val="32"/>
        </w:rPr>
        <w:t>万元，</w:t>
      </w:r>
      <w:r>
        <w:rPr>
          <w:rFonts w:hint="eastAsia" w:ascii="仿宋_GB2312" w:hAnsi="仿宋_GB2312" w:eastAsia="仿宋_GB2312" w:cs="仿宋_GB2312"/>
          <w:color w:val="000000"/>
          <w:spacing w:val="0"/>
          <w:w w:val="100"/>
          <w:position w:val="0"/>
          <w:sz w:val="32"/>
          <w:szCs w:val="32"/>
        </w:rPr>
        <w:t>上年结转</w:t>
      </w:r>
      <w:r>
        <w:rPr>
          <w:rFonts w:hint="eastAsia" w:ascii="仿宋_GB2312" w:hAnsi="仿宋_GB2312" w:eastAsia="仿宋_GB2312" w:cs="仿宋_GB2312"/>
          <w:color w:val="000000"/>
          <w:spacing w:val="0"/>
          <w:w w:val="100"/>
          <w:position w:val="0"/>
          <w:sz w:val="32"/>
          <w:szCs w:val="32"/>
          <w:lang w:val="en-US" w:eastAsia="zh-CN"/>
        </w:rPr>
        <w:t>0</w:t>
      </w:r>
      <w:r>
        <w:rPr>
          <w:rFonts w:hint="eastAsia" w:ascii="仿宋_GB2312" w:hAnsi="仿宋_GB2312" w:eastAsia="仿宋_GB2312" w:cs="仿宋_GB2312"/>
          <w:color w:val="000000"/>
          <w:spacing w:val="0"/>
          <w:w w:val="100"/>
          <w:position w:val="0"/>
          <w:sz w:val="32"/>
          <w:szCs w:val="32"/>
        </w:rPr>
        <w:t>万元，</w:t>
      </w:r>
      <w:r>
        <w:rPr>
          <w:rFonts w:hint="eastAsia" w:ascii="仿宋_GB2312" w:hAnsi="仿宋_GB2312" w:eastAsia="仿宋_GB2312" w:cs="仿宋_GB2312"/>
          <w:b w:val="0"/>
          <w:bCs w:val="0"/>
          <w:color w:val="000000"/>
          <w:spacing w:val="0"/>
          <w:w w:val="100"/>
          <w:position w:val="0"/>
          <w:sz w:val="32"/>
          <w:szCs w:val="32"/>
        </w:rPr>
        <w:t>较上年</w:t>
      </w:r>
      <w:r>
        <w:rPr>
          <w:rFonts w:hint="eastAsia" w:ascii="仿宋_GB2312" w:hAnsi="仿宋_GB2312" w:eastAsia="仿宋_GB2312" w:cs="仿宋_GB2312"/>
          <w:b w:val="0"/>
          <w:bCs w:val="0"/>
          <w:color w:val="000000"/>
          <w:spacing w:val="0"/>
          <w:w w:val="100"/>
          <w:position w:val="0"/>
          <w:sz w:val="32"/>
          <w:szCs w:val="32"/>
          <w:lang w:eastAsia="zh-CN"/>
        </w:rPr>
        <w:t>支出</w:t>
      </w:r>
      <w:r>
        <w:rPr>
          <w:rFonts w:hint="eastAsia" w:ascii="仿宋_GB2312" w:hAnsi="仿宋_GB2312" w:eastAsia="仿宋_GB2312" w:cs="仿宋_GB2312"/>
          <w:b w:val="0"/>
          <w:bCs w:val="0"/>
          <w:color w:val="000000"/>
          <w:spacing w:val="0"/>
          <w:w w:val="100"/>
          <w:position w:val="0"/>
          <w:sz w:val="32"/>
          <w:szCs w:val="32"/>
        </w:rPr>
        <w:t>增加</w:t>
      </w:r>
      <w:r>
        <w:rPr>
          <w:rFonts w:hint="eastAsia" w:ascii="仿宋_GB2312" w:hAnsi="仿宋_GB2312" w:eastAsia="仿宋_GB2312" w:cs="仿宋_GB2312"/>
          <w:b w:val="0"/>
          <w:bCs w:val="0"/>
          <w:color w:val="000000"/>
          <w:spacing w:val="0"/>
          <w:w w:val="100"/>
          <w:position w:val="0"/>
          <w:sz w:val="32"/>
          <w:szCs w:val="32"/>
          <w:lang w:val="en-US" w:eastAsia="zh-CN"/>
        </w:rPr>
        <w:t>14.35</w:t>
      </w:r>
      <w:r>
        <w:rPr>
          <w:rFonts w:hint="eastAsia" w:ascii="仿宋_GB2312" w:hAnsi="仿宋_GB2312" w:eastAsia="仿宋_GB2312" w:cs="仿宋_GB2312"/>
          <w:b w:val="0"/>
          <w:bCs w:val="0"/>
          <w:color w:val="000000"/>
          <w:spacing w:val="0"/>
          <w:w w:val="100"/>
          <w:position w:val="0"/>
          <w:sz w:val="32"/>
          <w:szCs w:val="32"/>
        </w:rPr>
        <w:t>万元，主要原因是相关工作经费增加</w:t>
      </w:r>
      <w:r>
        <w:rPr>
          <w:rFonts w:hint="eastAsia" w:ascii="仿宋_GB2312" w:hAnsi="仿宋_GB2312" w:eastAsia="仿宋_GB2312" w:cs="仿宋_GB2312"/>
          <w:b w:val="0"/>
          <w:bCs w:val="0"/>
          <w:color w:val="000000"/>
          <w:spacing w:val="0"/>
          <w:w w:val="100"/>
          <w:position w:val="0"/>
          <w:sz w:val="32"/>
          <w:szCs w:val="32"/>
          <w:lang w:eastAsia="zh-CN"/>
        </w:rPr>
        <w:t>。</w:t>
      </w:r>
    </w:p>
    <w:p>
      <w:pPr>
        <w:pStyle w:val="12"/>
        <w:keepNext w:val="0"/>
        <w:keepLines w:val="0"/>
        <w:pageBreakBefore w:val="0"/>
        <w:widowControl w:val="0"/>
        <w:shd w:val="clear" w:color="auto" w:fill="auto"/>
        <w:tabs>
          <w:tab w:val="left" w:pos="765"/>
        </w:tabs>
        <w:kinsoku/>
        <w:wordWrap/>
        <w:overflowPunct/>
        <w:topLinePunct w:val="0"/>
        <w:autoSpaceDE/>
        <w:autoSpaceDN/>
        <w:bidi w:val="0"/>
        <w:adjustRightInd/>
        <w:snapToGrid/>
        <w:spacing w:before="0" w:line="600" w:lineRule="exact"/>
        <w:ind w:left="0" w:leftChars="0" w:right="0" w:firstLine="642" w:firstLineChars="200"/>
        <w:jc w:val="both"/>
        <w:textAlignment w:val="auto"/>
        <w:rPr>
          <w:rFonts w:hint="eastAsia" w:ascii="仿宋_GB2312" w:hAnsi="仿宋_GB2312" w:eastAsia="仿宋_GB2312" w:cs="仿宋_GB2312"/>
          <w:color w:val="000000"/>
          <w:spacing w:val="0"/>
          <w:w w:val="100"/>
          <w:position w:val="0"/>
          <w:sz w:val="32"/>
          <w:szCs w:val="32"/>
        </w:rPr>
      </w:pPr>
      <w:bookmarkStart w:id="7" w:name="bookmark98"/>
      <w:r>
        <w:rPr>
          <w:rFonts w:hint="eastAsia" w:ascii="仿宋_GB2312" w:hAnsi="仿宋_GB2312" w:eastAsia="仿宋_GB2312" w:cs="仿宋_GB2312"/>
          <w:b/>
          <w:bCs/>
          <w:color w:val="000000"/>
          <w:spacing w:val="0"/>
          <w:w w:val="100"/>
          <w:position w:val="0"/>
          <w:sz w:val="32"/>
          <w:szCs w:val="32"/>
        </w:rPr>
        <w:t>2</w:t>
      </w:r>
      <w:bookmarkEnd w:id="7"/>
      <w:r>
        <w:rPr>
          <w:rFonts w:hint="eastAsia" w:ascii="仿宋_GB2312" w:hAnsi="仿宋_GB2312" w:eastAsia="仿宋_GB2312" w:cs="仿宋_GB2312"/>
          <w:b/>
          <w:bCs/>
          <w:color w:val="000000"/>
          <w:spacing w:val="0"/>
          <w:w w:val="100"/>
          <w:position w:val="0"/>
          <w:sz w:val="32"/>
          <w:szCs w:val="32"/>
        </w:rPr>
        <w:t>、项目资金实际使用情况分析。</w:t>
      </w:r>
      <w:r>
        <w:rPr>
          <w:rFonts w:hint="eastAsia" w:ascii="仿宋_GB2312" w:hAnsi="仿宋_GB2312" w:eastAsia="仿宋_GB2312" w:cs="仿宋_GB2312"/>
          <w:b w:val="0"/>
          <w:bCs w:val="0"/>
          <w:color w:val="000000"/>
          <w:spacing w:val="0"/>
          <w:w w:val="100"/>
          <w:position w:val="0"/>
          <w:sz w:val="32"/>
          <w:szCs w:val="32"/>
        </w:rPr>
        <w:t>项目支出是在基本支出之外为完成特定行政任务和事业发展目标所发生的支出，主要用于春运、禁毒、金融、政府研究中心、督查、为民办实事和纪检等方面支出。</w:t>
      </w:r>
    </w:p>
    <w:p>
      <w:pPr>
        <w:pStyle w:val="12"/>
        <w:keepNext w:val="0"/>
        <w:keepLines w:val="0"/>
        <w:pageBreakBefore w:val="0"/>
        <w:widowControl w:val="0"/>
        <w:shd w:val="clear" w:color="auto" w:fill="auto"/>
        <w:tabs>
          <w:tab w:val="left" w:pos="770"/>
        </w:tabs>
        <w:kinsoku/>
        <w:wordWrap/>
        <w:overflowPunct/>
        <w:topLinePunct w:val="0"/>
        <w:autoSpaceDE/>
        <w:autoSpaceDN/>
        <w:bidi w:val="0"/>
        <w:adjustRightInd/>
        <w:snapToGrid/>
        <w:spacing w:before="0" w:line="600" w:lineRule="exact"/>
        <w:ind w:left="0" w:leftChars="0" w:right="0" w:firstLine="642" w:firstLineChars="200"/>
        <w:jc w:val="both"/>
        <w:textAlignment w:val="auto"/>
        <w:rPr>
          <w:rFonts w:hint="default" w:ascii="仿宋_GB2312" w:hAnsi="仿宋_GB2312" w:eastAsia="仿宋_GB2312" w:cs="仿宋_GB2312"/>
          <w:b w:val="0"/>
          <w:bCs w:val="0"/>
          <w:color w:val="000000"/>
          <w:spacing w:val="0"/>
          <w:w w:val="100"/>
          <w:position w:val="0"/>
          <w:sz w:val="32"/>
          <w:szCs w:val="32"/>
          <w:lang w:val="en-US" w:eastAsia="zh-CN"/>
        </w:rPr>
      </w:pPr>
      <w:bookmarkStart w:id="8" w:name="bookmark99"/>
      <w:r>
        <w:rPr>
          <w:rFonts w:hint="eastAsia" w:ascii="仿宋_GB2312" w:hAnsi="仿宋_GB2312" w:eastAsia="仿宋_GB2312" w:cs="仿宋_GB2312"/>
          <w:b/>
          <w:bCs/>
          <w:color w:val="000000"/>
          <w:spacing w:val="0"/>
          <w:w w:val="100"/>
          <w:position w:val="0"/>
          <w:sz w:val="32"/>
          <w:szCs w:val="32"/>
        </w:rPr>
        <w:t>3</w:t>
      </w:r>
      <w:bookmarkEnd w:id="8"/>
      <w:r>
        <w:rPr>
          <w:rFonts w:hint="eastAsia" w:ascii="仿宋_GB2312" w:hAnsi="仿宋_GB2312" w:eastAsia="仿宋_GB2312" w:cs="仿宋_GB2312"/>
          <w:b/>
          <w:bCs/>
          <w:color w:val="000000"/>
          <w:spacing w:val="0"/>
          <w:w w:val="100"/>
          <w:position w:val="0"/>
          <w:sz w:val="32"/>
          <w:szCs w:val="32"/>
        </w:rPr>
        <w:t>、项目资金管理情况分析。</w:t>
      </w:r>
      <w:r>
        <w:rPr>
          <w:rFonts w:hint="eastAsia" w:ascii="仿宋_GB2312" w:hAnsi="仿宋_GB2312" w:eastAsia="仿宋_GB2312" w:cs="仿宋_GB2312"/>
          <w:b w:val="0"/>
          <w:bCs w:val="0"/>
          <w:color w:val="000000"/>
          <w:spacing w:val="0"/>
          <w:w w:val="100"/>
          <w:position w:val="0"/>
          <w:sz w:val="32"/>
          <w:szCs w:val="32"/>
          <w:lang w:val="en-US" w:eastAsia="zh-CN"/>
        </w:rPr>
        <w:t>我办</w:t>
      </w:r>
      <w:r>
        <w:rPr>
          <w:rFonts w:hint="default" w:ascii="仿宋_GB2312" w:hAnsi="仿宋_GB2312" w:eastAsia="仿宋_GB2312" w:cs="仿宋_GB2312"/>
          <w:b w:val="0"/>
          <w:bCs w:val="0"/>
          <w:color w:val="000000"/>
          <w:spacing w:val="0"/>
          <w:w w:val="100"/>
          <w:position w:val="0"/>
          <w:sz w:val="32"/>
          <w:szCs w:val="32"/>
          <w:lang w:val="en-US" w:eastAsia="zh-CN"/>
        </w:rPr>
        <w:t>制定了相关项目资金管理制度、专项资金管理办法等，能按照财务管理制度对项目的申请、立项、实施、验收、报账进行管理。项目支出，基本能够按照制度规定执行。</w:t>
      </w:r>
    </w:p>
    <w:p>
      <w:pPr>
        <w:pStyle w:val="12"/>
        <w:keepNext w:val="0"/>
        <w:keepLines w:val="0"/>
        <w:pageBreakBefore w:val="0"/>
        <w:widowControl w:val="0"/>
        <w:numPr>
          <w:ilvl w:val="0"/>
          <w:numId w:val="0"/>
        </w:numPr>
        <w:shd w:val="clear" w:color="auto" w:fill="auto"/>
        <w:tabs>
          <w:tab w:val="left" w:pos="867"/>
        </w:tabs>
        <w:kinsoku/>
        <w:wordWrap/>
        <w:overflowPunct/>
        <w:topLinePunct w:val="0"/>
        <w:autoSpaceDE/>
        <w:autoSpaceDN/>
        <w:bidi w:val="0"/>
        <w:adjustRightInd/>
        <w:snapToGrid/>
        <w:spacing w:before="0" w:line="600" w:lineRule="exact"/>
        <w:ind w:leftChars="0" w:right="0" w:rightChars="0" w:firstLine="640" w:firstLineChars="200"/>
        <w:jc w:val="both"/>
        <w:textAlignment w:val="auto"/>
        <w:rPr>
          <w:rFonts w:hint="eastAsia" w:ascii="黑体" w:hAnsi="黑体" w:eastAsia="黑体" w:cs="黑体"/>
          <w:b w:val="0"/>
          <w:bCs w:val="0"/>
          <w:color w:val="000000"/>
          <w:spacing w:val="0"/>
          <w:w w:val="100"/>
          <w:position w:val="0"/>
          <w:sz w:val="32"/>
          <w:szCs w:val="32"/>
          <w:lang w:eastAsia="zh-CN"/>
        </w:rPr>
      </w:pPr>
      <w:r>
        <w:rPr>
          <w:rFonts w:hint="eastAsia" w:ascii="黑体" w:hAnsi="黑体" w:eastAsia="黑体" w:cs="黑体"/>
          <w:b w:val="0"/>
          <w:bCs w:val="0"/>
          <w:color w:val="000000"/>
          <w:spacing w:val="0"/>
          <w:w w:val="100"/>
          <w:position w:val="0"/>
          <w:sz w:val="32"/>
          <w:szCs w:val="32"/>
          <w:lang w:eastAsia="zh-CN"/>
        </w:rPr>
        <w:t>三</w:t>
      </w:r>
      <w:bookmarkEnd w:id="6"/>
      <w:r>
        <w:rPr>
          <w:rFonts w:hint="eastAsia" w:ascii="黑体" w:hAnsi="黑体" w:eastAsia="黑体" w:cs="黑体"/>
          <w:b w:val="0"/>
          <w:bCs w:val="0"/>
          <w:color w:val="000000"/>
          <w:spacing w:val="0"/>
          <w:w w:val="100"/>
          <w:position w:val="0"/>
          <w:sz w:val="32"/>
          <w:szCs w:val="32"/>
          <w:lang w:eastAsia="zh-CN"/>
        </w:rPr>
        <w:t>、部门项目组织实施情况</w:t>
      </w:r>
    </w:p>
    <w:p>
      <w:pPr>
        <w:pStyle w:val="12"/>
        <w:keepNext w:val="0"/>
        <w:keepLines w:val="0"/>
        <w:pageBreakBefore w:val="0"/>
        <w:widowControl w:val="0"/>
        <w:shd w:val="clear" w:color="auto" w:fill="auto"/>
        <w:tabs>
          <w:tab w:val="left" w:pos="876"/>
        </w:tabs>
        <w:kinsoku/>
        <w:wordWrap/>
        <w:overflowPunct/>
        <w:topLinePunct w:val="0"/>
        <w:autoSpaceDE/>
        <w:autoSpaceDN/>
        <w:bidi w:val="0"/>
        <w:adjustRightInd/>
        <w:snapToGrid/>
        <w:spacing w:before="0" w:line="600" w:lineRule="exact"/>
        <w:ind w:left="0" w:leftChars="0" w:right="0" w:firstLine="640" w:firstLineChars="200"/>
        <w:jc w:val="both"/>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bookmarkStart w:id="9" w:name="bookmark101"/>
      <w:r>
        <w:rPr>
          <w:rFonts w:hint="eastAsia" w:ascii="仿宋_GB2312" w:hAnsi="仿宋_GB2312" w:eastAsia="仿宋_GB2312" w:cs="仿宋_GB2312"/>
          <w:color w:val="000000" w:themeColor="text1"/>
          <w:sz w:val="32"/>
          <w:szCs w:val="32"/>
          <w:lang w:eastAsia="zh-CN"/>
          <w14:textFill>
            <w14:solidFill>
              <w14:schemeClr w14:val="tx1"/>
            </w14:solidFill>
          </w14:textFill>
        </w:rPr>
        <w:t>无建设性项目支出。</w:t>
      </w:r>
    </w:p>
    <w:p>
      <w:pPr>
        <w:pStyle w:val="12"/>
        <w:keepNext w:val="0"/>
        <w:keepLines w:val="0"/>
        <w:pageBreakBefore w:val="0"/>
        <w:widowControl w:val="0"/>
        <w:numPr>
          <w:ilvl w:val="0"/>
          <w:numId w:val="0"/>
        </w:numPr>
        <w:shd w:val="clear" w:color="auto" w:fill="auto"/>
        <w:tabs>
          <w:tab w:val="left" w:pos="867"/>
        </w:tabs>
        <w:kinsoku/>
        <w:wordWrap/>
        <w:overflowPunct/>
        <w:topLinePunct w:val="0"/>
        <w:autoSpaceDE/>
        <w:autoSpaceDN/>
        <w:bidi w:val="0"/>
        <w:adjustRightInd/>
        <w:snapToGrid/>
        <w:spacing w:before="0" w:line="600" w:lineRule="exact"/>
        <w:ind w:leftChars="0" w:right="0" w:rightChars="0" w:firstLine="640" w:firstLineChars="200"/>
        <w:jc w:val="both"/>
        <w:textAlignment w:val="auto"/>
        <w:rPr>
          <w:rFonts w:hint="eastAsia" w:ascii="黑体" w:hAnsi="黑体" w:eastAsia="黑体" w:cs="黑体"/>
          <w:b w:val="0"/>
          <w:bCs w:val="0"/>
          <w:color w:val="000000"/>
          <w:spacing w:val="0"/>
          <w:w w:val="100"/>
          <w:position w:val="0"/>
          <w:sz w:val="32"/>
          <w:szCs w:val="32"/>
          <w:lang w:eastAsia="zh-CN"/>
        </w:rPr>
      </w:pPr>
      <w:r>
        <w:rPr>
          <w:rFonts w:hint="eastAsia" w:ascii="黑体" w:hAnsi="黑体" w:eastAsia="黑体" w:cs="黑体"/>
          <w:b w:val="0"/>
          <w:bCs w:val="0"/>
          <w:color w:val="000000"/>
          <w:spacing w:val="0"/>
          <w:w w:val="100"/>
          <w:position w:val="0"/>
          <w:sz w:val="32"/>
          <w:szCs w:val="32"/>
          <w:lang w:eastAsia="zh-CN"/>
        </w:rPr>
        <w:t>四</w:t>
      </w:r>
      <w:bookmarkEnd w:id="9"/>
      <w:r>
        <w:rPr>
          <w:rFonts w:hint="eastAsia" w:ascii="黑体" w:hAnsi="黑体" w:eastAsia="黑体" w:cs="黑体"/>
          <w:b w:val="0"/>
          <w:bCs w:val="0"/>
          <w:color w:val="000000"/>
          <w:spacing w:val="0"/>
          <w:w w:val="100"/>
          <w:position w:val="0"/>
          <w:sz w:val="32"/>
          <w:szCs w:val="32"/>
          <w:lang w:eastAsia="zh-CN"/>
        </w:rPr>
        <w:t>、资产管理情况</w:t>
      </w:r>
    </w:p>
    <w:p>
      <w:pPr>
        <w:pStyle w:val="2"/>
        <w:keepNext w:val="0"/>
        <w:keepLines w:val="0"/>
        <w:pageBreakBefore w:val="0"/>
        <w:kinsoku/>
        <w:wordWrap/>
        <w:overflowPunct/>
        <w:topLinePunct w:val="0"/>
        <w:autoSpaceDE/>
        <w:autoSpaceDN/>
        <w:bidi w:val="0"/>
        <w:adjustRightInd/>
        <w:snapToGrid/>
        <w:spacing w:line="600" w:lineRule="exact"/>
        <w:ind w:leftChars="0" w:firstLine="642"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楷体_GB2312" w:hAnsi="楷体_GB2312" w:eastAsia="楷体_GB2312" w:cs="楷体_GB2312"/>
          <w:b/>
          <w:bCs/>
          <w:color w:val="000000"/>
          <w:spacing w:val="0"/>
          <w:w w:val="100"/>
          <w:kern w:val="2"/>
          <w:position w:val="0"/>
          <w:sz w:val="32"/>
          <w:szCs w:val="32"/>
          <w:u w:val="none"/>
          <w:shd w:val="clear" w:color="auto" w:fill="auto"/>
          <w:lang w:val="zh-CN" w:eastAsia="zh-CN" w:bidi="zh-CN"/>
        </w:rPr>
        <w:t>1</w:t>
      </w:r>
      <w:r>
        <w:rPr>
          <w:rFonts w:hint="eastAsia" w:ascii="楷体_GB2312" w:hAnsi="楷体_GB2312" w:eastAsia="楷体_GB2312" w:cs="楷体_GB2312"/>
          <w:b/>
          <w:bCs/>
          <w:color w:val="000000"/>
          <w:spacing w:val="0"/>
          <w:w w:val="100"/>
          <w:kern w:val="2"/>
          <w:position w:val="0"/>
          <w:sz w:val="32"/>
          <w:szCs w:val="32"/>
          <w:u w:val="none"/>
          <w:shd w:val="clear" w:color="auto" w:fill="auto"/>
          <w:lang w:val="en-US" w:eastAsia="zh-CN" w:bidi="zh-CN"/>
        </w:rPr>
        <w:t>.</w:t>
      </w:r>
      <w:r>
        <w:rPr>
          <w:rFonts w:hint="eastAsia" w:ascii="楷体_GB2312" w:hAnsi="楷体_GB2312" w:eastAsia="楷体_GB2312" w:cs="楷体_GB2312"/>
          <w:b/>
          <w:bCs/>
          <w:color w:val="000000"/>
          <w:spacing w:val="0"/>
          <w:w w:val="100"/>
          <w:kern w:val="2"/>
          <w:position w:val="0"/>
          <w:sz w:val="32"/>
          <w:szCs w:val="32"/>
          <w:u w:val="none"/>
          <w:shd w:val="clear" w:color="auto" w:fill="auto"/>
          <w:lang w:val="zh-CN" w:eastAsia="zh-CN" w:bidi="zh-CN"/>
        </w:rPr>
        <w:t>制定完善制度。</w:t>
      </w:r>
      <w:r>
        <w:rPr>
          <w:rFonts w:hint="eastAsia" w:ascii="仿宋_GB2312" w:hAnsi="仿宋_GB2312" w:eastAsia="仿宋_GB2312" w:cs="仿宋_GB2312"/>
          <w:color w:val="000000" w:themeColor="text1"/>
          <w:sz w:val="32"/>
          <w:szCs w:val="32"/>
          <w:lang w:eastAsia="zh-CN"/>
          <w14:textFill>
            <w14:solidFill>
              <w14:schemeClr w14:val="tx1"/>
            </w14:solidFill>
          </w14:textFill>
        </w:rPr>
        <w:t>进一步严肃财经纪律，规范财务收支行为，提高财务管理水平，建立健全财经纪律执行制度体系，严格执行中央八项规定精神，修订完善我办各项财经制度、规定。</w:t>
      </w:r>
    </w:p>
    <w:p>
      <w:pPr>
        <w:pStyle w:val="12"/>
        <w:keepNext w:val="0"/>
        <w:keepLines w:val="0"/>
        <w:pageBreakBefore w:val="0"/>
        <w:widowControl w:val="0"/>
        <w:numPr>
          <w:ilvl w:val="0"/>
          <w:numId w:val="0"/>
        </w:numPr>
        <w:shd w:val="clear" w:color="auto" w:fill="auto"/>
        <w:tabs>
          <w:tab w:val="left" w:pos="876"/>
        </w:tabs>
        <w:kinsoku/>
        <w:wordWrap/>
        <w:overflowPunct/>
        <w:topLinePunct w:val="0"/>
        <w:autoSpaceDE/>
        <w:autoSpaceDN/>
        <w:bidi w:val="0"/>
        <w:adjustRightInd/>
        <w:snapToGrid/>
        <w:spacing w:before="0" w:line="600" w:lineRule="exact"/>
        <w:ind w:leftChars="0" w:right="0" w:rightChars="0" w:firstLine="642" w:firstLineChars="200"/>
        <w:jc w:val="both"/>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楷体_GB2312" w:hAnsi="楷体_GB2312" w:eastAsia="楷体_GB2312" w:cs="楷体_GB2312"/>
          <w:b/>
          <w:bCs/>
          <w:color w:val="000000"/>
          <w:spacing w:val="0"/>
          <w:w w:val="100"/>
          <w:position w:val="0"/>
          <w:sz w:val="32"/>
          <w:szCs w:val="32"/>
          <w:lang w:eastAsia="zh-CN"/>
        </w:rPr>
        <w:t>2</w:t>
      </w:r>
      <w:r>
        <w:rPr>
          <w:rFonts w:hint="eastAsia" w:ascii="楷体_GB2312" w:hAnsi="楷体_GB2312" w:eastAsia="楷体_GB2312" w:cs="楷体_GB2312"/>
          <w:b/>
          <w:bCs/>
          <w:color w:val="000000"/>
          <w:spacing w:val="0"/>
          <w:w w:val="100"/>
          <w:position w:val="0"/>
          <w:sz w:val="32"/>
          <w:szCs w:val="32"/>
          <w:lang w:val="en-US" w:eastAsia="zh-CN"/>
        </w:rPr>
        <w:t>.</w:t>
      </w:r>
      <w:r>
        <w:rPr>
          <w:rFonts w:hint="eastAsia" w:ascii="楷体_GB2312" w:hAnsi="楷体_GB2312" w:eastAsia="楷体_GB2312" w:cs="楷体_GB2312"/>
          <w:b/>
          <w:bCs/>
          <w:color w:val="000000"/>
          <w:spacing w:val="0"/>
          <w:w w:val="100"/>
          <w:position w:val="0"/>
          <w:sz w:val="32"/>
          <w:szCs w:val="32"/>
          <w:lang w:eastAsia="zh-CN"/>
        </w:rPr>
        <w:t>加强固定资产管理。</w:t>
      </w:r>
      <w:r>
        <w:rPr>
          <w:rFonts w:hint="eastAsia" w:ascii="仿宋_GB2312" w:hAnsi="仿宋_GB2312" w:eastAsia="仿宋_GB2312" w:cs="仿宋_GB2312"/>
          <w:color w:val="000000" w:themeColor="text1"/>
          <w:sz w:val="32"/>
          <w:szCs w:val="32"/>
          <w:lang w:eastAsia="zh-CN"/>
          <w14:textFill>
            <w14:solidFill>
              <w14:schemeClr w14:val="tx1"/>
            </w14:solidFill>
          </w14:textFill>
        </w:rPr>
        <w:t>对固定资产进行清理，加强固定资产清理力度，折旧核销，摸清资产明细，对清理出的固定资产进行一一登记，实行编号管理。制定固定资产管理办法，做到资产入账，资产登记，资产核销，做到账实相符，严格按照资产用途进行分类、分配，不让国有资产流失。</w:t>
      </w:r>
    </w:p>
    <w:p>
      <w:pPr>
        <w:pStyle w:val="12"/>
        <w:keepNext w:val="0"/>
        <w:keepLines w:val="0"/>
        <w:pageBreakBefore w:val="0"/>
        <w:widowControl w:val="0"/>
        <w:numPr>
          <w:ilvl w:val="0"/>
          <w:numId w:val="0"/>
        </w:numPr>
        <w:shd w:val="clear" w:color="auto" w:fill="auto"/>
        <w:tabs>
          <w:tab w:val="left" w:pos="867"/>
        </w:tabs>
        <w:kinsoku/>
        <w:wordWrap/>
        <w:overflowPunct/>
        <w:topLinePunct w:val="0"/>
        <w:autoSpaceDE/>
        <w:autoSpaceDN/>
        <w:bidi w:val="0"/>
        <w:adjustRightInd/>
        <w:snapToGrid/>
        <w:spacing w:before="0" w:line="600" w:lineRule="exact"/>
        <w:ind w:leftChars="0" w:right="0" w:rightChars="0" w:firstLine="640" w:firstLineChars="200"/>
        <w:jc w:val="both"/>
        <w:textAlignment w:val="auto"/>
        <w:rPr>
          <w:rFonts w:hint="eastAsia" w:ascii="黑体" w:hAnsi="黑体" w:eastAsia="黑体" w:cs="黑体"/>
          <w:b w:val="0"/>
          <w:bCs w:val="0"/>
          <w:color w:val="000000"/>
          <w:spacing w:val="0"/>
          <w:w w:val="100"/>
          <w:position w:val="0"/>
          <w:sz w:val="32"/>
          <w:szCs w:val="32"/>
          <w:lang w:eastAsia="zh-CN"/>
        </w:rPr>
      </w:pPr>
      <w:r>
        <w:rPr>
          <w:rFonts w:hint="eastAsia" w:ascii="黑体" w:hAnsi="黑体" w:eastAsia="黑体" w:cs="黑体"/>
          <w:b w:val="0"/>
          <w:bCs w:val="0"/>
          <w:color w:val="000000"/>
          <w:spacing w:val="0"/>
          <w:w w:val="100"/>
          <w:position w:val="0"/>
          <w:sz w:val="32"/>
          <w:szCs w:val="32"/>
          <w:lang w:eastAsia="zh-CN"/>
        </w:rPr>
        <w:t>五、部门整体支出绩效情况</w:t>
      </w:r>
    </w:p>
    <w:p>
      <w:pPr>
        <w:pStyle w:val="12"/>
        <w:keepNext w:val="0"/>
        <w:keepLines w:val="0"/>
        <w:pageBreakBefore w:val="0"/>
        <w:widowControl w:val="0"/>
        <w:numPr>
          <w:ilvl w:val="0"/>
          <w:numId w:val="0"/>
        </w:numPr>
        <w:shd w:val="clear" w:color="auto" w:fill="auto"/>
        <w:tabs>
          <w:tab w:val="left" w:pos="876"/>
        </w:tabs>
        <w:kinsoku/>
        <w:wordWrap/>
        <w:overflowPunct/>
        <w:topLinePunct w:val="0"/>
        <w:autoSpaceDE/>
        <w:autoSpaceDN/>
        <w:bidi w:val="0"/>
        <w:adjustRightInd/>
        <w:snapToGrid/>
        <w:spacing w:before="0" w:line="600" w:lineRule="exact"/>
        <w:ind w:leftChars="0" w:right="0" w:rightChars="0" w:firstLine="640" w:firstLineChars="200"/>
        <w:jc w:val="both"/>
        <w:textAlignment w:val="auto"/>
        <w:rPr>
          <w:rFonts w:hint="eastAsia" w:ascii="Times New Roman" w:hAnsi="Times New Roman" w:eastAsia="仿宋_GB2312" w:cs="Times New Roman"/>
          <w:spacing w:val="0"/>
          <w:sz w:val="32"/>
          <w:szCs w:val="32"/>
          <w:lang w:val="en-US" w:eastAsia="zh-CN"/>
        </w:rPr>
      </w:pPr>
      <w:r>
        <w:rPr>
          <w:rFonts w:hint="eastAsia" w:ascii="仿宋_GB2312" w:hAnsi="仿宋_GB2312" w:eastAsia="仿宋_GB2312" w:cs="仿宋_GB2312"/>
          <w:sz w:val="32"/>
          <w:szCs w:val="32"/>
          <w:lang w:val="en-US" w:eastAsia="zh-CN"/>
        </w:rPr>
        <w:t>2022年，区政府办</w:t>
      </w:r>
      <w:r>
        <w:rPr>
          <w:rFonts w:hint="default" w:ascii="Times New Roman" w:hAnsi="Times New Roman" w:eastAsia="仿宋_GB2312" w:cs="Times New Roman"/>
          <w:spacing w:val="0"/>
          <w:sz w:val="32"/>
          <w:szCs w:val="32"/>
          <w:lang w:val="en-US" w:eastAsia="zh-CN"/>
        </w:rPr>
        <w:t>坚持以习近平新时代中国特色社会主义思想为指导，</w:t>
      </w:r>
      <w:r>
        <w:rPr>
          <w:rFonts w:hint="eastAsia" w:ascii="Times New Roman" w:hAnsi="Times New Roman" w:eastAsia="仿宋_GB2312" w:cs="Times New Roman"/>
          <w:spacing w:val="0"/>
          <w:sz w:val="32"/>
          <w:szCs w:val="32"/>
          <w:lang w:val="en-US" w:eastAsia="zh-CN"/>
        </w:rPr>
        <w:t>全面贯彻落实党的二十大精神，</w:t>
      </w:r>
      <w:r>
        <w:rPr>
          <w:rFonts w:hint="eastAsia" w:ascii="仿宋_GB2312" w:hAnsi="仿宋_GB2312" w:eastAsia="仿宋_GB2312" w:cs="仿宋_GB2312"/>
          <w:sz w:val="32"/>
          <w:szCs w:val="32"/>
          <w:lang w:val="en-US" w:eastAsia="zh-CN"/>
        </w:rPr>
        <w:t>在区委、区政府的正确领导下，</w:t>
      </w:r>
      <w:r>
        <w:rPr>
          <w:rFonts w:hint="default" w:ascii="Times New Roman" w:hAnsi="Times New Roman" w:eastAsia="仿宋_GB2312" w:cs="Times New Roman"/>
          <w:spacing w:val="0"/>
          <w:sz w:val="32"/>
          <w:szCs w:val="32"/>
          <w:lang w:val="en-US" w:eastAsia="zh-CN"/>
        </w:rPr>
        <w:t>围绕建设法治政府、高效政府、廉洁政府、服务型政府，充分发挥参谋助手、运转枢纽、</w:t>
      </w:r>
      <w:r>
        <w:rPr>
          <w:rFonts w:hint="eastAsia" w:ascii="Times New Roman" w:hAnsi="Times New Roman" w:eastAsia="仿宋_GB2312" w:cs="Times New Roman"/>
          <w:spacing w:val="0"/>
          <w:sz w:val="32"/>
          <w:szCs w:val="32"/>
          <w:lang w:val="en-US" w:eastAsia="zh-CN"/>
        </w:rPr>
        <w:t>督办落实</w:t>
      </w:r>
      <w:r>
        <w:rPr>
          <w:rFonts w:hint="default" w:ascii="Times New Roman" w:hAnsi="Times New Roman" w:eastAsia="仿宋_GB2312" w:cs="Times New Roman"/>
          <w:spacing w:val="0"/>
          <w:sz w:val="32"/>
          <w:szCs w:val="32"/>
          <w:lang w:val="en-US" w:eastAsia="zh-CN"/>
        </w:rPr>
        <w:t>、</w:t>
      </w:r>
      <w:r>
        <w:rPr>
          <w:rFonts w:hint="eastAsia" w:ascii="仿宋_GB2312" w:hAnsi="仿宋_GB2312" w:eastAsia="仿宋_GB2312" w:cs="仿宋_GB2312"/>
          <w:sz w:val="32"/>
          <w:szCs w:val="32"/>
          <w:lang w:val="en-US" w:eastAsia="zh-CN"/>
        </w:rPr>
        <w:t>服务保障等</w:t>
      </w:r>
      <w:r>
        <w:rPr>
          <w:rFonts w:hint="default" w:ascii="Times New Roman" w:hAnsi="Times New Roman" w:eastAsia="仿宋_GB2312" w:cs="Times New Roman"/>
          <w:spacing w:val="0"/>
          <w:sz w:val="32"/>
          <w:szCs w:val="32"/>
          <w:lang w:val="en-US" w:eastAsia="zh-CN"/>
        </w:rPr>
        <w:t>作用，为全</w:t>
      </w:r>
      <w:r>
        <w:rPr>
          <w:rFonts w:hint="eastAsia" w:ascii="Times New Roman" w:hAnsi="Times New Roman" w:eastAsia="仿宋_GB2312" w:cs="Times New Roman"/>
          <w:spacing w:val="0"/>
          <w:sz w:val="32"/>
          <w:szCs w:val="32"/>
          <w:lang w:val="en-US" w:eastAsia="zh-CN"/>
        </w:rPr>
        <w:t>区</w:t>
      </w:r>
      <w:r>
        <w:rPr>
          <w:rFonts w:hint="default" w:ascii="Times New Roman" w:hAnsi="Times New Roman" w:eastAsia="仿宋_GB2312" w:cs="Times New Roman"/>
          <w:spacing w:val="0"/>
          <w:sz w:val="32"/>
          <w:szCs w:val="32"/>
          <w:lang w:val="en-US" w:eastAsia="zh-CN"/>
        </w:rPr>
        <w:t>政府系统各项工作高效推进</w:t>
      </w:r>
      <w:r>
        <w:rPr>
          <w:rFonts w:hint="eastAsia" w:ascii="Times New Roman" w:hAnsi="Times New Roman" w:eastAsia="仿宋_GB2312" w:cs="Times New Roman"/>
          <w:spacing w:val="0"/>
          <w:sz w:val="32"/>
          <w:szCs w:val="32"/>
          <w:lang w:val="en-US" w:eastAsia="zh-CN"/>
        </w:rPr>
        <w:t>和全区经济社会高质量发展</w:t>
      </w:r>
      <w:r>
        <w:rPr>
          <w:rFonts w:hint="default" w:ascii="Times New Roman" w:hAnsi="Times New Roman" w:eastAsia="仿宋_GB2312" w:cs="Times New Roman"/>
          <w:spacing w:val="0"/>
          <w:sz w:val="32"/>
          <w:szCs w:val="32"/>
          <w:lang w:val="en-US" w:eastAsia="zh-CN"/>
        </w:rPr>
        <w:t>作出了积极贡献</w:t>
      </w:r>
      <w:r>
        <w:rPr>
          <w:rFonts w:hint="eastAsia" w:ascii="Times New Roman" w:hAnsi="Times New Roman" w:eastAsia="仿宋_GB2312" w:cs="Times New Roman"/>
          <w:spacing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Chars="0" w:firstLine="642" w:firstLineChars="200"/>
        <w:jc w:val="left"/>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color w:val="000000"/>
          <w:spacing w:val="0"/>
          <w:w w:val="100"/>
          <w:kern w:val="2"/>
          <w:position w:val="0"/>
          <w:sz w:val="32"/>
          <w:szCs w:val="32"/>
          <w:u w:val="none"/>
          <w:shd w:val="clear" w:color="auto" w:fill="auto"/>
          <w:lang w:val="en-US" w:eastAsia="zh-CN" w:bidi="zh-CN"/>
        </w:rPr>
        <w:t>1.严格标准，办文办会显质量。</w:t>
      </w:r>
      <w:r>
        <w:rPr>
          <w:rFonts w:hint="eastAsia" w:ascii="仿宋_GB2312" w:hAnsi="仿宋_GB2312" w:eastAsia="仿宋_GB2312" w:cs="仿宋_GB2312"/>
          <w:sz w:val="32"/>
          <w:szCs w:val="32"/>
          <w:lang w:val="en-US" w:eastAsia="zh-CN"/>
        </w:rPr>
        <w:t>强化公文审核把关，规范非公文用印程序，严格公文印发，提高公文质量，发文数量稳中有降。</w:t>
      </w:r>
      <w:r>
        <w:rPr>
          <w:rFonts w:hint="eastAsia" w:ascii="仿宋_GB2312" w:hAnsi="仿宋_GB2312" w:eastAsia="仿宋_GB2312" w:cs="仿宋_GB2312"/>
          <w:color w:val="auto"/>
          <w:sz w:val="32"/>
          <w:szCs w:val="32"/>
          <w:lang w:val="en-US" w:eastAsia="zh-CN"/>
        </w:rPr>
        <w:t>2022年度共收文约3000余件，发文380余件。</w:t>
      </w:r>
      <w:r>
        <w:rPr>
          <w:rFonts w:hint="eastAsia" w:ascii="仿宋_GB2312" w:hAnsi="华文中宋" w:eastAsia="仿宋_GB2312"/>
          <w:color w:val="auto"/>
          <w:sz w:val="32"/>
          <w:szCs w:val="32"/>
        </w:rPr>
        <w:t>起</w:t>
      </w:r>
      <w:r>
        <w:rPr>
          <w:rFonts w:hint="eastAsia" w:ascii="仿宋_GB2312" w:hAnsi="华文中宋" w:eastAsia="仿宋_GB2312"/>
          <w:sz w:val="32"/>
          <w:szCs w:val="32"/>
        </w:rPr>
        <w:t>草、审核、校对、印刷、发送等环节未出现差</w:t>
      </w:r>
      <w:r>
        <w:rPr>
          <w:rFonts w:hint="eastAsia" w:ascii="仿宋_GB2312" w:eastAsia="仿宋_GB2312"/>
          <w:sz w:val="32"/>
          <w:szCs w:val="32"/>
        </w:rPr>
        <w:t>错。</w:t>
      </w:r>
      <w:r>
        <w:rPr>
          <w:rFonts w:hint="eastAsia" w:ascii="仿宋_GB2312" w:hAnsi="仿宋_GB2312" w:eastAsia="仿宋_GB2312" w:cs="仿宋_GB2312"/>
          <w:sz w:val="32"/>
          <w:szCs w:val="32"/>
          <w:lang w:val="en-US" w:eastAsia="zh-CN"/>
        </w:rPr>
        <w:t>一年来，高水平完成区政府和区政府办公室组织召开的各项会议的服务保障工作，</w:t>
      </w:r>
      <w:r>
        <w:rPr>
          <w:rFonts w:hint="eastAsia" w:ascii="仿宋_GB2312" w:hAnsi="仿宋_GB2312" w:eastAsia="仿宋_GB2312" w:cs="仿宋_GB2312"/>
          <w:sz w:val="32"/>
          <w:szCs w:val="32"/>
          <w:lang w:eastAsia="zh-CN"/>
        </w:rPr>
        <w:t>全年共承办区政府各类会议</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lang w:eastAsia="zh-CN"/>
        </w:rPr>
        <w:t>余次，</w:t>
      </w:r>
      <w:r>
        <w:rPr>
          <w:rFonts w:hint="eastAsia" w:ascii="仿宋_GB2312" w:eastAsia="仿宋_GB2312"/>
          <w:sz w:val="32"/>
          <w:szCs w:val="32"/>
        </w:rPr>
        <w:t>会场布置整洁</w:t>
      </w:r>
      <w:r>
        <w:rPr>
          <w:rFonts w:hint="eastAsia" w:ascii="仿宋_GB2312" w:eastAsia="仿宋_GB2312"/>
          <w:sz w:val="32"/>
          <w:szCs w:val="32"/>
          <w:lang w:eastAsia="zh-CN"/>
        </w:rPr>
        <w:t>、</w:t>
      </w:r>
      <w:r>
        <w:rPr>
          <w:rFonts w:hint="eastAsia" w:ascii="仿宋_GB2312" w:eastAsia="仿宋_GB2312"/>
          <w:sz w:val="32"/>
          <w:szCs w:val="32"/>
        </w:rPr>
        <w:t>服务细致周到，会议材料齐备无误，各项会务工作未出现任何差错。</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Chars="0" w:firstLine="642" w:firstLineChars="200"/>
        <w:jc w:val="left"/>
        <w:textAlignment w:val="auto"/>
        <w:rPr>
          <w:rFonts w:hint="eastAsia" w:ascii="宋体" w:hAnsi="宋体" w:eastAsia="宋体" w:cs="宋体"/>
          <w:i w:val="0"/>
          <w:iCs w:val="0"/>
          <w:caps w:val="0"/>
          <w:color w:val="434343"/>
          <w:spacing w:val="0"/>
          <w:kern w:val="0"/>
          <w:sz w:val="24"/>
          <w:szCs w:val="24"/>
          <w:shd w:val="clear" w:color="auto" w:fill="FFFFFF"/>
          <w:lang w:val="en-US" w:eastAsia="zh-CN" w:bidi="ar"/>
        </w:rPr>
      </w:pPr>
      <w:r>
        <w:rPr>
          <w:rFonts w:hint="eastAsia" w:ascii="楷体_GB2312" w:hAnsi="楷体_GB2312" w:eastAsia="楷体_GB2312" w:cs="楷体_GB2312"/>
          <w:b/>
          <w:bCs/>
          <w:color w:val="000000"/>
          <w:spacing w:val="0"/>
          <w:w w:val="100"/>
          <w:kern w:val="2"/>
          <w:position w:val="0"/>
          <w:sz w:val="32"/>
          <w:szCs w:val="32"/>
          <w:u w:val="none"/>
          <w:shd w:val="clear" w:color="auto" w:fill="auto"/>
          <w:lang w:val="en-US" w:eastAsia="zh-CN" w:bidi="zh-CN"/>
        </w:rPr>
        <w:t>2.前瞻调研，多参善谋增能力。</w:t>
      </w:r>
      <w:r>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t>2022年高质量完成了《政府工作报告》、重要工作调度会讲话等综合性文稿200余篇。围绕经济社会发展中的突出问题、领导关注的难点问题、社会普遍关注的热点问题及民生工程，深入基层，直面问题，打通服务“最后一公里”，</w:t>
      </w:r>
      <w:r>
        <w:rPr>
          <w:rFonts w:hint="eastAsia" w:ascii="仿宋_GB2312" w:hAnsi="仿宋_GB2312" w:eastAsia="仿宋_GB2312" w:cs="仿宋_GB2312"/>
          <w:sz w:val="32"/>
          <w:szCs w:val="32"/>
          <w:lang w:eastAsia="zh-CN"/>
        </w:rPr>
        <w:t>共开展调研</w:t>
      </w:r>
      <w:r>
        <w:rPr>
          <w:rFonts w:hint="eastAsia" w:ascii="仿宋_GB2312" w:hAnsi="仿宋_GB2312" w:eastAsia="仿宋_GB2312" w:cs="仿宋_GB2312"/>
          <w:sz w:val="32"/>
          <w:szCs w:val="32"/>
          <w:lang w:val="en-US" w:eastAsia="zh-CN"/>
        </w:rPr>
        <w:t>20余次，其中</w:t>
      </w:r>
      <w:r>
        <w:rPr>
          <w:rFonts w:hint="eastAsia" w:ascii="仿宋_GB2312" w:hAnsi="仿宋_GB2312" w:eastAsia="仿宋_GB2312" w:cs="仿宋_GB2312"/>
          <w:sz w:val="32"/>
          <w:szCs w:val="32"/>
          <w:lang w:eastAsia="zh-CN"/>
        </w:rPr>
        <w:t>乡村振兴、产业发展等多篇调研报告</w:t>
      </w:r>
      <w:r>
        <w:rPr>
          <w:rFonts w:hint="eastAsia" w:ascii="仿宋_GB2312" w:hAnsi="仿宋_GB2312" w:eastAsia="仿宋_GB2312" w:cs="仿宋_GB2312"/>
          <w:sz w:val="32"/>
          <w:szCs w:val="32"/>
          <w:lang w:val="en-US" w:eastAsia="zh-CN"/>
        </w:rPr>
        <w:t>受领导认可</w:t>
      </w:r>
      <w:r>
        <w:rPr>
          <w:rFonts w:hint="eastAsia" w:ascii="仿宋_GB2312" w:eastAsia="仿宋_GB2312"/>
          <w:sz w:val="32"/>
          <w:szCs w:val="32"/>
        </w:rPr>
        <w:t>，为区委、区政府决策提供了参考依据</w:t>
      </w:r>
      <w:r>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t>。准确把握国家、省、市新形势新任务新要求，</w:t>
      </w:r>
      <w:r>
        <w:rPr>
          <w:rFonts w:hint="eastAsia" w:ascii="仿宋_GB2312" w:hAnsi="仿宋_GB2312" w:eastAsia="仿宋_GB2312" w:cs="仿宋_GB2312"/>
          <w:sz w:val="32"/>
          <w:szCs w:val="32"/>
          <w:lang w:eastAsia="zh-CN"/>
        </w:rPr>
        <w:t>认真总结提炼我区特色工作、亮点工作，全年报送信息</w:t>
      </w:r>
      <w:r>
        <w:rPr>
          <w:rFonts w:hint="eastAsia" w:ascii="仿宋_GB2312" w:hAnsi="仿宋_GB2312" w:eastAsia="仿宋_GB2312" w:cs="仿宋_GB2312"/>
          <w:sz w:val="32"/>
          <w:szCs w:val="32"/>
          <w:lang w:val="en-US" w:eastAsia="zh-CN"/>
        </w:rPr>
        <w:t>300余</w:t>
      </w:r>
      <w:r>
        <w:rPr>
          <w:rFonts w:hint="eastAsia" w:ascii="仿宋_GB2312" w:hAnsi="仿宋_GB2312" w:eastAsia="仿宋_GB2312" w:cs="仿宋_GB2312"/>
          <w:sz w:val="32"/>
          <w:szCs w:val="32"/>
          <w:lang w:eastAsia="zh-CN"/>
        </w:rPr>
        <w:t>篇，其中</w:t>
      </w:r>
      <w:r>
        <w:rPr>
          <w:rFonts w:hint="eastAsia" w:ascii="仿宋_GB2312" w:hAnsi="仿宋_GB2312" w:eastAsia="仿宋_GB2312" w:cs="仿宋_GB2312"/>
          <w:sz w:val="32"/>
          <w:szCs w:val="32"/>
          <w:lang w:val="en-US" w:eastAsia="zh-CN"/>
        </w:rPr>
        <w:t>30余篇</w:t>
      </w:r>
      <w:r>
        <w:rPr>
          <w:rFonts w:hint="eastAsia" w:ascii="仿宋_GB2312" w:hAnsi="仿宋_GB2312" w:eastAsia="仿宋_GB2312" w:cs="仿宋_GB2312"/>
          <w:sz w:val="32"/>
          <w:szCs w:val="32"/>
          <w:lang w:eastAsia="zh-CN"/>
        </w:rPr>
        <w:t>被国省市采用。</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Chars="0" w:firstLine="642" w:firstLineChars="200"/>
        <w:jc w:val="left"/>
        <w:textAlignment w:val="auto"/>
        <w:rPr>
          <w:rFonts w:hint="default" w:ascii="仿宋_GB2312" w:hAnsi="仿宋_GB2312" w:eastAsia="仿宋_GB2312" w:cs="仿宋_GB2312"/>
          <w:sz w:val="32"/>
          <w:szCs w:val="32"/>
          <w:lang w:val="en-US"/>
        </w:rPr>
      </w:pPr>
      <w:r>
        <w:rPr>
          <w:rFonts w:hint="eastAsia" w:ascii="楷体_GB2312" w:hAnsi="楷体_GB2312" w:eastAsia="楷体_GB2312" w:cs="楷体_GB2312"/>
          <w:b/>
          <w:bCs/>
          <w:color w:val="000000"/>
          <w:spacing w:val="0"/>
          <w:w w:val="100"/>
          <w:kern w:val="2"/>
          <w:position w:val="0"/>
          <w:sz w:val="32"/>
          <w:szCs w:val="32"/>
          <w:u w:val="none"/>
          <w:shd w:val="clear" w:color="auto" w:fill="auto"/>
          <w:lang w:val="en-US" w:eastAsia="zh-CN" w:bidi="zh-CN"/>
        </w:rPr>
        <w:t>3.催办落实，综合服务提效率。</w:t>
      </w:r>
      <w:r>
        <w:rPr>
          <w:rFonts w:hint="eastAsia" w:ascii="仿宋_GB2312" w:hAnsi="仿宋_GB2312" w:eastAsia="仿宋_GB2312" w:cs="仿宋_GB2312"/>
          <w:sz w:val="32"/>
          <w:szCs w:val="32"/>
          <w:lang w:val="en-US" w:eastAsia="zh-CN"/>
        </w:rPr>
        <w:t>对国务院、省、市、区重大决策部署和区委、区政府中心工作开展专项督查，</w:t>
      </w:r>
      <w:r>
        <w:rPr>
          <w:rFonts w:hint="eastAsia" w:ascii="仿宋_GB2312" w:hAnsi="仿宋_GB2312" w:eastAsia="仿宋_GB2312" w:cs="仿宋_GB2312"/>
          <w:sz w:val="32"/>
          <w:szCs w:val="32"/>
          <w:lang w:eastAsia="zh-CN"/>
        </w:rPr>
        <w:t>及时</w:t>
      </w:r>
      <w:r>
        <w:rPr>
          <w:rFonts w:hint="eastAsia" w:ascii="仿宋_GB2312" w:hAnsi="仿宋_GB2312" w:eastAsia="仿宋_GB2312" w:cs="仿宋_GB2312"/>
          <w:sz w:val="32"/>
          <w:szCs w:val="32"/>
        </w:rPr>
        <w:t>对202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年《政府工作报告》进行立项分解，</w:t>
      </w:r>
      <w:r>
        <w:rPr>
          <w:rFonts w:hint="eastAsia" w:ascii="仿宋_GB2312" w:hAnsi="仿宋_GB2312" w:eastAsia="仿宋_GB2312" w:cs="仿宋_GB2312"/>
          <w:sz w:val="32"/>
          <w:szCs w:val="32"/>
          <w:lang w:eastAsia="zh-CN"/>
        </w:rPr>
        <w:t>跟踪督查落实情况，推动重难点问题解决及工作落实。全年共</w:t>
      </w:r>
      <w:r>
        <w:rPr>
          <w:rFonts w:hint="eastAsia" w:ascii="仿宋_GB2312" w:hAnsi="仿宋_GB2312" w:eastAsia="仿宋_GB2312" w:cs="仿宋_GB2312"/>
          <w:sz w:val="32"/>
          <w:szCs w:val="32"/>
        </w:rPr>
        <w:t>开展重点项目、创建全国文明城市、固定资产投资、</w:t>
      </w:r>
      <w:r>
        <w:rPr>
          <w:rFonts w:hint="eastAsia" w:ascii="仿宋_GB2312" w:hAnsi="仿宋_GB2312" w:eastAsia="仿宋_GB2312" w:cs="仿宋_GB2312"/>
          <w:sz w:val="32"/>
          <w:szCs w:val="32"/>
          <w:lang w:eastAsia="zh-CN"/>
        </w:rPr>
        <w:t>常态化</w:t>
      </w:r>
      <w:r>
        <w:rPr>
          <w:rFonts w:hint="eastAsia" w:ascii="仿宋_GB2312" w:hAnsi="仿宋_GB2312" w:eastAsia="仿宋_GB2312" w:cs="仿宋_GB2312"/>
          <w:sz w:val="32"/>
          <w:szCs w:val="32"/>
        </w:rPr>
        <w:t>疫情防控、安全生产、生态环境保护、城市环境管理</w:t>
      </w:r>
      <w:r>
        <w:rPr>
          <w:rFonts w:hint="eastAsia" w:ascii="仿宋_GB2312" w:hAnsi="仿宋_GB2312" w:eastAsia="仿宋_GB2312" w:cs="仿宋_GB2312"/>
          <w:sz w:val="32"/>
          <w:szCs w:val="32"/>
          <w:lang w:eastAsia="zh-CN"/>
        </w:rPr>
        <w:t>、乡村振兴</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eastAsia="zh-CN"/>
        </w:rPr>
        <w:t>各类</w:t>
      </w:r>
      <w:r>
        <w:rPr>
          <w:rFonts w:hint="eastAsia" w:ascii="仿宋_GB2312" w:hAnsi="仿宋_GB2312" w:eastAsia="仿宋_GB2312" w:cs="仿宋_GB2312"/>
          <w:sz w:val="32"/>
          <w:szCs w:val="32"/>
        </w:rPr>
        <w:t>专项工作督</w:t>
      </w:r>
      <w:r>
        <w:rPr>
          <w:rFonts w:hint="eastAsia" w:ascii="仿宋_GB2312" w:hAnsi="仿宋_GB2312" w:eastAsia="仿宋_GB2312" w:cs="仿宋_GB2312"/>
          <w:color w:val="auto"/>
          <w:sz w:val="32"/>
          <w:szCs w:val="32"/>
        </w:rPr>
        <w:t>查</w:t>
      </w:r>
      <w:r>
        <w:rPr>
          <w:rFonts w:hint="eastAsia" w:ascii="仿宋_GB2312" w:hAnsi="仿宋_GB2312" w:eastAsia="仿宋_GB2312" w:cs="仿宋_GB2312"/>
          <w:color w:val="auto"/>
          <w:sz w:val="32"/>
          <w:szCs w:val="32"/>
          <w:lang w:val="en-US" w:eastAsia="zh-CN"/>
        </w:rPr>
        <w:t>50</w:t>
      </w:r>
      <w:r>
        <w:rPr>
          <w:rFonts w:hint="eastAsia" w:ascii="仿宋_GB2312" w:hAnsi="仿宋_GB2312" w:eastAsia="仿宋_GB2312" w:cs="仿宋_GB2312"/>
          <w:sz w:val="32"/>
          <w:szCs w:val="32"/>
        </w:rPr>
        <w:t>余次，有力地推动了区委、区政府重大决策和重要工作的部署和贯彻落实。</w:t>
      </w:r>
      <w:r>
        <w:rPr>
          <w:rFonts w:hint="eastAsia" w:ascii="仿宋_GB2312" w:hAnsi="仿宋_GB2312" w:eastAsia="仿宋_GB2312" w:cs="仿宋_GB2312"/>
          <w:sz w:val="32"/>
          <w:szCs w:val="32"/>
          <w:lang w:eastAsia="zh-CN"/>
        </w:rPr>
        <w:t>同时，圆满完成省市交办的</w:t>
      </w:r>
      <w:r>
        <w:rPr>
          <w:rFonts w:hint="eastAsia" w:ascii="仿宋_GB2312" w:hAnsi="仿宋_GB2312" w:eastAsia="仿宋_GB2312" w:cs="仿宋_GB2312"/>
          <w:sz w:val="32"/>
          <w:szCs w:val="32"/>
          <w:lang w:val="en-US" w:eastAsia="zh-CN"/>
        </w:rPr>
        <w:t>16个方面25项</w:t>
      </w:r>
      <w:r>
        <w:rPr>
          <w:rFonts w:hint="eastAsia" w:ascii="仿宋_GB2312" w:hAnsi="仿宋_GB2312" w:eastAsia="仿宋_GB2312" w:cs="仿宋_GB2312"/>
          <w:sz w:val="32"/>
          <w:szCs w:val="32"/>
          <w:lang w:eastAsia="zh-CN"/>
        </w:rPr>
        <w:t>重点民生实事，</w:t>
      </w:r>
      <w:r>
        <w:rPr>
          <w:rFonts w:hint="eastAsia" w:ascii="仿宋_GB2312" w:hAnsi="仿宋_GB2312" w:eastAsia="仿宋_GB2312" w:cs="仿宋_GB2312"/>
          <w:sz w:val="32"/>
          <w:szCs w:val="32"/>
          <w:lang w:val="en-US" w:eastAsia="zh-CN"/>
        </w:rPr>
        <w:t>5个区级人大代表票决制的民生实事项目全部完成或超额完成，</w:t>
      </w:r>
      <w:r>
        <w:rPr>
          <w:rFonts w:hint="eastAsia" w:ascii="仿宋_GB2312" w:hAnsi="仿宋_GB2312" w:eastAsia="仿宋_GB2312" w:cs="仿宋_GB2312"/>
          <w:sz w:val="32"/>
          <w:szCs w:val="32"/>
          <w:lang w:eastAsia="zh-CN"/>
        </w:rPr>
        <w:t>工作成效获得领导一致好评。</w:t>
      </w:r>
    </w:p>
    <w:p>
      <w:pPr>
        <w:pStyle w:val="5"/>
        <w:keepNext w:val="0"/>
        <w:keepLines w:val="0"/>
        <w:pageBreakBefore w:val="0"/>
        <w:kinsoku/>
        <w:wordWrap/>
        <w:overflowPunct/>
        <w:topLinePunct w:val="0"/>
        <w:autoSpaceDE/>
        <w:autoSpaceDN/>
        <w:bidi w:val="0"/>
        <w:adjustRightInd/>
        <w:snapToGrid/>
        <w:spacing w:before="0" w:beforeAutospacing="0" w:after="0" w:afterAutospacing="0" w:line="600" w:lineRule="exact"/>
        <w:ind w:leftChars="0" w:firstLine="642" w:firstLineChars="200"/>
        <w:textAlignment w:val="auto"/>
        <w:rPr>
          <w:rFonts w:hint="default" w:ascii="Times New Roman" w:hAnsi="Times New Roman" w:eastAsia="仿宋_GB2312" w:cs="Times New Roman"/>
          <w:spacing w:val="0"/>
          <w:sz w:val="32"/>
          <w:szCs w:val="32"/>
          <w:lang w:val="en-US" w:eastAsia="zh-CN"/>
        </w:rPr>
      </w:pPr>
      <w:r>
        <w:rPr>
          <w:rFonts w:hint="eastAsia" w:ascii="楷体_GB2312" w:hAnsi="楷体_GB2312" w:eastAsia="楷体_GB2312" w:cs="楷体_GB2312"/>
          <w:b/>
          <w:bCs/>
          <w:color w:val="000000"/>
          <w:spacing w:val="0"/>
          <w:w w:val="100"/>
          <w:kern w:val="2"/>
          <w:position w:val="0"/>
          <w:sz w:val="32"/>
          <w:szCs w:val="32"/>
          <w:u w:val="none"/>
          <w:shd w:val="clear" w:color="auto" w:fill="auto"/>
          <w:lang w:val="en-US" w:eastAsia="zh-CN" w:bidi="zh-CN"/>
        </w:rPr>
        <w:t>4.统筹协调，凝聚工作合力。</w:t>
      </w:r>
      <w:r>
        <w:rPr>
          <w:rFonts w:hint="eastAsia" w:ascii="仿宋_GB2312" w:hAnsi="仿宋_GB2312" w:eastAsia="仿宋_GB2312" w:cs="仿宋_GB2312"/>
          <w:b/>
          <w:bCs w:val="0"/>
          <w:sz w:val="32"/>
          <w:szCs w:val="32"/>
          <w:lang w:val="en-US" w:eastAsia="zh-CN"/>
        </w:rPr>
        <w:t>一是金融工作成效显著。</w:t>
      </w:r>
      <w:r>
        <w:rPr>
          <w:rFonts w:hint="eastAsia" w:ascii="仿宋_GB2312" w:hAnsi="仿宋_GB2312" w:eastAsia="仿宋_GB2312" w:cs="仿宋_GB2312"/>
          <w:b w:val="0"/>
          <w:bCs/>
          <w:sz w:val="32"/>
          <w:szCs w:val="32"/>
          <w:lang w:val="en-US" w:eastAsia="zh-CN"/>
        </w:rPr>
        <w:t>做好防范和处置非法集资工作集中宣传月和进社区、进企业、进机关、进网点、进校园、进村组、进家庭及养老领域等“七进”主题宣传活动常态化工作，全年共宣传50余次。开展涉稳风险排查整治、养老领域督查工作。全年开展风险大排查专项行动11次，切实守护了辖区平安稳定。做好企业服务。共组织2次政银企对接会，申报市上市培育企业资源库企业3家，申报市上市后备企业资源库企业5家。</w:t>
      </w:r>
      <w:r>
        <w:rPr>
          <w:rFonts w:hint="eastAsia" w:ascii="仿宋_GB2312" w:hAnsi="仿宋_GB2312" w:eastAsia="仿宋_GB2312" w:cs="仿宋_GB2312"/>
          <w:b w:val="0"/>
          <w:bCs/>
          <w:color w:val="000000"/>
          <w:sz w:val="32"/>
          <w:szCs w:val="32"/>
          <w:lang w:val="en-US" w:eastAsia="zh-CN"/>
        </w:rPr>
        <w:t>区政府与建行衡阳市分行、农发行衡阳分行签订《战略合作协议》，在“十四五”期间，预计提供250亿元以上意向融资。</w:t>
      </w:r>
      <w:r>
        <w:rPr>
          <w:rFonts w:hint="eastAsia" w:ascii="仿宋_GB2312" w:hAnsi="仿宋_GB2312" w:eastAsia="仿宋_GB2312" w:cs="仿宋_GB2312"/>
          <w:b/>
          <w:bCs w:val="0"/>
          <w:sz w:val="32"/>
          <w:szCs w:val="32"/>
          <w:lang w:val="en-US" w:eastAsia="zh-CN"/>
        </w:rPr>
        <w:t>二是禁毒工作稳步推进。</w:t>
      </w:r>
      <w:r>
        <w:rPr>
          <w:rFonts w:hint="eastAsia" w:ascii="仿宋_GB2312" w:hAnsi="仿宋_GB2312" w:eastAsia="仿宋_GB2312" w:cs="仿宋_GB2312"/>
          <w:b w:val="0"/>
          <w:bCs/>
          <w:sz w:val="32"/>
          <w:szCs w:val="32"/>
          <w:lang w:val="en-US" w:eastAsia="zh-CN"/>
        </w:rPr>
        <w:t>深入推进禁毒人民战争，开展禁毒严打活动，常态化整顿重点场所，扩大禁毒宣传，全面规范社戒社康工作，加强污水验毒和治理。2022年，以“春雷行动”、“百日行动”、“冬春攻势”等专项行动为载体，向涉毒违法犯罪活动频频亮剑，掀起多轮高潮。全年共破获涉毒案件30起，查获吸毒人员129人，强制隔离戒毒35人，刑事拘留58人，移送起诉39人，现有在侦省集群打零目标案件一件。通过严打高压态势有效遏制了毒品违法犯罪扩张态势，切实维护了辖区内的和谐稳定。</w:t>
      </w:r>
      <w:r>
        <w:rPr>
          <w:rFonts w:hint="eastAsia" w:ascii="仿宋_GB2312" w:hAnsi="仿宋_GB2312" w:eastAsia="仿宋_GB2312" w:cs="仿宋_GB2312"/>
          <w:b/>
          <w:bCs w:val="0"/>
          <w:sz w:val="32"/>
          <w:szCs w:val="32"/>
          <w:lang w:val="en-US" w:eastAsia="zh-CN"/>
        </w:rPr>
        <w:t>三是巩固拓展脱贫攻坚成果同乡村振兴有效衔接工作有序开展。</w:t>
      </w:r>
      <w:r>
        <w:rPr>
          <w:rFonts w:hint="eastAsia" w:ascii="仿宋_GB2312" w:hAnsi="仿宋_GB2312" w:eastAsia="仿宋_GB2312" w:cs="仿宋_GB2312"/>
          <w:b w:val="0"/>
          <w:bCs/>
          <w:sz w:val="32"/>
          <w:szCs w:val="32"/>
          <w:lang w:val="en-US" w:eastAsia="zh-CN"/>
        </w:rPr>
        <w:t>扎实做好联点帮扶村东阳渡街道光辉村的脱贫攻坚成果与乡村振兴的有效衔接工作。加强统筹协调，研究部署乡村振兴工作，帮助解决实际困难和问题，多次召开专题会议研究部署帮扶和乡村振兴工作，抓好防贫返贫监测、着力推动产业发展。积极响应疫情期间各项防控措施，及时参与联系村的疫情防控工作，保障人民群众生命安全。</w:t>
      </w:r>
      <w:r>
        <w:rPr>
          <w:rFonts w:hint="eastAsia" w:ascii="仿宋_GB2312" w:hAnsi="仿宋_GB2312" w:eastAsia="仿宋_GB2312" w:cs="仿宋_GB2312"/>
          <w:b/>
          <w:bCs w:val="0"/>
          <w:sz w:val="32"/>
          <w:szCs w:val="32"/>
          <w:lang w:val="en-US" w:eastAsia="zh-CN"/>
        </w:rPr>
        <w:t>四是应急值守全面加强。</w:t>
      </w:r>
      <w:r>
        <w:rPr>
          <w:rFonts w:hint="eastAsia" w:ascii="仿宋_GB2312" w:hAnsi="仿宋_GB2312" w:eastAsia="仿宋_GB2312" w:cs="仿宋_GB2312"/>
          <w:b w:val="0"/>
          <w:bCs/>
          <w:sz w:val="32"/>
          <w:szCs w:val="32"/>
          <w:lang w:val="en-US" w:eastAsia="zh-CN"/>
        </w:rPr>
        <w:t>积极做好值班值守工作，严格执行领导带班、24小时值守等规定，区政府办公室领导带头轮流在节假日、汛期、维稳期、疫情特护期、二十大特护期、突发事件期间的值班工作，昼夜值守，不离岗、不脱岗，随时掌握情况，确保来电有人接、有事有人办、紧急信息随时研判、准确报送，及时落实领导交办事项。</w:t>
      </w:r>
      <w:r>
        <w:rPr>
          <w:rFonts w:hint="eastAsia" w:ascii="仿宋_GB2312" w:hAnsi="仿宋_GB2312" w:eastAsia="仿宋_GB2312" w:cs="仿宋_GB2312"/>
          <w:b/>
          <w:bCs w:val="0"/>
          <w:sz w:val="32"/>
          <w:szCs w:val="32"/>
          <w:lang w:val="en-US" w:eastAsia="zh-CN"/>
        </w:rPr>
        <w:t>五是建议提案扎实办理。</w:t>
      </w:r>
      <w:r>
        <w:rPr>
          <w:rFonts w:hint="eastAsia" w:ascii="仿宋_GB2312" w:hAnsi="仿宋_GB2312" w:eastAsia="仿宋_GB2312" w:cs="仿宋_GB2312"/>
          <w:b w:val="0"/>
          <w:bCs/>
          <w:sz w:val="32"/>
          <w:szCs w:val="32"/>
          <w:lang w:val="en-US" w:eastAsia="zh-CN"/>
        </w:rPr>
        <w:t>切实增强人大、政协监督意识，全力抓好区人大、区政协建议、提案督办。</w:t>
      </w:r>
      <w:r>
        <w:rPr>
          <w:rFonts w:hint="eastAsia" w:ascii="仿宋_GB2312" w:hAnsi="仿宋_GB2312" w:eastAsia="仿宋_GB2312" w:cs="仿宋_GB2312"/>
          <w:b w:val="0"/>
          <w:bCs/>
          <w:color w:val="auto"/>
          <w:sz w:val="32"/>
          <w:szCs w:val="32"/>
          <w:lang w:val="en-US" w:eastAsia="zh-CN"/>
        </w:rPr>
        <w:t>全年办理市区两级人大代表建议80件、政协委员提案74件，</w:t>
      </w:r>
      <w:r>
        <w:rPr>
          <w:rFonts w:hint="eastAsia" w:ascii="仿宋_GB2312" w:hAnsi="仿宋_GB2312" w:eastAsia="仿宋_GB2312" w:cs="仿宋_GB2312"/>
          <w:b w:val="0"/>
          <w:bCs/>
          <w:sz w:val="32"/>
          <w:szCs w:val="32"/>
          <w:lang w:val="en-US" w:eastAsia="zh-CN"/>
        </w:rPr>
        <w:t>对每位代表所提的建议进行了逐一回复、逐一办理，办结率、答复率、满意率均为100%。</w:t>
      </w:r>
      <w:r>
        <w:rPr>
          <w:rFonts w:hint="eastAsia" w:ascii="仿宋_GB2312" w:hAnsi="仿宋_GB2312" w:eastAsia="仿宋_GB2312" w:cs="仿宋_GB2312"/>
          <w:b/>
          <w:bCs w:val="0"/>
          <w:sz w:val="32"/>
          <w:szCs w:val="32"/>
          <w:lang w:val="en-US" w:eastAsia="zh-CN"/>
        </w:rPr>
        <w:t>六是落实区政府领导联系联线工作。</w:t>
      </w:r>
      <w:r>
        <w:rPr>
          <w:rFonts w:hint="eastAsia" w:ascii="仿宋_GB2312" w:hAnsi="仿宋_GB2312" w:eastAsia="仿宋_GB2312" w:cs="仿宋_GB2312"/>
          <w:b w:val="0"/>
          <w:bCs/>
          <w:sz w:val="32"/>
          <w:szCs w:val="32"/>
          <w:lang w:val="en-US" w:eastAsia="zh-CN"/>
        </w:rPr>
        <w:t>明确全办干部职工分工，跟踪落实好区政府领导联系单位和行业的相关业务工作以及信访维稳工作，确保各分线领域工作顺利开展，确保区委、区政府决策部署及时得到贯彻落实。全办全年共组织召开各类业务会议及调研300余次，完成领导讲话材料及上报材料等2000余篇，接待处置信访200余次。</w:t>
      </w:r>
    </w:p>
    <w:p>
      <w:pPr>
        <w:pStyle w:val="12"/>
        <w:keepNext w:val="0"/>
        <w:keepLines w:val="0"/>
        <w:pageBreakBefore w:val="0"/>
        <w:widowControl w:val="0"/>
        <w:numPr>
          <w:ilvl w:val="0"/>
          <w:numId w:val="0"/>
        </w:numPr>
        <w:shd w:val="clear" w:color="auto" w:fill="auto"/>
        <w:tabs>
          <w:tab w:val="left" w:pos="867"/>
        </w:tabs>
        <w:kinsoku/>
        <w:wordWrap/>
        <w:overflowPunct/>
        <w:topLinePunct w:val="0"/>
        <w:autoSpaceDE/>
        <w:autoSpaceDN/>
        <w:bidi w:val="0"/>
        <w:adjustRightInd/>
        <w:snapToGrid/>
        <w:spacing w:before="0" w:line="600" w:lineRule="exact"/>
        <w:ind w:leftChars="0" w:right="0" w:rightChars="0" w:firstLine="640" w:firstLineChars="200"/>
        <w:jc w:val="both"/>
        <w:textAlignment w:val="auto"/>
        <w:rPr>
          <w:rFonts w:hint="eastAsia" w:ascii="黑体" w:hAnsi="黑体" w:eastAsia="黑体" w:cs="黑体"/>
          <w:b w:val="0"/>
          <w:bCs w:val="0"/>
          <w:color w:val="000000"/>
          <w:spacing w:val="0"/>
          <w:w w:val="100"/>
          <w:position w:val="0"/>
          <w:sz w:val="32"/>
          <w:szCs w:val="32"/>
          <w:lang w:eastAsia="zh-CN"/>
        </w:rPr>
      </w:pPr>
      <w:r>
        <w:rPr>
          <w:rFonts w:hint="eastAsia" w:ascii="黑体" w:hAnsi="黑体" w:eastAsia="黑体" w:cs="黑体"/>
          <w:b w:val="0"/>
          <w:bCs w:val="0"/>
          <w:color w:val="000000"/>
          <w:spacing w:val="0"/>
          <w:w w:val="100"/>
          <w:position w:val="0"/>
          <w:sz w:val="32"/>
          <w:szCs w:val="32"/>
          <w:lang w:eastAsia="zh-CN"/>
        </w:rPr>
        <w:t>六、存在的主要问题</w:t>
      </w:r>
    </w:p>
    <w:p>
      <w:pPr>
        <w:pStyle w:val="12"/>
        <w:keepNext w:val="0"/>
        <w:keepLines w:val="0"/>
        <w:pageBreakBefore w:val="0"/>
        <w:widowControl w:val="0"/>
        <w:numPr>
          <w:ilvl w:val="0"/>
          <w:numId w:val="0"/>
        </w:numPr>
        <w:shd w:val="clear" w:color="auto" w:fill="auto"/>
        <w:tabs>
          <w:tab w:val="left" w:pos="886"/>
        </w:tabs>
        <w:kinsoku/>
        <w:wordWrap/>
        <w:overflowPunct/>
        <w:topLinePunct w:val="0"/>
        <w:autoSpaceDE/>
        <w:autoSpaceDN/>
        <w:bidi w:val="0"/>
        <w:adjustRightInd/>
        <w:snapToGrid/>
        <w:spacing w:before="0" w:line="600" w:lineRule="exact"/>
        <w:ind w:leftChars="0" w:right="0" w:rightChars="0" w:firstLine="640" w:firstLineChars="200"/>
        <w:jc w:val="both"/>
        <w:textAlignment w:val="auto"/>
        <w:rPr>
          <w:rFonts w:hint="eastAsia" w:ascii="仿宋_GB2312" w:hAnsi="仿宋_GB2312" w:eastAsia="仿宋_GB2312" w:cs="Times New Roman"/>
          <w:color w:val="000000" w:themeColor="text1"/>
          <w:sz w:val="32"/>
          <w:szCs w:val="32"/>
          <w:lang w:val="en-US" w:eastAsia="zh-CN"/>
          <w14:textFill>
            <w14:solidFill>
              <w14:schemeClr w14:val="tx1"/>
            </w14:solidFill>
          </w14:textFill>
        </w:rPr>
      </w:pPr>
      <w:r>
        <w:rPr>
          <w:rFonts w:hint="eastAsia" w:ascii="仿宋_GB2312" w:hAnsi="仿宋_GB2312" w:eastAsia="仿宋_GB2312" w:cs="Times New Roman"/>
          <w:color w:val="000000" w:themeColor="text1"/>
          <w:sz w:val="32"/>
          <w:szCs w:val="32"/>
          <w:lang w:val="en-US" w:eastAsia="zh-CN"/>
          <w14:textFill>
            <w14:solidFill>
              <w14:schemeClr w14:val="tx1"/>
            </w14:solidFill>
          </w14:textFill>
        </w:rPr>
        <w:t>内控制度需进一步完善，建立健全了财务管理制度、固定资产管理制度，但仍需进一步强化财务约束监督体制。</w:t>
      </w:r>
    </w:p>
    <w:p>
      <w:pPr>
        <w:pStyle w:val="12"/>
        <w:keepNext w:val="0"/>
        <w:keepLines w:val="0"/>
        <w:pageBreakBefore w:val="0"/>
        <w:widowControl w:val="0"/>
        <w:numPr>
          <w:ilvl w:val="0"/>
          <w:numId w:val="0"/>
        </w:numPr>
        <w:shd w:val="clear" w:color="auto" w:fill="auto"/>
        <w:tabs>
          <w:tab w:val="left" w:pos="867"/>
        </w:tabs>
        <w:kinsoku/>
        <w:wordWrap/>
        <w:overflowPunct/>
        <w:topLinePunct w:val="0"/>
        <w:autoSpaceDE/>
        <w:autoSpaceDN/>
        <w:bidi w:val="0"/>
        <w:adjustRightInd/>
        <w:snapToGrid/>
        <w:spacing w:before="0" w:line="600" w:lineRule="exact"/>
        <w:ind w:leftChars="0" w:right="0" w:rightChars="0" w:firstLine="640" w:firstLineChars="200"/>
        <w:jc w:val="both"/>
        <w:textAlignment w:val="auto"/>
        <w:rPr>
          <w:rFonts w:hint="eastAsia" w:ascii="黑体" w:hAnsi="黑体" w:eastAsia="黑体" w:cs="黑体"/>
          <w:b w:val="0"/>
          <w:bCs w:val="0"/>
          <w:color w:val="000000"/>
          <w:spacing w:val="0"/>
          <w:w w:val="100"/>
          <w:position w:val="0"/>
          <w:sz w:val="32"/>
          <w:szCs w:val="32"/>
          <w:lang w:eastAsia="zh-CN"/>
        </w:rPr>
      </w:pPr>
      <w:r>
        <w:rPr>
          <w:rFonts w:hint="eastAsia" w:ascii="黑体" w:hAnsi="黑体" w:eastAsia="黑体" w:cs="黑体"/>
          <w:b w:val="0"/>
          <w:bCs w:val="0"/>
          <w:color w:val="000000"/>
          <w:spacing w:val="0"/>
          <w:w w:val="100"/>
          <w:position w:val="0"/>
          <w:sz w:val="32"/>
          <w:szCs w:val="32"/>
          <w:lang w:eastAsia="zh-CN"/>
        </w:rPr>
        <w:t>七、改进措施和有关建议</w:t>
      </w:r>
    </w:p>
    <w:p>
      <w:pPr>
        <w:pStyle w:val="2"/>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1.科学合理编制预算，严格执行预算。进一步提高预算编制到位率，做准做全基本支出预算，做全项目支出预算，加强预算支出的审核、跟踪及预算执行情况分析，提高预算编制严谨性和可控性。</w:t>
      </w:r>
    </w:p>
    <w:p>
      <w:pPr>
        <w:pStyle w:val="2"/>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2.进一步加强项目资金管理。严格实行项目管理程序化，实现项目申报、实施、拨付、评价全流程监督与控制，规范专项资金管理，提高专项资金的使用效益。</w:t>
      </w:r>
    </w:p>
    <w:p>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jc w:val="both"/>
        <w:textAlignment w:val="auto"/>
        <w:rPr>
          <w:rFonts w:hint="eastAsia" w:ascii="宋体" w:hAnsi="宋体" w:eastAsia="宋体" w:cs="宋体"/>
          <w:sz w:val="18"/>
          <w:szCs w:val="18"/>
          <w:lang w:eastAsia="zh-CN"/>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3.进一步完善内部管理制度，提升管理效能。</w:t>
      </w:r>
    </w:p>
    <w:p/>
    <w:sectPr>
      <w:footerReference r:id="rId3" w:type="default"/>
      <w:pgSz w:w="11906" w:h="16838"/>
      <w:pgMar w:top="1383" w:right="1417" w:bottom="1270" w:left="1417"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Arial Unicode MS">
    <w:altName w:val="Nimbus Roman No9 L"/>
    <w:panose1 w:val="020B0604020202020204"/>
    <w:charset w:val="86"/>
    <w:family w:val="swiss"/>
    <w:pitch w:val="default"/>
    <w:sig w:usb0="00000000" w:usb1="00000000" w:usb2="0000003F" w:usb3="00000000" w:csb0="603F01FF" w:csb1="FFFF0000"/>
  </w:font>
  <w:font w:name="方正小标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altName w:val="黑体"/>
    <w:panose1 w:val="00000000000000000000"/>
    <w:charset w:val="00"/>
    <w:family w:val="auto"/>
    <w:pitch w:val="default"/>
    <w:sig w:usb0="00000000" w:usb1="00000000" w:usb2="00000000" w:usb3="00000000" w:csb0="0000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altName w:val="汉仪中宋简"/>
    <w:panose1 w:val="02010600040101010101"/>
    <w:charset w:val="86"/>
    <w:family w:val="auto"/>
    <w:pitch w:val="default"/>
    <w:sig w:usb0="00000000" w:usb1="00000000" w:usb2="00000000" w:usb3="00000000" w:csb0="0004009F" w:csb1="DFD7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9dBt2NwIAAG8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MUB0szDAREp96dEK7b4d+OxNcQZNZ/o58ZZvapSyZT48MIfBQPl4OuEeSykNUprBoqQy&#10;7su/zmM8+gUvJQ0GLaca74oS+V6jjwAMo+FGYz8a+qjuDCYXvUEtnYkLLsjRLJ1Rn/GeVjEHXExz&#10;ZMppGM270A873iMXq1UXdLSuPlT9BUyhZWGrd5bHNFEqb1fHAGk7xaNAvSroVNxgDrueDW8mDvqf&#10;+y7q8T+x/A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0MTQ0MWM2ZTBjN2NkNGMwNTgzMmJjZDY0ZmZiOGIifQ=="/>
  </w:docVars>
  <w:rsids>
    <w:rsidRoot w:val="00000000"/>
    <w:rsid w:val="0C77765A"/>
    <w:rsid w:val="1A0B2E3F"/>
    <w:rsid w:val="1C0B1F5C"/>
    <w:rsid w:val="1FEBCE15"/>
    <w:rsid w:val="24650CAD"/>
    <w:rsid w:val="49892887"/>
    <w:rsid w:val="55755470"/>
    <w:rsid w:val="72E40307"/>
    <w:rsid w:val="7DEFBB44"/>
    <w:rsid w:val="DC5FE3FD"/>
    <w:rsid w:val="FFE5D8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5">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rPr>
      <w:rFonts w:eastAsia="Arial Unicode MS"/>
    </w:rPr>
  </w:style>
  <w:style w:type="paragraph" w:styleId="3">
    <w:name w:val="toc 5"/>
    <w:basedOn w:val="1"/>
    <w:next w:val="1"/>
    <w:qFormat/>
    <w:uiPriority w:val="0"/>
    <w:pPr>
      <w:ind w:left="1680" w:leftChars="800"/>
    </w:pPr>
  </w:style>
  <w:style w:type="paragraph" w:styleId="6">
    <w:name w:val="footer"/>
    <w:basedOn w:val="1"/>
    <w:qFormat/>
    <w:uiPriority w:val="0"/>
    <w:pPr>
      <w:tabs>
        <w:tab w:val="center" w:pos="4153"/>
        <w:tab w:val="right" w:pos="8306"/>
      </w:tabs>
      <w:snapToGrid w:val="0"/>
      <w:jc w:val="left"/>
    </w:pPr>
    <w:rPr>
      <w:sz w:val="18"/>
    </w:rPr>
  </w:style>
  <w:style w:type="paragraph" w:styleId="7">
    <w:name w:val="toc 1"/>
    <w:basedOn w:val="1"/>
    <w:next w:val="1"/>
    <w:qFormat/>
    <w:uiPriority w:val="0"/>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rPr>
  </w:style>
  <w:style w:type="paragraph" w:customStyle="1" w:styleId="12">
    <w:name w:val="Body text|1"/>
    <w:basedOn w:val="1"/>
    <w:qFormat/>
    <w:uiPriority w:val="0"/>
    <w:pPr>
      <w:widowControl w:val="0"/>
      <w:shd w:val="clear" w:color="auto" w:fill="auto"/>
      <w:spacing w:line="408" w:lineRule="auto"/>
      <w:ind w:firstLine="400"/>
    </w:pPr>
    <w:rPr>
      <w:rFonts w:ascii="宋体" w:hAnsi="宋体" w:eastAsia="宋体" w:cs="宋体"/>
      <w:sz w:val="19"/>
      <w:szCs w:val="19"/>
      <w:u w:val="none"/>
      <w:shd w:val="clear" w:color="auto" w:fill="auto"/>
      <w:lang w:val="zh-CN" w:eastAsia="zh-CN" w:bidi="zh-CN"/>
    </w:rPr>
  </w:style>
  <w:style w:type="paragraph" w:customStyle="1" w:styleId="13">
    <w:name w:val="Body text|3"/>
    <w:basedOn w:val="1"/>
    <w:qFormat/>
    <w:uiPriority w:val="0"/>
    <w:pPr>
      <w:widowControl w:val="0"/>
      <w:shd w:val="clear" w:color="auto" w:fill="auto"/>
      <w:spacing w:before="220" w:after="720"/>
      <w:ind w:firstLine="520"/>
    </w:pPr>
    <w:rPr>
      <w:sz w:val="32"/>
      <w:szCs w:val="32"/>
      <w:u w:val="none"/>
      <w:shd w:val="clear" w:color="auto" w:fill="auto"/>
    </w:rPr>
  </w:style>
  <w:style w:type="paragraph" w:customStyle="1" w:styleId="14">
    <w:name w:val="Other|1"/>
    <w:basedOn w:val="1"/>
    <w:qFormat/>
    <w:uiPriority w:val="0"/>
    <w:pPr>
      <w:widowControl w:val="0"/>
      <w:shd w:val="clear" w:color="auto" w:fill="auto"/>
      <w:spacing w:line="302" w:lineRule="exact"/>
    </w:pPr>
    <w:rPr>
      <w:rFonts w:ascii="宋体" w:hAnsi="宋体" w:eastAsia="宋体" w:cs="宋体"/>
      <w:sz w:val="19"/>
      <w:szCs w:val="19"/>
      <w:u w:val="none"/>
      <w:shd w:val="clear" w:color="auto" w:fill="auto"/>
      <w:lang w:val="zh-CN" w:eastAsia="zh-CN" w:bidi="zh-CN"/>
    </w:rPr>
  </w:style>
  <w:style w:type="paragraph" w:customStyle="1" w:styleId="15">
    <w:name w:val="Body text|4"/>
    <w:basedOn w:val="1"/>
    <w:qFormat/>
    <w:uiPriority w:val="0"/>
    <w:pPr>
      <w:widowControl w:val="0"/>
      <w:shd w:val="clear" w:color="auto" w:fill="auto"/>
      <w:spacing w:after="60"/>
      <w:ind w:firstLine="320"/>
    </w:pPr>
    <w:rPr>
      <w:rFonts w:ascii="宋体" w:hAnsi="宋体" w:eastAsia="宋体" w:cs="宋体"/>
      <w:u w:val="none"/>
      <w:shd w:val="clear" w:color="auto" w:fill="auto"/>
      <w:lang w:val="zh-CN" w:eastAsia="zh-CN" w:bidi="zh-CN"/>
    </w:rPr>
  </w:style>
  <w:style w:type="paragraph" w:customStyle="1" w:styleId="16">
    <w:name w:val="Table caption|1"/>
    <w:basedOn w:val="1"/>
    <w:qFormat/>
    <w:uiPriority w:val="0"/>
    <w:pPr>
      <w:widowControl w:val="0"/>
      <w:shd w:val="clear" w:color="auto" w:fill="auto"/>
      <w:spacing w:line="302" w:lineRule="exact"/>
      <w:jc w:val="right"/>
    </w:pPr>
    <w:rPr>
      <w:rFonts w:ascii="宋体" w:hAnsi="宋体" w:eastAsia="宋体" w:cs="宋体"/>
      <w:sz w:val="19"/>
      <w:szCs w:val="19"/>
      <w:u w:val="none"/>
      <w:shd w:val="clear" w:color="auto" w:fill="auto"/>
      <w:lang w:val="zh-CN" w:eastAsia="zh-CN" w:bidi="zh-CN"/>
    </w:rPr>
  </w:style>
  <w:style w:type="paragraph" w:customStyle="1" w:styleId="17">
    <w:name w:val="Body text|2"/>
    <w:basedOn w:val="1"/>
    <w:qFormat/>
    <w:uiPriority w:val="0"/>
    <w:pPr>
      <w:widowControl w:val="0"/>
      <w:shd w:val="clear" w:color="auto" w:fill="auto"/>
      <w:spacing w:after="470"/>
    </w:pPr>
    <w:rPr>
      <w:b/>
      <w:bCs/>
      <w:sz w:val="19"/>
      <w:szCs w:val="19"/>
      <w:u w:val="none"/>
      <w:shd w:val="clear" w:color="auto" w:fill="auto"/>
      <w:lang w:val="zh-CN" w:eastAsia="zh-CN" w:bidi="zh-CN"/>
    </w:rPr>
  </w:style>
  <w:style w:type="paragraph" w:customStyle="1" w:styleId="18">
    <w:name w:val="Heading #2|1"/>
    <w:basedOn w:val="1"/>
    <w:qFormat/>
    <w:uiPriority w:val="0"/>
    <w:pPr>
      <w:widowControl w:val="0"/>
      <w:shd w:val="clear" w:color="auto" w:fill="auto"/>
      <w:spacing w:after="300"/>
      <w:jc w:val="center"/>
      <w:outlineLvl w:val="1"/>
    </w:pPr>
    <w:rPr>
      <w:rFonts w:ascii="宋体" w:hAnsi="宋体" w:eastAsia="宋体" w:cs="宋体"/>
      <w:sz w:val="44"/>
      <w:szCs w:val="44"/>
      <w:u w:val="none"/>
      <w:shd w:val="clear" w:color="auto" w:fill="auto"/>
      <w:lang w:val="zh-CN" w:eastAsia="zh-CN" w:bidi="zh-CN"/>
    </w:rPr>
  </w:style>
  <w:style w:type="paragraph" w:customStyle="1" w:styleId="19">
    <w:name w:val="Header or footer|2"/>
    <w:basedOn w:val="1"/>
    <w:qFormat/>
    <w:uiPriority w:val="0"/>
    <w:pPr>
      <w:widowControl w:val="0"/>
      <w:shd w:val="clear" w:color="auto" w:fill="auto"/>
    </w:pPr>
    <w:rPr>
      <w:sz w:val="20"/>
      <w:szCs w:val="20"/>
      <w:u w:val="none"/>
      <w:shd w:val="clear" w:color="auto" w:fill="auto"/>
      <w:lang w:val="zh-CN" w:eastAsia="zh-CN" w:bidi="zh-CN"/>
    </w:rPr>
  </w:style>
  <w:style w:type="paragraph" w:customStyle="1" w:styleId="20">
    <w:name w:val="正文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5503</Words>
  <Characters>5723</Characters>
  <Lines>0</Lines>
  <Paragraphs>0</Paragraphs>
  <TotalTime>9</TotalTime>
  <ScaleCrop>false</ScaleCrop>
  <LinksUpToDate>false</LinksUpToDate>
  <CharactersWithSpaces>5876</CharactersWithSpaces>
  <Application>WPS Office_11.8.2.1118_F1E327BC-269C-435d-A152-05C5408002CA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2023-06-27T02:14:00Z</dcterms:created>
  <dc:creator>Administrator</dc:creator>
  <cp:lastModifiedBy>kylin</cp:lastModifiedBy>
  <dcterms:modified xsi:type="dcterms:W3CDTF">2023-12-05T11:25:32Z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2052-11.8.2.1118</vt:lpwstr>
  </property>
  <property fmtid="{D5CDD505-2E9C-101B-9397-08002B2CF9AE}" pid="3" name="ICV">
    <vt:lpwstr>8139CE415751686B7620C264E9898DFF</vt:lpwstr>
  </property>
</Properties>
</file>