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keepLines/>
        <w:pageBreakBefore w:val="0"/>
        <w:widowControl w:val="0"/>
        <w:kinsoku/>
        <w:wordWrap/>
        <w:overflowPunct/>
        <w:topLinePunct w:val="0"/>
        <w:autoSpaceDE/>
        <w:autoSpaceDN/>
        <w:bidi w:val="0"/>
        <w:adjustRightInd/>
        <w:snapToGrid/>
        <w:spacing w:after="260" w:line="560" w:lineRule="exact"/>
        <w:textAlignment w:val="auto"/>
        <w:rPr>
          <w:rFonts w:hint="eastAsia" w:ascii="方正小标宋简体" w:hAnsi="方正小标宋简体" w:eastAsia="方正小标宋简体" w:cs="方正小标宋简体"/>
          <w:b w:val="0"/>
          <w:bCs w:val="0"/>
          <w:color w:val="000000" w:themeColor="text1"/>
          <w:lang w:val="en-US"/>
        </w:rPr>
      </w:pPr>
      <w:bookmarkStart w:id="0" w:name="bookmark89"/>
      <w:bookmarkStart w:id="1" w:name="bookmark88"/>
      <w:bookmarkStart w:id="2" w:name="bookmark90"/>
      <w:bookmarkStart w:id="3" w:name="bookmark91"/>
      <w:r>
        <w:rPr>
          <w:rFonts w:hint="eastAsia" w:ascii="方正小标宋简体" w:hAnsi="方正小标宋简体" w:eastAsia="方正小标宋简体" w:cs="方正小标宋简体"/>
          <w:b w:val="0"/>
          <w:bCs w:val="0"/>
          <w:color w:val="000000" w:themeColor="text1"/>
          <w:lang w:val="en-US"/>
        </w:rPr>
        <w:t>区委编办部门整体支出绩效报告</w:t>
      </w:r>
      <w:bookmarkEnd w:id="0"/>
      <w:bookmarkEnd w:id="1"/>
      <w:bookmarkEnd w:id="2"/>
    </w:p>
    <w:p>
      <w:pPr>
        <w:pStyle w:val="22"/>
        <w:keepNext/>
        <w:keepLines/>
        <w:pageBreakBefore w:val="0"/>
        <w:widowControl w:val="0"/>
        <w:kinsoku/>
        <w:wordWrap/>
        <w:overflowPunct/>
        <w:topLinePunct w:val="0"/>
        <w:autoSpaceDE/>
        <w:autoSpaceDN/>
        <w:bidi w:val="0"/>
        <w:adjustRightInd/>
        <w:snapToGrid/>
        <w:spacing w:after="260" w:line="320" w:lineRule="exact"/>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中共珠晖区委机构编制委员会办公室</w:t>
      </w:r>
    </w:p>
    <w:p>
      <w:pPr>
        <w:pStyle w:val="21"/>
        <w:pageBreakBefore w:val="0"/>
        <w:tabs>
          <w:tab w:val="left" w:pos="867"/>
        </w:tabs>
        <w:kinsoku/>
        <w:wordWrap/>
        <w:overflowPunct/>
        <w:topLinePunct w:val="0"/>
        <w:autoSpaceDE/>
        <w:autoSpaceDN/>
        <w:bidi w:val="0"/>
        <w:adjustRightInd/>
        <w:spacing w:line="560" w:lineRule="exact"/>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w:t>
      </w:r>
      <w:bookmarkEnd w:id="3"/>
      <w:r>
        <w:rPr>
          <w:rFonts w:hint="eastAsia" w:ascii="黑体" w:hAnsi="黑体" w:eastAsia="黑体" w:cs="黑体"/>
          <w:color w:val="000000" w:themeColor="text1"/>
          <w:sz w:val="32"/>
          <w:szCs w:val="32"/>
        </w:rPr>
        <w:t>、部门概况</w:t>
      </w:r>
    </w:p>
    <w:p>
      <w:pPr>
        <w:pStyle w:val="21"/>
        <w:pageBreakBefore w:val="0"/>
        <w:tabs>
          <w:tab w:val="left" w:pos="1113"/>
        </w:tabs>
        <w:kinsoku/>
        <w:wordWrap/>
        <w:overflowPunct/>
        <w:topLinePunct w:val="0"/>
        <w:autoSpaceDE/>
        <w:autoSpaceDN/>
        <w:bidi w:val="0"/>
        <w:adjustRightInd/>
        <w:spacing w:line="560" w:lineRule="exact"/>
        <w:ind w:firstLine="500"/>
        <w:textAlignment w:val="auto"/>
        <w:rPr>
          <w:rFonts w:ascii="楷体" w:hAnsi="楷体" w:eastAsia="楷体" w:cs="楷体"/>
          <w:b/>
          <w:bCs/>
          <w:color w:val="000000" w:themeColor="text1"/>
          <w:sz w:val="32"/>
          <w:szCs w:val="32"/>
        </w:rPr>
      </w:pPr>
      <w:bookmarkStart w:id="4" w:name="bookmark92"/>
      <w:r>
        <w:rPr>
          <w:rFonts w:hint="eastAsia" w:ascii="楷体" w:hAnsi="楷体" w:eastAsia="楷体" w:cs="楷体"/>
          <w:b/>
          <w:bCs/>
          <w:color w:val="000000" w:themeColor="text1"/>
          <w:sz w:val="32"/>
          <w:szCs w:val="32"/>
        </w:rPr>
        <w:t>（</w:t>
      </w:r>
      <w:bookmarkEnd w:id="4"/>
      <w:r>
        <w:rPr>
          <w:rFonts w:hint="eastAsia" w:ascii="楷体" w:hAnsi="楷体" w:eastAsia="楷体" w:cs="楷体"/>
          <w:b/>
          <w:bCs/>
          <w:color w:val="000000" w:themeColor="text1"/>
          <w:sz w:val="32"/>
          <w:szCs w:val="32"/>
        </w:rPr>
        <w:t>一）部门基本情况</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1.机构设置。</w:t>
      </w:r>
    </w:p>
    <w:p>
      <w:pPr>
        <w:pageBreakBefore w:val="0"/>
        <w:kinsoku/>
        <w:wordWrap/>
        <w:overflowPunct/>
        <w:topLinePunct w:val="0"/>
        <w:autoSpaceDE/>
        <w:autoSpaceDN/>
        <w:bidi w:val="0"/>
        <w:adjustRightInd/>
        <w:snapToGrid w:val="0"/>
        <w:spacing w:line="560" w:lineRule="exact"/>
        <w:ind w:firstLine="64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根据区委对区委编办机构设置的规定，内设机构分别为办公室、综合业务股、事业单位登记管理股</w:t>
      </w:r>
      <w:r>
        <w:rPr>
          <w:rFonts w:hint="eastAsia" w:ascii="仿宋_GB2312" w:hAnsi="仿宋_GB2312" w:eastAsia="仿宋_GB2312" w:cs="仿宋_GB2312"/>
          <w:color w:val="000000" w:themeColor="text1"/>
          <w:sz w:val="32"/>
          <w:szCs w:val="32"/>
        </w:rPr>
        <w:t>（珠晖区事业单位登记管理局）</w:t>
      </w:r>
      <w:r>
        <w:rPr>
          <w:rFonts w:hint="eastAsia" w:ascii="仿宋_GB2312" w:hAnsi="仿宋_GB2312" w:eastAsia="仿宋_GB2312" w:cs="仿宋_GB2312"/>
          <w:color w:val="000000" w:themeColor="text1"/>
          <w:kern w:val="0"/>
          <w:sz w:val="32"/>
          <w:szCs w:val="32"/>
        </w:rPr>
        <w:t>、监督检查法规股。</w:t>
      </w:r>
    </w:p>
    <w:p>
      <w:pPr>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决算单位构成包括：单位本级。</w:t>
      </w:r>
    </w:p>
    <w:p>
      <w:pPr>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lang w:val="en-US" w:eastAsia="zh-CN"/>
        </w:rPr>
        <w:t>2.</w:t>
      </w:r>
      <w:r>
        <w:rPr>
          <w:rFonts w:hint="eastAsia" w:ascii="仿宋_GB2312" w:hAnsi="仿宋_GB2312" w:eastAsia="仿宋_GB2312" w:cs="仿宋_GB2312"/>
          <w:b/>
          <w:bCs/>
          <w:color w:val="000000" w:themeColor="text1"/>
          <w:kern w:val="0"/>
          <w:sz w:val="32"/>
          <w:szCs w:val="32"/>
        </w:rPr>
        <w:t>职能职责。</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color w:val="000000" w:themeColor="text1"/>
        </w:rPr>
      </w:pPr>
      <w:r>
        <w:rPr>
          <w:rFonts w:hint="eastAsia" w:ascii="仿宋_GB2312" w:hAnsi="仿宋_GB2312" w:eastAsia="仿宋_GB2312" w:cs="仿宋_GB2312"/>
          <w:color w:val="000000" w:themeColor="text1"/>
          <w:sz w:val="32"/>
          <w:szCs w:val="32"/>
        </w:rPr>
        <w:t>中共珠晖区委机构编制委员会办公室是区委的工作机关，正科级，为区委机构编制委员会的办事机构，加挂“珠晖区事业单位登记管理局”牌子，归口中共珠晖区委组织部管理。负责全区行政管理体制、机构改革和机构编制管理、事业单位登记管理、全区机关事业单位统一社会信用代码赋码工作等，发挥党的参谋助手作用。</w:t>
      </w:r>
    </w:p>
    <w:p>
      <w:pPr>
        <w:pStyle w:val="21"/>
        <w:pageBreakBefore w:val="0"/>
        <w:tabs>
          <w:tab w:val="left" w:pos="1113"/>
        </w:tabs>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kern w:val="0"/>
          <w:sz w:val="32"/>
          <w:szCs w:val="32"/>
          <w:lang w:val="en-US" w:bidi="ar-SA"/>
        </w:rPr>
      </w:pPr>
      <w:r>
        <w:rPr>
          <w:rFonts w:hint="eastAsia" w:ascii="仿宋_GB2312" w:hAnsi="仿宋_GB2312" w:eastAsia="仿宋_GB2312" w:cs="仿宋_GB2312"/>
          <w:b/>
          <w:bCs/>
          <w:color w:val="000000" w:themeColor="text1"/>
          <w:kern w:val="0"/>
          <w:sz w:val="32"/>
          <w:szCs w:val="32"/>
          <w:lang w:val="en-US" w:bidi="ar-SA"/>
        </w:rPr>
        <w:t>3.重点工作。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Cs/>
          <w:color w:val="000000" w:themeColor="text1"/>
          <w:sz w:val="32"/>
          <w:szCs w:val="32"/>
          <w:lang w:val="en-US" w:eastAsia="zh-CN"/>
        </w:rPr>
      </w:pPr>
      <w:r>
        <w:rPr>
          <w:rFonts w:hint="eastAsia" w:ascii="仿宋" w:hAnsi="仿宋" w:eastAsia="仿宋" w:cs="仿宋_GB2312"/>
          <w:color w:val="000000" w:themeColor="text1"/>
          <w:kern w:val="0"/>
          <w:sz w:val="32"/>
          <w:szCs w:val="32"/>
        </w:rPr>
        <w:t>（</w:t>
      </w:r>
      <w:r>
        <w:rPr>
          <w:rFonts w:hint="eastAsia" w:ascii="仿宋_GB2312" w:hAnsi="宋体" w:eastAsia="仿宋_GB2312" w:cs="宋体"/>
          <w:bCs/>
          <w:color w:val="000000" w:themeColor="text1"/>
          <w:sz w:val="32"/>
          <w:szCs w:val="32"/>
          <w:lang w:eastAsia="zh-CN"/>
        </w:rPr>
        <w:t>1）</w:t>
      </w:r>
      <w:r>
        <w:rPr>
          <w:rFonts w:hint="eastAsia" w:ascii="仿宋_GB2312" w:hAnsi="宋体" w:eastAsia="仿宋_GB2312" w:cs="宋体"/>
          <w:bCs/>
          <w:color w:val="000000" w:themeColor="text1"/>
          <w:sz w:val="32"/>
          <w:szCs w:val="32"/>
          <w:lang w:val="en-US" w:eastAsia="zh-CN"/>
        </w:rPr>
        <w:t>落实重点领域和关键环节改革工作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b/>
          <w:bCs/>
          <w:sz w:val="32"/>
          <w:szCs w:val="32"/>
          <w:lang w:val="en-US" w:eastAsia="zh-CN"/>
        </w:rPr>
      </w:pPr>
      <w:r>
        <w:rPr>
          <w:rFonts w:hint="eastAsia" w:ascii="仿宋_GB2312" w:hAnsi="宋体" w:eastAsia="仿宋_GB2312" w:cs="宋体"/>
          <w:bCs/>
          <w:color w:val="000000" w:themeColor="text1"/>
          <w:sz w:val="32"/>
          <w:szCs w:val="32"/>
          <w:lang w:val="en-US" w:eastAsia="zh-CN"/>
        </w:rPr>
        <w:t>组建了区自然资源局，</w:t>
      </w:r>
      <w:r>
        <w:rPr>
          <w:rFonts w:hint="eastAsia" w:ascii="仿宋_GB2312" w:hAnsi="宋体" w:eastAsia="仿宋_GB2312" w:cs="宋体"/>
          <w:bCs/>
          <w:color w:val="000000" w:themeColor="text1"/>
          <w:sz w:val="32"/>
          <w:szCs w:val="32"/>
          <w:lang w:eastAsia="zh-CN"/>
        </w:rPr>
        <w:t>做到四个到位，即挂牌到位、印发三定到位、领导班子配备到位、人员编制划转到位；</w:t>
      </w:r>
      <w:r>
        <w:rPr>
          <w:rFonts w:hint="eastAsia" w:ascii="仿宋_GB2312" w:hAnsi="宋体" w:eastAsia="仿宋_GB2312" w:cs="宋体"/>
          <w:bCs/>
          <w:color w:val="000000" w:themeColor="text1"/>
          <w:sz w:val="32"/>
          <w:szCs w:val="32"/>
          <w:lang w:val="en-US" w:eastAsia="zh-CN"/>
        </w:rPr>
        <w:t>推进了区本级行政复议体制改革。增设内设机构行政复议与应诉股，增配</w:t>
      </w:r>
      <w:r>
        <w:rPr>
          <w:rFonts w:hint="eastAsia" w:ascii="仿宋_GB2312" w:hAnsi="宋体" w:eastAsia="仿宋_GB2312" w:cs="宋体"/>
          <w:bCs/>
          <w:color w:val="000000" w:themeColor="text1"/>
          <w:sz w:val="32"/>
          <w:szCs w:val="32"/>
          <w:lang w:eastAsia="zh-CN"/>
        </w:rPr>
        <w:t>2名政法专项编制，保障了我区行政复议工作力量；</w:t>
      </w:r>
      <w:r>
        <w:rPr>
          <w:rFonts w:hint="eastAsia" w:ascii="仿宋_GB2312" w:hAnsi="宋体" w:eastAsia="仿宋_GB2312" w:cs="宋体"/>
          <w:bCs/>
          <w:color w:val="000000" w:themeColor="text1"/>
          <w:sz w:val="32"/>
          <w:szCs w:val="32"/>
          <w:lang w:val="en-US" w:eastAsia="zh-CN"/>
        </w:rPr>
        <w:t>深化了综合执法体制改革。</w:t>
      </w:r>
      <w:r>
        <w:rPr>
          <w:rFonts w:hint="default" w:ascii="仿宋_GB2312" w:hAnsi="宋体" w:eastAsia="仿宋_GB2312" w:cs="宋体"/>
          <w:bCs/>
          <w:color w:val="000000" w:themeColor="text1"/>
          <w:sz w:val="32"/>
          <w:szCs w:val="32"/>
          <w:lang w:val="en-US" w:eastAsia="zh-CN"/>
        </w:rPr>
        <w:t>对涉及综合执法改革的机构、编制、人员进行全面梳理、甄别。会同综合执法领域行政主管部门建立执法人员编制台账，锁定综合执法队伍人员编制</w:t>
      </w:r>
      <w:r>
        <w:rPr>
          <w:rFonts w:hint="eastAsia" w:ascii="仿宋_GB2312" w:hAnsi="宋体" w:eastAsia="仿宋_GB2312" w:cs="宋体"/>
          <w:bCs/>
          <w:color w:val="000000" w:themeColor="text1"/>
          <w:sz w:val="32"/>
          <w:szCs w:val="32"/>
          <w:lang w:val="en-US" w:eastAsia="zh-CN"/>
        </w:rPr>
        <w:t>、人</w:t>
      </w:r>
      <w:r>
        <w:rPr>
          <w:rFonts w:hint="default" w:ascii="仿宋_GB2312" w:hAnsi="宋体" w:eastAsia="仿宋_GB2312" w:cs="宋体"/>
          <w:bCs/>
          <w:color w:val="000000" w:themeColor="text1"/>
          <w:sz w:val="32"/>
          <w:szCs w:val="32"/>
          <w:lang w:val="en-US" w:eastAsia="zh-CN"/>
        </w:rPr>
        <w:t>员，做到人员“只出不进”。</w:t>
      </w:r>
      <w:r>
        <w:rPr>
          <w:rFonts w:hint="default" w:ascii="Times New Roman" w:hAnsi="Times New Roman" w:eastAsia="仿宋_GB2312" w:cs="Times New Roman"/>
          <w:color w:val="000000" w:themeColor="text1"/>
          <w:sz w:val="32"/>
          <w:szCs w:val="32"/>
          <w:lang w:val="en-US" w:eastAsia="zh-CN"/>
        </w:rPr>
        <w:t>加强</w:t>
      </w:r>
      <w:r>
        <w:rPr>
          <w:rFonts w:hint="eastAsia" w:ascii="Times New Roman" w:hAnsi="Times New Roman" w:eastAsia="仿宋_GB2312" w:cs="Times New Roman"/>
          <w:color w:val="000000" w:themeColor="text1"/>
          <w:sz w:val="32"/>
          <w:szCs w:val="32"/>
          <w:lang w:val="en-US" w:eastAsia="zh-CN"/>
        </w:rPr>
        <w:t>市区</w:t>
      </w:r>
      <w:r>
        <w:rPr>
          <w:rFonts w:hint="default" w:ascii="Times New Roman" w:hAnsi="Times New Roman" w:eastAsia="仿宋_GB2312" w:cs="Times New Roman"/>
          <w:color w:val="000000" w:themeColor="text1"/>
          <w:sz w:val="32"/>
          <w:szCs w:val="32"/>
          <w:lang w:val="en-US" w:eastAsia="zh-CN"/>
        </w:rPr>
        <w:t>两级农业、</w:t>
      </w:r>
      <w:r>
        <w:rPr>
          <w:rFonts w:hint="eastAsia" w:ascii="Times New Roman" w:hAnsi="Times New Roman" w:eastAsia="仿宋_GB2312" w:cs="Times New Roman"/>
          <w:color w:val="000000" w:themeColor="text1"/>
          <w:sz w:val="32"/>
          <w:szCs w:val="32"/>
          <w:lang w:val="en-US" w:eastAsia="zh-CN"/>
        </w:rPr>
        <w:t>自然资源、</w:t>
      </w:r>
      <w:r>
        <w:rPr>
          <w:rFonts w:hint="default" w:ascii="Times New Roman" w:hAnsi="Times New Roman" w:eastAsia="仿宋_GB2312" w:cs="Times New Roman"/>
          <w:color w:val="000000" w:themeColor="text1"/>
          <w:sz w:val="32"/>
          <w:szCs w:val="32"/>
          <w:lang w:val="en-US" w:eastAsia="zh-CN"/>
        </w:rPr>
        <w:t>市场监管、城市管理领域综合执法队伍</w:t>
      </w:r>
      <w:r>
        <w:rPr>
          <w:rFonts w:hint="eastAsia" w:ascii="仿宋_GB2312" w:hAnsi="仿宋_GB2312" w:eastAsia="仿宋_GB2312" w:cs="仿宋_GB2312"/>
          <w:color w:val="000000" w:themeColor="text1"/>
          <w:sz w:val="32"/>
          <w:szCs w:val="32"/>
          <w:lang w:val="en-US" w:eastAsia="zh-CN"/>
        </w:rPr>
        <w:t>建设，推动执法力量向基层延伸。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Cs/>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w:t>
      </w:r>
      <w:r>
        <w:rPr>
          <w:rFonts w:hint="eastAsia" w:ascii="仿宋_GB2312" w:hAnsi="宋体" w:eastAsia="仿宋_GB2312" w:cs="宋体"/>
          <w:bCs/>
          <w:color w:val="000000" w:themeColor="text1"/>
          <w:sz w:val="32"/>
          <w:szCs w:val="32"/>
          <w:lang w:val="en-US" w:eastAsia="zh-CN"/>
        </w:rPr>
        <w:t>推进机构编制科学化和规范化管理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000000" w:themeColor="text1"/>
          <w:sz w:val="32"/>
          <w:szCs w:val="32"/>
          <w:lang w:val="en-US" w:eastAsia="zh-CN"/>
        </w:rPr>
        <w:t>以2021年核定基数为前提，</w:t>
      </w:r>
      <w:r>
        <w:rPr>
          <w:rFonts w:hint="eastAsia" w:ascii="仿宋_GB2312" w:hAnsi="仿宋_GB2312" w:eastAsia="仿宋_GB2312" w:cs="仿宋_GB2312"/>
          <w:color w:val="000000" w:themeColor="text1"/>
          <w:sz w:val="32"/>
          <w:szCs w:val="32"/>
          <w:lang w:val="en-US" w:eastAsia="zh-CN"/>
        </w:rPr>
        <w:t>严控总量、盘活存量，坚持机构编制资源优化协调高效。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扎实做好省委巡视全面整改</w:t>
      </w:r>
    </w:p>
    <w:p>
      <w:pPr>
        <w:pStyle w:val="2"/>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sz w:val="32"/>
          <w:szCs w:val="32"/>
          <w:lang w:val="en-US" w:eastAsia="zh-CN"/>
        </w:rPr>
      </w:pPr>
      <w:r>
        <w:rPr>
          <w:rFonts w:hint="eastAsia"/>
          <w:lang w:val="en-US" w:eastAsia="zh-CN"/>
        </w:rPr>
        <w:t xml:space="preserve">       </w:t>
      </w:r>
      <w:r>
        <w:rPr>
          <w:rFonts w:hint="eastAsia" w:ascii="仿宋" w:hAnsi="仿宋" w:eastAsia="仿宋" w:cs="仿宋"/>
          <w:color w:val="000000" w:themeColor="text1"/>
          <w:sz w:val="32"/>
          <w:szCs w:val="32"/>
          <w:lang w:val="en-US" w:eastAsia="zh-CN"/>
        </w:rPr>
        <w:t>按照上级规定的时间节点，成立以区委编委主要领导为组长的机构编制问题巡视整改工作领导小组，针对巡视反馈的问题线索清单，将问题逐条逐项认领分解并整改。</w:t>
      </w:r>
      <w:r>
        <w:rPr>
          <w:rFonts w:hint="eastAsia" w:ascii="仿宋_GB2312" w:hAnsi="仿宋_GB2312" w:eastAsia="仿宋_GB2312" w:cs="仿宋_GB2312"/>
          <w:color w:val="000000" w:themeColor="text1"/>
          <w:sz w:val="32"/>
          <w:szCs w:val="32"/>
          <w:lang w:val="en-US" w:eastAsia="zh-CN"/>
        </w:rPr>
        <w:t>通过与省、市委编办多次对接，反馈问题已全面完成。</w:t>
      </w:r>
    </w:p>
    <w:p>
      <w:pPr>
        <w:pStyle w:val="2"/>
        <w:pageBreakBefore w:val="0"/>
        <w:numPr>
          <w:ilvl w:val="0"/>
          <w:numId w:val="1"/>
        </w:numPr>
        <w:kinsoku/>
        <w:wordWrap/>
        <w:overflowPunct/>
        <w:topLinePunct w:val="0"/>
        <w:autoSpaceDE/>
        <w:autoSpaceDN/>
        <w:bidi w:val="0"/>
        <w:adjustRightInd/>
        <w:spacing w:line="560" w:lineRule="exact"/>
        <w:ind w:left="-10" w:leftChars="0" w:firstLine="640" w:firstLineChars="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全力做好机构编制核查工作</w:t>
      </w:r>
    </w:p>
    <w:p>
      <w:pPr>
        <w:pStyle w:val="2"/>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根据中央、省、市关于开展全国第二次机构编制核查工作相关要求，印发</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珠晖区</w:t>
      </w:r>
      <w:r>
        <w:rPr>
          <w:rFonts w:hint="eastAsia" w:ascii="仿宋" w:hAnsi="仿宋" w:eastAsia="仿宋" w:cs="仿宋"/>
          <w:color w:val="000000" w:themeColor="text1"/>
          <w:sz w:val="32"/>
          <w:szCs w:val="32"/>
        </w:rPr>
        <w:t>机构编制核查工作方案》</w:t>
      </w:r>
      <w:r>
        <w:rPr>
          <w:rFonts w:hint="eastAsia" w:ascii="仿宋" w:hAnsi="仿宋" w:eastAsia="仿宋" w:cs="仿宋"/>
          <w:color w:val="000000" w:themeColor="text1"/>
          <w:sz w:val="32"/>
          <w:szCs w:val="32"/>
          <w:lang w:eastAsia="zh-CN"/>
        </w:rPr>
        <w:t>，对全区展开机构批复和实际设置、编制核定和实有人员、领</w:t>
      </w:r>
      <w:r>
        <w:rPr>
          <w:rFonts w:hint="eastAsia" w:ascii="仿宋" w:hAnsi="仿宋" w:eastAsia="仿宋" w:cs="仿宋"/>
          <w:color w:val="000000" w:themeColor="text1"/>
          <w:sz w:val="32"/>
          <w:szCs w:val="32"/>
          <w:lang w:val="en-US" w:eastAsia="zh-CN"/>
        </w:rPr>
        <w:t>导职数和实际配备、实名制数据情况全面核查。</w:t>
      </w:r>
    </w:p>
    <w:p>
      <w:pPr>
        <w:pStyle w:val="2"/>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w:t>
      </w:r>
      <w:r>
        <w:rPr>
          <w:rFonts w:hint="eastAsia" w:ascii="仿宋" w:hAnsi="仿宋" w:eastAsia="仿宋" w:cs="仿宋_GB2312"/>
          <w:color w:val="000000" w:themeColor="text1"/>
          <w:kern w:val="0"/>
          <w:sz w:val="32"/>
          <w:szCs w:val="32"/>
          <w:lang w:val="en-US" w:eastAsia="zh-CN"/>
        </w:rPr>
        <w:t>5</w:t>
      </w:r>
      <w:r>
        <w:rPr>
          <w:rFonts w:hint="eastAsia" w:ascii="仿宋" w:hAnsi="仿宋" w:eastAsia="仿宋" w:cs="仿宋_GB2312"/>
          <w:color w:val="000000" w:themeColor="text1"/>
          <w:kern w:val="0"/>
          <w:sz w:val="32"/>
          <w:szCs w:val="32"/>
        </w:rPr>
        <w:t>）承办区委、区政府交办的其他事项。</w:t>
      </w:r>
    </w:p>
    <w:p>
      <w:pPr>
        <w:pStyle w:val="21"/>
        <w:pageBreakBefore w:val="0"/>
        <w:tabs>
          <w:tab w:val="left" w:pos="1113"/>
        </w:tabs>
        <w:kinsoku/>
        <w:wordWrap/>
        <w:overflowPunct/>
        <w:topLinePunct w:val="0"/>
        <w:autoSpaceDE/>
        <w:autoSpaceDN/>
        <w:bidi w:val="0"/>
        <w:adjustRightInd/>
        <w:spacing w:line="560" w:lineRule="exact"/>
        <w:ind w:firstLine="500"/>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rPr>
        <w:t>二）</w:t>
      </w:r>
      <w:r>
        <w:rPr>
          <w:rFonts w:hint="eastAsia" w:ascii="楷体" w:hAnsi="楷体" w:eastAsia="楷体" w:cs="楷体"/>
          <w:b/>
          <w:bCs/>
          <w:color w:val="000000"/>
          <w:sz w:val="32"/>
          <w:szCs w:val="32"/>
        </w:rPr>
        <w:t>部门整体支出规模、使用方向和主要内容、涉及范围等。</w:t>
      </w:r>
    </w:p>
    <w:p>
      <w:pPr>
        <w:pageBreakBefore w:val="0"/>
        <w:kinsoku/>
        <w:wordWrap/>
        <w:overflowPunct/>
        <w:topLinePunct w:val="0"/>
        <w:autoSpaceDE/>
        <w:autoSpaceDN/>
        <w:bidi w:val="0"/>
        <w:adjustRightInd/>
        <w:spacing w:line="560" w:lineRule="exact"/>
        <w:ind w:firstLine="645"/>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rPr>
        <w:t>我单位</w:t>
      </w:r>
      <w:r>
        <w:rPr>
          <w:rFonts w:hint="eastAsia" w:ascii="仿宋" w:hAnsi="仿宋" w:eastAsia="仿宋" w:cs="仿宋_GB2312"/>
          <w:kern w:val="0"/>
          <w:sz w:val="32"/>
          <w:szCs w:val="32"/>
          <w:lang w:eastAsia="zh-CN"/>
        </w:rPr>
        <w:t>2021</w:t>
      </w:r>
      <w:r>
        <w:rPr>
          <w:rFonts w:ascii="仿宋" w:hAnsi="仿宋" w:eastAsia="仿宋" w:cs="仿宋_GB2312"/>
          <w:kern w:val="0"/>
          <w:sz w:val="32"/>
          <w:szCs w:val="32"/>
        </w:rPr>
        <w:t>度收入总计</w:t>
      </w:r>
      <w:r>
        <w:rPr>
          <w:rFonts w:hint="eastAsia" w:ascii="仿宋" w:hAnsi="仿宋" w:eastAsia="仿宋" w:cs="仿宋_GB2312"/>
          <w:kern w:val="0"/>
          <w:sz w:val="32"/>
          <w:szCs w:val="32"/>
          <w:lang w:val="en-US" w:eastAsia="zh-CN"/>
        </w:rPr>
        <w:t>121.91</w:t>
      </w:r>
      <w:r>
        <w:rPr>
          <w:rFonts w:ascii="仿宋" w:hAnsi="仿宋" w:eastAsia="仿宋" w:cs="仿宋_GB2312"/>
          <w:kern w:val="0"/>
          <w:sz w:val="32"/>
          <w:szCs w:val="32"/>
        </w:rPr>
        <w:t>万元，其中财政拨款收入</w:t>
      </w:r>
      <w:r>
        <w:rPr>
          <w:rFonts w:hint="eastAsia" w:ascii="仿宋" w:hAnsi="仿宋" w:eastAsia="仿宋" w:cs="仿宋_GB2312"/>
          <w:kern w:val="0"/>
          <w:sz w:val="32"/>
          <w:szCs w:val="32"/>
          <w:lang w:val="en-US" w:eastAsia="zh-CN"/>
        </w:rPr>
        <w:t>121.91</w:t>
      </w:r>
      <w:r>
        <w:rPr>
          <w:rFonts w:ascii="仿宋" w:hAnsi="仿宋" w:eastAsia="仿宋" w:cs="仿宋_GB2312"/>
          <w:kern w:val="0"/>
          <w:sz w:val="32"/>
          <w:szCs w:val="32"/>
        </w:rPr>
        <w:t>万元，占本年收入</w:t>
      </w:r>
      <w:r>
        <w:rPr>
          <w:rFonts w:hint="eastAsia" w:ascii="仿宋" w:hAnsi="仿宋" w:eastAsia="仿宋" w:cs="仿宋_GB2312"/>
          <w:kern w:val="0"/>
          <w:sz w:val="32"/>
          <w:szCs w:val="32"/>
          <w:lang w:val="en-US" w:eastAsia="zh-CN"/>
        </w:rPr>
        <w:t>100</w:t>
      </w:r>
      <w:r>
        <w:rPr>
          <w:rFonts w:ascii="仿宋" w:hAnsi="仿宋" w:eastAsia="仿宋" w:cs="仿宋_GB2312"/>
          <w:kern w:val="0"/>
          <w:sz w:val="32"/>
          <w:szCs w:val="32"/>
        </w:rPr>
        <w:t>%；其他收入</w:t>
      </w:r>
      <w:r>
        <w:rPr>
          <w:rFonts w:hint="eastAsia" w:ascii="仿宋" w:hAnsi="仿宋" w:eastAsia="仿宋" w:cs="仿宋_GB2312"/>
          <w:kern w:val="0"/>
          <w:sz w:val="32"/>
          <w:szCs w:val="32"/>
          <w:lang w:val="en-US" w:eastAsia="zh-CN"/>
        </w:rPr>
        <w:t>0</w:t>
      </w:r>
      <w:r>
        <w:rPr>
          <w:rFonts w:ascii="仿宋" w:hAnsi="仿宋" w:eastAsia="仿宋" w:cs="仿宋_GB2312"/>
          <w:kern w:val="0"/>
          <w:sz w:val="32"/>
          <w:szCs w:val="32"/>
        </w:rPr>
        <w:t>万元，占本年收入</w:t>
      </w:r>
      <w:r>
        <w:rPr>
          <w:rFonts w:hint="eastAsia" w:ascii="仿宋" w:hAnsi="仿宋" w:eastAsia="仿宋" w:cs="仿宋_GB2312"/>
          <w:kern w:val="0"/>
          <w:sz w:val="32"/>
          <w:szCs w:val="32"/>
          <w:lang w:val="en-US" w:eastAsia="zh-CN"/>
        </w:rPr>
        <w:t>0</w:t>
      </w:r>
      <w:r>
        <w:rPr>
          <w:rFonts w:ascii="仿宋" w:hAnsi="仿宋" w:eastAsia="仿宋" w:cs="仿宋_GB2312"/>
          <w:kern w:val="0"/>
          <w:sz w:val="32"/>
          <w:szCs w:val="32"/>
        </w:rPr>
        <w:t>%。本年支出总计</w:t>
      </w:r>
      <w:r>
        <w:rPr>
          <w:rFonts w:hint="eastAsia" w:ascii="仿宋" w:hAnsi="仿宋" w:eastAsia="仿宋" w:cs="仿宋_GB2312"/>
          <w:kern w:val="0"/>
          <w:sz w:val="32"/>
          <w:szCs w:val="32"/>
          <w:lang w:val="en-US" w:eastAsia="zh-CN"/>
        </w:rPr>
        <w:t>121.91</w:t>
      </w:r>
      <w:r>
        <w:rPr>
          <w:rFonts w:ascii="仿宋" w:hAnsi="仿宋" w:eastAsia="仿宋" w:cs="仿宋_GB2312"/>
          <w:kern w:val="0"/>
          <w:sz w:val="32"/>
          <w:szCs w:val="32"/>
        </w:rPr>
        <w:t>万元，其中：</w:t>
      </w:r>
      <w:r>
        <w:rPr>
          <w:rFonts w:hint="eastAsia" w:ascii="仿宋" w:hAnsi="仿宋" w:eastAsia="仿宋" w:cs="仿宋_GB2312"/>
          <w:kern w:val="0"/>
          <w:sz w:val="32"/>
          <w:szCs w:val="32"/>
        </w:rPr>
        <w:t>财政拨款</w:t>
      </w:r>
      <w:r>
        <w:rPr>
          <w:rFonts w:ascii="仿宋" w:hAnsi="仿宋" w:eastAsia="仿宋" w:cs="仿宋_GB2312"/>
          <w:kern w:val="0"/>
          <w:sz w:val="32"/>
          <w:szCs w:val="32"/>
        </w:rPr>
        <w:t>支出</w:t>
      </w:r>
      <w:r>
        <w:rPr>
          <w:rFonts w:hint="eastAsia" w:ascii="仿宋" w:hAnsi="仿宋" w:eastAsia="仿宋" w:cs="仿宋_GB2312"/>
          <w:kern w:val="0"/>
          <w:sz w:val="32"/>
          <w:szCs w:val="32"/>
          <w:lang w:val="en-US" w:eastAsia="zh-CN"/>
        </w:rPr>
        <w:t>121.91</w:t>
      </w:r>
      <w:r>
        <w:rPr>
          <w:rFonts w:ascii="仿宋" w:hAnsi="仿宋" w:eastAsia="仿宋" w:cs="仿宋_GB2312"/>
          <w:kern w:val="0"/>
          <w:sz w:val="32"/>
          <w:szCs w:val="32"/>
        </w:rPr>
        <w:t>万元，占本年支出的</w:t>
      </w:r>
      <w:r>
        <w:rPr>
          <w:rFonts w:hint="eastAsia" w:ascii="仿宋" w:hAnsi="仿宋" w:eastAsia="仿宋" w:cs="仿宋_GB2312"/>
          <w:kern w:val="0"/>
          <w:sz w:val="32"/>
          <w:szCs w:val="32"/>
          <w:lang w:val="en-US" w:eastAsia="zh-CN"/>
        </w:rPr>
        <w:t>100</w:t>
      </w:r>
      <w:r>
        <w:rPr>
          <w:rFonts w:ascii="仿宋" w:hAnsi="仿宋" w:eastAsia="仿宋" w:cs="仿宋_GB2312"/>
          <w:kern w:val="0"/>
          <w:sz w:val="32"/>
          <w:szCs w:val="32"/>
        </w:rPr>
        <w:t>%</w:t>
      </w:r>
      <w:r>
        <w:rPr>
          <w:rFonts w:hint="eastAsia" w:ascii="仿宋" w:hAnsi="仿宋" w:eastAsia="仿宋" w:cs="仿宋_GB2312"/>
          <w:kern w:val="0"/>
          <w:sz w:val="32"/>
          <w:szCs w:val="32"/>
        </w:rPr>
        <w:t>，其他资金</w:t>
      </w:r>
      <w:r>
        <w:rPr>
          <w:rFonts w:ascii="仿宋" w:hAnsi="仿宋" w:eastAsia="仿宋" w:cs="仿宋_GB2312"/>
          <w:kern w:val="0"/>
          <w:sz w:val="32"/>
          <w:szCs w:val="32"/>
        </w:rPr>
        <w:t>支出</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w:t>
      </w:r>
      <w:r>
        <w:rPr>
          <w:rFonts w:ascii="仿宋" w:hAnsi="仿宋" w:eastAsia="仿宋" w:cs="仿宋_GB2312"/>
          <w:kern w:val="0"/>
          <w:sz w:val="32"/>
          <w:szCs w:val="32"/>
        </w:rPr>
        <w:t>元</w:t>
      </w:r>
      <w:r>
        <w:rPr>
          <w:rFonts w:hint="eastAsia" w:ascii="仿宋" w:hAnsi="仿宋" w:eastAsia="仿宋" w:cs="仿宋_GB2312"/>
          <w:kern w:val="0"/>
          <w:sz w:val="32"/>
          <w:szCs w:val="32"/>
        </w:rPr>
        <w:t>，</w:t>
      </w:r>
      <w:r>
        <w:rPr>
          <w:rFonts w:ascii="仿宋" w:hAnsi="仿宋" w:eastAsia="仿宋" w:cs="仿宋_GB2312"/>
          <w:kern w:val="0"/>
          <w:sz w:val="32"/>
          <w:szCs w:val="32"/>
        </w:rPr>
        <w:t>占本年支出的</w:t>
      </w:r>
      <w:r>
        <w:rPr>
          <w:rFonts w:hint="eastAsia" w:ascii="仿宋" w:hAnsi="仿宋" w:eastAsia="仿宋" w:cs="仿宋_GB2312"/>
          <w:kern w:val="0"/>
          <w:sz w:val="32"/>
          <w:szCs w:val="32"/>
          <w:lang w:val="en-US" w:eastAsia="zh-CN"/>
        </w:rPr>
        <w:t>0</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pStyle w:val="21"/>
        <w:pageBreakBefore w:val="0"/>
        <w:tabs>
          <w:tab w:val="left" w:pos="867"/>
        </w:tabs>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color w:val="000000" w:themeColor="text1"/>
          <w:sz w:val="32"/>
          <w:szCs w:val="32"/>
          <w:lang w:val="en-US"/>
        </w:rPr>
      </w:pPr>
      <w:r>
        <w:rPr>
          <w:rFonts w:hint="eastAsia" w:ascii="黑体" w:hAnsi="黑体" w:eastAsia="黑体" w:cs="黑体"/>
          <w:color w:val="000000" w:themeColor="text1"/>
          <w:sz w:val="32"/>
          <w:szCs w:val="32"/>
          <w:lang w:val="en-US"/>
        </w:rPr>
        <w:t>二、部门整体支出管理及使用情况</w:t>
      </w:r>
    </w:p>
    <w:p>
      <w:pPr>
        <w:pStyle w:val="21"/>
        <w:pageBreakBefore w:val="0"/>
        <w:tabs>
          <w:tab w:val="left" w:pos="867"/>
        </w:tabs>
        <w:kinsoku/>
        <w:wordWrap/>
        <w:overflowPunct/>
        <w:topLinePunct w:val="0"/>
        <w:autoSpaceDE/>
        <w:autoSpaceDN/>
        <w:bidi w:val="0"/>
        <w:adjustRightInd/>
        <w:spacing w:line="560" w:lineRule="exact"/>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（一）基本支出</w:t>
      </w:r>
    </w:p>
    <w:p>
      <w:pPr>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kern w:val="0"/>
          <w:sz w:val="32"/>
          <w:szCs w:val="32"/>
        </w:rPr>
      </w:pPr>
      <w:r>
        <w:rPr>
          <w:rFonts w:hint="eastAsia" w:ascii="仿宋" w:hAnsi="仿宋" w:eastAsia="仿宋" w:cs="仿宋_GB2312"/>
          <w:kern w:val="0"/>
          <w:sz w:val="32"/>
          <w:szCs w:val="32"/>
          <w:lang w:eastAsia="zh-CN"/>
        </w:rPr>
        <w:t>2021</w:t>
      </w:r>
      <w:r>
        <w:rPr>
          <w:rFonts w:ascii="仿宋" w:hAnsi="仿宋" w:eastAsia="仿宋" w:cs="仿宋_GB2312"/>
          <w:kern w:val="0"/>
          <w:sz w:val="32"/>
          <w:szCs w:val="32"/>
        </w:rPr>
        <w:t>年度基本支出</w:t>
      </w:r>
      <w:r>
        <w:rPr>
          <w:rFonts w:hint="eastAsia" w:ascii="仿宋" w:hAnsi="仿宋" w:eastAsia="仿宋" w:cs="仿宋_GB2312"/>
          <w:kern w:val="0"/>
          <w:sz w:val="32"/>
          <w:szCs w:val="32"/>
          <w:lang w:val="en-US" w:eastAsia="zh-CN"/>
        </w:rPr>
        <w:t>84.13</w:t>
      </w:r>
      <w:r>
        <w:rPr>
          <w:rFonts w:ascii="仿宋" w:hAnsi="仿宋" w:eastAsia="仿宋" w:cs="仿宋_GB2312"/>
          <w:kern w:val="0"/>
          <w:sz w:val="32"/>
          <w:szCs w:val="32"/>
        </w:rPr>
        <w:t>万元，</w:t>
      </w:r>
      <w:r>
        <w:rPr>
          <w:rFonts w:hint="eastAsia" w:ascii="仿宋" w:hAnsi="仿宋" w:eastAsia="仿宋" w:cs="仿宋_GB2312"/>
          <w:kern w:val="0"/>
          <w:sz w:val="32"/>
          <w:szCs w:val="32"/>
        </w:rPr>
        <w:t>主要是工资福利支出、对个人家庭的补助、商品和服务支出中公用经费支出。</w:t>
      </w:r>
    </w:p>
    <w:p>
      <w:pPr>
        <w:pageBreakBefore w:val="0"/>
        <w:kinsoku/>
        <w:wordWrap/>
        <w:overflowPunct/>
        <w:topLinePunct w:val="0"/>
        <w:autoSpaceDE/>
        <w:autoSpaceDN/>
        <w:bidi w:val="0"/>
        <w:adjustRightInd/>
        <w:spacing w:line="560" w:lineRule="exact"/>
        <w:ind w:firstLine="480" w:firstLineChars="150"/>
        <w:textAlignment w:val="auto"/>
        <w:rPr>
          <w:rFonts w:ascii="仿宋" w:hAnsi="仿宋" w:eastAsia="仿宋" w:cs="仿宋_GB2312"/>
          <w:kern w:val="0"/>
          <w:sz w:val="32"/>
          <w:szCs w:val="32"/>
        </w:rPr>
      </w:pPr>
      <w:r>
        <w:rPr>
          <w:rFonts w:hint="eastAsia" w:ascii="仿宋" w:hAnsi="仿宋" w:eastAsia="仿宋" w:cs="仿宋_GB2312"/>
          <w:kern w:val="0"/>
          <w:sz w:val="32"/>
          <w:szCs w:val="32"/>
        </w:rPr>
        <w:t>无“三公”经费支出。</w:t>
      </w:r>
      <w:bookmarkStart w:id="5" w:name="_GoBack"/>
      <w:bookmarkEnd w:id="5"/>
    </w:p>
    <w:p>
      <w:pPr>
        <w:pageBreakBefore w:val="0"/>
        <w:widowControl/>
        <w:kinsoku/>
        <w:wordWrap/>
        <w:overflowPunct/>
        <w:topLinePunct w:val="0"/>
        <w:autoSpaceDE/>
        <w:autoSpaceDN/>
        <w:bidi w:val="0"/>
        <w:adjustRightInd/>
        <w:spacing w:line="560" w:lineRule="exact"/>
        <w:ind w:firstLine="630" w:firstLineChars="196"/>
        <w:jc w:val="left"/>
        <w:textAlignment w:val="auto"/>
        <w:rPr>
          <w:rFonts w:hint="eastAsia" w:ascii="楷体" w:hAnsi="楷体" w:eastAsia="楷体" w:cs="楷体"/>
          <w:b/>
          <w:bCs/>
          <w:color w:val="000000" w:themeColor="text1"/>
          <w:kern w:val="2"/>
          <w:sz w:val="32"/>
          <w:szCs w:val="32"/>
          <w:lang w:val="zh-CN" w:eastAsia="zh-CN" w:bidi="zh-CN"/>
        </w:rPr>
      </w:pPr>
      <w:r>
        <w:rPr>
          <w:rFonts w:hint="eastAsia" w:ascii="楷体" w:hAnsi="楷体" w:eastAsia="楷体" w:cs="楷体"/>
          <w:b/>
          <w:bCs/>
          <w:color w:val="000000" w:themeColor="text1"/>
          <w:kern w:val="2"/>
          <w:sz w:val="32"/>
          <w:szCs w:val="32"/>
          <w:lang w:val="zh-CN" w:eastAsia="zh-CN" w:bidi="zh-CN"/>
        </w:rPr>
        <w:t>（二）项目支出</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lang w:eastAsia="zh-CN"/>
        </w:rPr>
        <w:t>202</w:t>
      </w:r>
      <w:r>
        <w:rPr>
          <w:rFonts w:hint="eastAsia" w:ascii="仿宋" w:hAnsi="仿宋" w:eastAsia="仿宋" w:cs="仿宋_GB2312"/>
          <w:kern w:val="0"/>
          <w:sz w:val="32"/>
          <w:szCs w:val="32"/>
          <w:lang w:val="en-US" w:eastAsia="zh-CN"/>
        </w:rPr>
        <w:t>2</w:t>
      </w:r>
      <w:r>
        <w:rPr>
          <w:rFonts w:ascii="仿宋" w:hAnsi="仿宋" w:eastAsia="仿宋" w:cs="仿宋_GB2312"/>
          <w:kern w:val="0"/>
          <w:sz w:val="32"/>
          <w:szCs w:val="32"/>
        </w:rPr>
        <w:t>年度</w:t>
      </w:r>
      <w:r>
        <w:rPr>
          <w:rFonts w:hint="eastAsia" w:ascii="仿宋" w:hAnsi="仿宋" w:eastAsia="仿宋" w:cs="仿宋_GB2312"/>
          <w:kern w:val="0"/>
          <w:sz w:val="32"/>
          <w:szCs w:val="32"/>
        </w:rPr>
        <w:t>项目</w:t>
      </w:r>
      <w:r>
        <w:rPr>
          <w:rFonts w:ascii="仿宋" w:hAnsi="仿宋" w:eastAsia="仿宋" w:cs="仿宋_GB2312"/>
          <w:kern w:val="0"/>
          <w:sz w:val="32"/>
          <w:szCs w:val="32"/>
        </w:rPr>
        <w:t>支出</w:t>
      </w:r>
      <w:r>
        <w:rPr>
          <w:rFonts w:hint="eastAsia" w:ascii="仿宋" w:hAnsi="仿宋" w:eastAsia="仿宋" w:cs="仿宋_GB2312"/>
          <w:kern w:val="0"/>
          <w:sz w:val="32"/>
          <w:szCs w:val="32"/>
          <w:lang w:val="en-US" w:eastAsia="zh-CN"/>
        </w:rPr>
        <w:t>37.78</w:t>
      </w:r>
      <w:r>
        <w:rPr>
          <w:rFonts w:ascii="仿宋" w:hAnsi="仿宋" w:eastAsia="仿宋" w:cs="仿宋_GB2312"/>
          <w:kern w:val="0"/>
          <w:sz w:val="32"/>
          <w:szCs w:val="32"/>
        </w:rPr>
        <w:t>万元</w:t>
      </w:r>
      <w:r>
        <w:rPr>
          <w:rFonts w:hint="eastAsia" w:ascii="仿宋" w:hAnsi="仿宋" w:eastAsia="仿宋" w:cs="仿宋_GB2312"/>
          <w:kern w:val="0"/>
          <w:sz w:val="32"/>
          <w:szCs w:val="32"/>
        </w:rPr>
        <w:t>，其中专项工作经费支出。</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三、部门项目组织实施情况</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无建设性项目支出</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四、资产管理情况</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cs="仿宋_GB2312"/>
          <w:kern w:val="0"/>
          <w:sz w:val="32"/>
          <w:szCs w:val="32"/>
          <w:lang w:eastAsia="zh-CN"/>
        </w:rPr>
        <w:t>2021</w:t>
      </w:r>
      <w:r>
        <w:rPr>
          <w:rFonts w:hint="eastAsia" w:ascii="仿宋" w:hAnsi="仿宋" w:eastAsia="仿宋" w:cs="仿宋_GB2312"/>
          <w:kern w:val="0"/>
          <w:sz w:val="32"/>
          <w:szCs w:val="32"/>
        </w:rPr>
        <w:t>年12月31日，中共珠晖区委机构编制委员会办公室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五、部门整体支出绩效情况</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执行了预算政策要求。工作经费安排严格按照年初预算来执行，有效防止了超预算；认真学习财经法规，严格执行财经纪律，防止了违法违纪行为的发生。</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六、存在的主要问题</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kern w:val="0"/>
          <w:sz w:val="32"/>
          <w:szCs w:val="32"/>
        </w:rPr>
      </w:pPr>
      <w:r>
        <w:rPr>
          <w:rFonts w:ascii="仿宋" w:hAnsi="仿宋" w:eastAsia="仿宋" w:cs="仿宋_GB2312"/>
          <w:kern w:val="0"/>
          <w:sz w:val="32"/>
          <w:szCs w:val="32"/>
        </w:rPr>
        <w:t>年初预算编制不够精细。预算编制不够明确和细化，预算编制的合理性需要提高。</w:t>
      </w:r>
    </w:p>
    <w:p>
      <w:pPr>
        <w:pageBreakBefore w:val="0"/>
        <w:widowControl/>
        <w:kinsoku/>
        <w:wordWrap/>
        <w:overflowPunct/>
        <w:topLinePunct w:val="0"/>
        <w:autoSpaceDE/>
        <w:autoSpaceDN/>
        <w:bidi w:val="0"/>
        <w:adjustRightInd/>
        <w:spacing w:line="560" w:lineRule="exact"/>
        <w:ind w:firstLine="630" w:firstLineChars="196"/>
        <w:jc w:val="left"/>
        <w:textAlignment w:val="auto"/>
        <w:rPr>
          <w:rFonts w:eastAsia="仿宋_GB2312"/>
          <w:b/>
          <w:bCs/>
          <w:sz w:val="32"/>
          <w:szCs w:val="32"/>
        </w:rPr>
      </w:pPr>
      <w:r>
        <w:rPr>
          <w:rFonts w:hint="eastAsia" w:eastAsia="仿宋_GB2312"/>
          <w:b/>
          <w:bCs/>
          <w:sz w:val="32"/>
          <w:szCs w:val="32"/>
        </w:rPr>
        <w:t>七、改进措施和有关建议</w:t>
      </w:r>
    </w:p>
    <w:p>
      <w:pPr>
        <w:pageBreakBefore w:val="0"/>
        <w:widowControl/>
        <w:kinsoku/>
        <w:wordWrap/>
        <w:overflowPunct/>
        <w:topLinePunct w:val="0"/>
        <w:autoSpaceDE/>
        <w:autoSpaceDN/>
        <w:bidi w:val="0"/>
        <w:adjustRightInd/>
        <w:spacing w:line="560" w:lineRule="exact"/>
        <w:ind w:firstLine="627" w:firstLineChars="196"/>
        <w:jc w:val="left"/>
        <w:textAlignment w:val="auto"/>
        <w:rPr>
          <w:rFonts w:ascii="仿宋" w:hAnsi="仿宋" w:eastAsia="仿宋" w:cs="仿宋_GB2312"/>
          <w:color w:val="333333"/>
          <w:kern w:val="0"/>
          <w:sz w:val="32"/>
          <w:szCs w:val="32"/>
        </w:rPr>
      </w:pPr>
      <w:r>
        <w:rPr>
          <w:rFonts w:hint="eastAsia" w:ascii="仿宋" w:hAnsi="仿宋" w:eastAsia="仿宋" w:cs="仿宋_GB2312"/>
          <w:kern w:val="0"/>
          <w:sz w:val="32"/>
          <w:szCs w:val="32"/>
        </w:rPr>
        <w:t>推行政府机关绩效管理制度是推进政府职能转变、提高政府执行力和公信力的重要举措，是转变机关作风、加强政府勤政廉政建设的重要抓手。</w:t>
      </w:r>
    </w:p>
    <w:p>
      <w:pPr>
        <w:pageBreakBefore w:val="0"/>
        <w:kinsoku/>
        <w:wordWrap/>
        <w:overflowPunct/>
        <w:topLinePunct w:val="0"/>
        <w:autoSpaceDE/>
        <w:autoSpaceDN/>
        <w:bidi w:val="0"/>
        <w:adjustRightInd/>
        <w:spacing w:line="560" w:lineRule="exact"/>
        <w:jc w:val="center"/>
        <w:textAlignment w:val="auto"/>
        <w:rPr>
          <w:rFonts w:ascii="宋体" w:hAnsi="宋体" w:cs="宋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4098"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path/>
          <v:fill on="f" focussize="0,0"/>
          <v:stroke on="f" joinstyle="miter"/>
          <v:imagedata o:title=""/>
          <o:lock v:ext="edit"/>
          <v:textbox inset="0mm,0mm,0mm,0mm" style="mso-fit-shape-to-text:t;">
            <w:txbxContent>
              <w:p>
                <w:pPr>
                  <w:pStyle w:val="27"/>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DD945"/>
    <w:multiLevelType w:val="singleLevel"/>
    <w:tmpl w:val="7A4DD945"/>
    <w:lvl w:ilvl="0" w:tentative="0">
      <w:start w:val="3"/>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xODljYzJhODE2NTg1YjYyYzM1M2JjNTJjYTIwZTgifQ=="/>
  </w:docVars>
  <w:rsids>
    <w:rsidRoot w:val="56C81120"/>
    <w:rsid w:val="00022119"/>
    <w:rsid w:val="000E2572"/>
    <w:rsid w:val="001E6A76"/>
    <w:rsid w:val="00255182"/>
    <w:rsid w:val="00277548"/>
    <w:rsid w:val="0028176B"/>
    <w:rsid w:val="00353E5C"/>
    <w:rsid w:val="003640B9"/>
    <w:rsid w:val="00364891"/>
    <w:rsid w:val="00375D20"/>
    <w:rsid w:val="003825D1"/>
    <w:rsid w:val="00394F14"/>
    <w:rsid w:val="003D14D9"/>
    <w:rsid w:val="00425D76"/>
    <w:rsid w:val="0044465F"/>
    <w:rsid w:val="00493002"/>
    <w:rsid w:val="004A5F1B"/>
    <w:rsid w:val="004A6213"/>
    <w:rsid w:val="00520470"/>
    <w:rsid w:val="00533052"/>
    <w:rsid w:val="00556F33"/>
    <w:rsid w:val="00571E6B"/>
    <w:rsid w:val="00573AAE"/>
    <w:rsid w:val="005B2E8E"/>
    <w:rsid w:val="005D6012"/>
    <w:rsid w:val="00675FD5"/>
    <w:rsid w:val="0068178F"/>
    <w:rsid w:val="00684F93"/>
    <w:rsid w:val="006B2190"/>
    <w:rsid w:val="006D204B"/>
    <w:rsid w:val="0070013F"/>
    <w:rsid w:val="00744DFC"/>
    <w:rsid w:val="00796827"/>
    <w:rsid w:val="007A3F41"/>
    <w:rsid w:val="007C685D"/>
    <w:rsid w:val="007E7435"/>
    <w:rsid w:val="008323EB"/>
    <w:rsid w:val="00850A55"/>
    <w:rsid w:val="008E2FC6"/>
    <w:rsid w:val="0091667B"/>
    <w:rsid w:val="00964F12"/>
    <w:rsid w:val="00976964"/>
    <w:rsid w:val="009B13AB"/>
    <w:rsid w:val="009D1F30"/>
    <w:rsid w:val="009F58BA"/>
    <w:rsid w:val="00A750E9"/>
    <w:rsid w:val="00AE1CA9"/>
    <w:rsid w:val="00AE3025"/>
    <w:rsid w:val="00AF7D01"/>
    <w:rsid w:val="00B34AD4"/>
    <w:rsid w:val="00B6746C"/>
    <w:rsid w:val="00B97A81"/>
    <w:rsid w:val="00BB2492"/>
    <w:rsid w:val="00BC4176"/>
    <w:rsid w:val="00C17820"/>
    <w:rsid w:val="00C40095"/>
    <w:rsid w:val="00C40844"/>
    <w:rsid w:val="00C9786B"/>
    <w:rsid w:val="00CA7551"/>
    <w:rsid w:val="00CC5E81"/>
    <w:rsid w:val="00CD022B"/>
    <w:rsid w:val="00CD71DD"/>
    <w:rsid w:val="00CF7D17"/>
    <w:rsid w:val="00D9207F"/>
    <w:rsid w:val="00DD1846"/>
    <w:rsid w:val="00E14384"/>
    <w:rsid w:val="00E92E27"/>
    <w:rsid w:val="00EA18E8"/>
    <w:rsid w:val="00EC1026"/>
    <w:rsid w:val="00EF5AC8"/>
    <w:rsid w:val="00F36A18"/>
    <w:rsid w:val="00FB1121"/>
    <w:rsid w:val="020312CA"/>
    <w:rsid w:val="02312FDE"/>
    <w:rsid w:val="030A3C3B"/>
    <w:rsid w:val="03737E75"/>
    <w:rsid w:val="04B87276"/>
    <w:rsid w:val="04E06069"/>
    <w:rsid w:val="07BF3E8E"/>
    <w:rsid w:val="0850536B"/>
    <w:rsid w:val="08716E9D"/>
    <w:rsid w:val="0A055552"/>
    <w:rsid w:val="0B972C0A"/>
    <w:rsid w:val="0C505A2A"/>
    <w:rsid w:val="0C9216F5"/>
    <w:rsid w:val="0CA21281"/>
    <w:rsid w:val="0D0C314C"/>
    <w:rsid w:val="0D62788D"/>
    <w:rsid w:val="0E990F12"/>
    <w:rsid w:val="12190CA1"/>
    <w:rsid w:val="121F4CD5"/>
    <w:rsid w:val="14544B19"/>
    <w:rsid w:val="15224E9F"/>
    <w:rsid w:val="15532E0B"/>
    <w:rsid w:val="1594525C"/>
    <w:rsid w:val="171836AF"/>
    <w:rsid w:val="1810076A"/>
    <w:rsid w:val="198F6599"/>
    <w:rsid w:val="19FF692D"/>
    <w:rsid w:val="1B987654"/>
    <w:rsid w:val="1BF65BDF"/>
    <w:rsid w:val="1CB55F50"/>
    <w:rsid w:val="1D6750ED"/>
    <w:rsid w:val="1DC67833"/>
    <w:rsid w:val="1DD94C26"/>
    <w:rsid w:val="1E425758"/>
    <w:rsid w:val="1E4644BB"/>
    <w:rsid w:val="1F6E185C"/>
    <w:rsid w:val="1F772D76"/>
    <w:rsid w:val="1FFF65DD"/>
    <w:rsid w:val="203A3003"/>
    <w:rsid w:val="204B6589"/>
    <w:rsid w:val="205265F0"/>
    <w:rsid w:val="20A84649"/>
    <w:rsid w:val="20F86062"/>
    <w:rsid w:val="21C46531"/>
    <w:rsid w:val="22DC6AEB"/>
    <w:rsid w:val="236639AE"/>
    <w:rsid w:val="23C93361"/>
    <w:rsid w:val="244D68F4"/>
    <w:rsid w:val="2628493F"/>
    <w:rsid w:val="290A0FAD"/>
    <w:rsid w:val="2C8F18D7"/>
    <w:rsid w:val="2DD73631"/>
    <w:rsid w:val="307B44AD"/>
    <w:rsid w:val="33B015AE"/>
    <w:rsid w:val="348265A3"/>
    <w:rsid w:val="3703625B"/>
    <w:rsid w:val="38EB31AB"/>
    <w:rsid w:val="38FD59EE"/>
    <w:rsid w:val="3B4B5943"/>
    <w:rsid w:val="3BE645DA"/>
    <w:rsid w:val="3C9C0270"/>
    <w:rsid w:val="3CD23BC8"/>
    <w:rsid w:val="3F577654"/>
    <w:rsid w:val="414A22A2"/>
    <w:rsid w:val="423B1DB6"/>
    <w:rsid w:val="43053055"/>
    <w:rsid w:val="470431D8"/>
    <w:rsid w:val="47B972D2"/>
    <w:rsid w:val="4999703E"/>
    <w:rsid w:val="4AF83934"/>
    <w:rsid w:val="4B5E0262"/>
    <w:rsid w:val="4D1B156D"/>
    <w:rsid w:val="4D301426"/>
    <w:rsid w:val="4D4D6160"/>
    <w:rsid w:val="4D625F91"/>
    <w:rsid w:val="4D943B9D"/>
    <w:rsid w:val="51684CD7"/>
    <w:rsid w:val="527541A2"/>
    <w:rsid w:val="52E51199"/>
    <w:rsid w:val="53CE5D40"/>
    <w:rsid w:val="543732AE"/>
    <w:rsid w:val="54860AF5"/>
    <w:rsid w:val="55CE757F"/>
    <w:rsid w:val="56C81120"/>
    <w:rsid w:val="56F073BC"/>
    <w:rsid w:val="571455BF"/>
    <w:rsid w:val="5B2D7820"/>
    <w:rsid w:val="5B8411EC"/>
    <w:rsid w:val="5B8E7E9F"/>
    <w:rsid w:val="5B910F82"/>
    <w:rsid w:val="5C593045"/>
    <w:rsid w:val="5F036D4E"/>
    <w:rsid w:val="60C435E6"/>
    <w:rsid w:val="60E50CA3"/>
    <w:rsid w:val="616014D9"/>
    <w:rsid w:val="621D04B1"/>
    <w:rsid w:val="622E7613"/>
    <w:rsid w:val="62513BD9"/>
    <w:rsid w:val="6325037A"/>
    <w:rsid w:val="67010C05"/>
    <w:rsid w:val="67070F80"/>
    <w:rsid w:val="68446E9F"/>
    <w:rsid w:val="688268EC"/>
    <w:rsid w:val="68CB7079"/>
    <w:rsid w:val="693C4DCD"/>
    <w:rsid w:val="69411140"/>
    <w:rsid w:val="6948031C"/>
    <w:rsid w:val="697C2CD5"/>
    <w:rsid w:val="6B804DE4"/>
    <w:rsid w:val="6CB4144C"/>
    <w:rsid w:val="6D171BA3"/>
    <w:rsid w:val="6D6C1206"/>
    <w:rsid w:val="6D851631"/>
    <w:rsid w:val="6FED7CEF"/>
    <w:rsid w:val="70A9189E"/>
    <w:rsid w:val="714B3830"/>
    <w:rsid w:val="71FF272F"/>
    <w:rsid w:val="720D0C09"/>
    <w:rsid w:val="73903399"/>
    <w:rsid w:val="753C7FA5"/>
    <w:rsid w:val="754C4B72"/>
    <w:rsid w:val="75702B23"/>
    <w:rsid w:val="76DD63AE"/>
    <w:rsid w:val="770F50E9"/>
    <w:rsid w:val="7B086C25"/>
    <w:rsid w:val="7EAD4C52"/>
    <w:rsid w:val="7F3C4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微软雅黑" w:hAnsi="微软雅黑" w:eastAsia="微软雅黑" w:cs="微软雅黑"/>
      <w:sz w:val="14"/>
      <w:szCs w:val="14"/>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2">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3">
    <w:name w:val="Body text|3"/>
    <w:basedOn w:val="1"/>
    <w:qFormat/>
    <w:uiPriority w:val="0"/>
    <w:pPr>
      <w:spacing w:before="220" w:after="720"/>
      <w:ind w:firstLine="520"/>
    </w:pPr>
    <w:rPr>
      <w:sz w:val="32"/>
      <w:szCs w:val="32"/>
    </w:rPr>
  </w:style>
  <w:style w:type="paragraph" w:customStyle="1" w:styleId="24">
    <w:name w:val="Other|1"/>
    <w:basedOn w:val="1"/>
    <w:qFormat/>
    <w:uiPriority w:val="0"/>
    <w:pPr>
      <w:spacing w:line="302" w:lineRule="exact"/>
    </w:pPr>
    <w:rPr>
      <w:rFonts w:ascii="宋体" w:hAnsi="宋体" w:cs="宋体"/>
      <w:sz w:val="19"/>
      <w:szCs w:val="19"/>
      <w:lang w:val="zh-CN" w:bidi="zh-CN"/>
    </w:rPr>
  </w:style>
  <w:style w:type="paragraph" w:customStyle="1" w:styleId="25">
    <w:name w:val="Body text|4"/>
    <w:basedOn w:val="1"/>
    <w:qFormat/>
    <w:uiPriority w:val="0"/>
    <w:pPr>
      <w:spacing w:after="60"/>
      <w:ind w:firstLine="320"/>
    </w:pPr>
    <w:rPr>
      <w:rFonts w:ascii="宋体" w:hAnsi="宋体" w:cs="宋体"/>
      <w:lang w:val="zh-CN" w:bidi="zh-CN"/>
    </w:rPr>
  </w:style>
  <w:style w:type="paragraph" w:customStyle="1" w:styleId="26">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7">
    <w:name w:val="Header or footer|2"/>
    <w:basedOn w:val="1"/>
    <w:qFormat/>
    <w:uiPriority w:val="0"/>
    <w:rPr>
      <w:sz w:val="20"/>
      <w:szCs w:val="20"/>
      <w:lang w:val="zh-CN" w:bidi="zh-CN"/>
    </w:rPr>
  </w:style>
  <w:style w:type="paragraph" w:customStyle="1" w:styleId="28">
    <w:name w:val="Body text|2"/>
    <w:basedOn w:val="1"/>
    <w:qFormat/>
    <w:uiPriority w:val="0"/>
    <w:pPr>
      <w:spacing w:after="470"/>
    </w:pPr>
    <w:rPr>
      <w:b/>
      <w:bCs/>
      <w:sz w:val="19"/>
      <w:szCs w:val="19"/>
      <w:lang w:val="zh-CN" w:bidi="zh-CN"/>
    </w:rPr>
  </w:style>
  <w:style w:type="character" w:customStyle="1" w:styleId="29">
    <w:name w:val="bsharetext"/>
    <w:basedOn w:val="8"/>
    <w:qFormat/>
    <w:uiPriority w:val="0"/>
  </w:style>
  <w:style w:type="character" w:customStyle="1" w:styleId="30">
    <w:name w:val="页眉 字符"/>
    <w:basedOn w:val="8"/>
    <w:link w:val="5"/>
    <w:qFormat/>
    <w:uiPriority w:val="0"/>
    <w:rPr>
      <w:rFonts w:ascii="Calibri" w:hAnsi="Calibri"/>
      <w:kern w:val="2"/>
      <w:sz w:val="18"/>
      <w:szCs w:val="18"/>
    </w:rPr>
  </w:style>
  <w:style w:type="character" w:customStyle="1" w:styleId="31">
    <w:name w:val="hover4"/>
    <w:basedOn w:val="8"/>
    <w:qFormat/>
    <w:uiPriority w:val="0"/>
  </w:style>
  <w:style w:type="character" w:customStyle="1" w:styleId="32">
    <w:name w:val="hover5"/>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1817</Words>
  <Characters>1910</Characters>
  <Lines>8</Lines>
  <Paragraphs>2</Paragraphs>
  <TotalTime>1</TotalTime>
  <ScaleCrop>false</ScaleCrop>
  <LinksUpToDate>false</LinksUpToDate>
  <CharactersWithSpaces>1917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2022-11-03T08:15:00Z</cp:lastPrinted>
  <dcterms:modified xsi:type="dcterms:W3CDTF">2023-12-10T07:48:07Z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2E56A4A9CF124F499BA7706653D77C6E</vt:lpwstr>
  </property>
</Properties>
</file>