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keepLines/>
        <w:spacing w:after="260"/>
        <w:rPr>
          <w:rFonts w:hint="eastAsia" w:ascii="方正小标宋简体" w:hAnsi="方正小标宋简体" w:eastAsia="方正小标宋简体" w:cs="方正小标宋简体"/>
          <w:color w:val="000000"/>
          <w:sz w:val="44"/>
          <w:szCs w:val="44"/>
          <w:lang w:val="en-US"/>
        </w:rPr>
      </w:pPr>
      <w:bookmarkStart w:id="0" w:name="bookmark89"/>
      <w:bookmarkStart w:id="1" w:name="bookmark90"/>
      <w:bookmarkStart w:id="2" w:name="bookmark88"/>
      <w:bookmarkStart w:id="9" w:name="_GoBack"/>
      <w:bookmarkEnd w:id="9"/>
      <w:r>
        <w:rPr>
          <w:rFonts w:hint="eastAsia" w:ascii="方正小标宋简体" w:hAnsi="方正小标宋简体" w:eastAsia="方正小标宋简体" w:cs="方正小标宋简体"/>
          <w:color w:val="000000"/>
          <w:sz w:val="44"/>
          <w:szCs w:val="44"/>
          <w:lang w:val="en-US" w:eastAsia="zh-CN"/>
        </w:rPr>
        <w:t>中共</w:t>
      </w:r>
      <w:r>
        <w:rPr>
          <w:rFonts w:hint="eastAsia" w:ascii="方正小标宋简体" w:hAnsi="方正小标宋简体" w:eastAsia="方正小标宋简体" w:cs="方正小标宋简体"/>
          <w:color w:val="000000"/>
          <w:sz w:val="44"/>
          <w:szCs w:val="44"/>
          <w:lang w:val="en-US"/>
        </w:rPr>
        <w:t>珠晖区委研究</w:t>
      </w:r>
      <w:r>
        <w:rPr>
          <w:rFonts w:hint="eastAsia" w:ascii="方正小标宋简体" w:hAnsi="方正小标宋简体" w:eastAsia="方正小标宋简体" w:cs="方正小标宋简体"/>
          <w:color w:val="000000"/>
          <w:sz w:val="44"/>
          <w:szCs w:val="44"/>
          <w:lang w:val="en-US" w:eastAsia="zh-CN"/>
        </w:rPr>
        <w:t>中心</w:t>
      </w:r>
      <w:r>
        <w:rPr>
          <w:rFonts w:hint="eastAsia" w:ascii="方正小标宋简体" w:hAnsi="方正小标宋简体" w:eastAsia="方正小标宋简体" w:cs="方正小标宋简体"/>
          <w:color w:val="000000"/>
          <w:sz w:val="44"/>
          <w:szCs w:val="44"/>
          <w:lang w:val="en-US"/>
        </w:rPr>
        <w:t>整体支出绩效报告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3" w:name="bookmark92"/>
      <w:r>
        <w:rPr>
          <w:rFonts w:hint="eastAsia" w:ascii="楷体_GB2312" w:hAnsi="楷体_GB2312" w:eastAsia="楷体_GB2312" w:cs="楷体_GB2312"/>
          <w:b/>
          <w:bCs/>
          <w:sz w:val="32"/>
          <w:szCs w:val="32"/>
        </w:rPr>
        <w:t>（</w:t>
      </w:r>
      <w:bookmarkEnd w:id="3"/>
      <w:r>
        <w:rPr>
          <w:rFonts w:hint="eastAsia" w:ascii="楷体_GB2312" w:hAnsi="楷体_GB2312" w:eastAsia="楷体_GB2312" w:cs="楷体_GB2312"/>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珠晖区委研究中心内设:办公室</w:t>
      </w:r>
      <w:r>
        <w:rPr>
          <w:rFonts w:hint="eastAsia" w:ascii="仿宋_GB2312" w:hAnsi="仿宋_GB2312" w:eastAsia="仿宋_GB2312" w:cs="仿宋_GB2312"/>
          <w:sz w:val="32"/>
          <w:szCs w:val="32"/>
          <w:lang w:eastAsia="zh-CN"/>
        </w:rPr>
        <w:t>、综合组、调研组和信息组。</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，目前在编</w:t>
      </w:r>
      <w:r>
        <w:rPr>
          <w:rFonts w:hint="eastAsia" w:ascii="仿宋_GB2312" w:hAnsi="仿宋_GB2312" w:eastAsia="仿宋_GB2312" w:cs="仿宋_GB2312"/>
          <w:sz w:val="32"/>
          <w:szCs w:val="32"/>
        </w:rPr>
        <w:t>在岗人员9名，</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正科级实职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名，副科级实职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围绕党的路线方针政策和中央、省委、市委、区委重大决策部署，对珠晖区委重要事项进行文字综合;重要课题开展调查研究;收集、分析、整理和报送国内外重要信息、最新动态，为区委决策提供信息参考,联系有关研究机构和专家学者就重要问题进行研究和咨询;承担与市委政研室联络协调工作;完成区委交办的其他任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4" w:name="bookmark94"/>
      <w:r>
        <w:rPr>
          <w:rFonts w:hint="eastAsia" w:ascii="楷体_GB2312" w:hAnsi="楷体_GB2312" w:eastAsia="楷体_GB2312" w:cs="楷体_GB2312"/>
          <w:b/>
          <w:bCs/>
          <w:sz w:val="32"/>
          <w:szCs w:val="32"/>
        </w:rPr>
        <w:t>（二）部门整体支出规模、使用方向和主要内容、涉及范围等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我单位2021年度收入合计</w:t>
      </w:r>
      <w:r>
        <w:rPr>
          <w:rFonts w:hint="eastAsia" w:ascii="仿宋_GB2312" w:hAnsi="仿宋_GB2312" w:eastAsia="仿宋_GB2312" w:cs="仿宋_GB2312"/>
          <w:sz w:val="32"/>
          <w:szCs w:val="32"/>
          <w:lang w:val="en-US" w:eastAsia="zh-CN"/>
        </w:rPr>
        <w:t>98.37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98.37</w:t>
      </w:r>
      <w:r>
        <w:rPr>
          <w:rFonts w:hint="eastAsia" w:ascii="仿宋_GB2312" w:hAnsi="仿宋_GB2312" w:eastAsia="仿宋_GB2312" w:cs="仿宋_GB2312"/>
          <w:sz w:val="32"/>
          <w:szCs w:val="32"/>
        </w:rPr>
        <w:t>万元，占100%；2021年度支出合计</w:t>
      </w:r>
      <w:r>
        <w:rPr>
          <w:rFonts w:hint="eastAsia" w:ascii="仿宋_GB2312" w:hAnsi="仿宋_GB2312" w:eastAsia="仿宋_GB2312" w:cs="仿宋_GB2312"/>
          <w:sz w:val="32"/>
          <w:szCs w:val="32"/>
          <w:lang w:val="en-US" w:eastAsia="zh-CN"/>
        </w:rPr>
        <w:t>98.37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98.37</w:t>
      </w:r>
      <w:r>
        <w:rPr>
          <w:rFonts w:hint="eastAsia" w:ascii="仿宋_GB2312" w:hAnsi="仿宋_GB2312" w:eastAsia="仿宋_GB2312" w:cs="仿宋_GB2312"/>
          <w:sz w:val="32"/>
          <w:szCs w:val="32"/>
        </w:rPr>
        <w:t>万元，占100%。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bookmarkEnd w:id="4"/>
      <w:r>
        <w:rPr>
          <w:rFonts w:hint="eastAsia" w:ascii="黑体" w:hAnsi="黑体" w:eastAsia="黑体" w:cs="黑体"/>
          <w:sz w:val="32"/>
          <w:szCs w:val="32"/>
        </w:rPr>
        <w:t>、部门整体支出管理及使用情况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5" w:name="bookmark95"/>
      <w:r>
        <w:rPr>
          <w:rFonts w:hint="eastAsia" w:ascii="楷体_GB2312" w:hAnsi="楷体_GB2312" w:eastAsia="楷体_GB2312" w:cs="楷体_GB2312"/>
          <w:b/>
          <w:bCs/>
          <w:sz w:val="32"/>
          <w:szCs w:val="32"/>
        </w:rPr>
        <w:t>（</w:t>
      </w:r>
      <w:bookmarkEnd w:id="5"/>
      <w:r>
        <w:rPr>
          <w:rFonts w:hint="eastAsia" w:ascii="楷体_GB2312" w:hAnsi="楷体_GB2312" w:eastAsia="楷体_GB2312" w:cs="楷体_GB2312"/>
          <w:b/>
          <w:bCs/>
          <w:sz w:val="32"/>
          <w:szCs w:val="32"/>
        </w:rPr>
        <w:t>一）基本支出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rPr>
        <w:t>年度基本支出</w:t>
      </w:r>
      <w:r>
        <w:rPr>
          <w:rFonts w:hint="eastAsia" w:ascii="仿宋_GB2312" w:hAnsi="仿宋_GB2312" w:eastAsia="仿宋_GB2312" w:cs="仿宋_GB2312"/>
          <w:sz w:val="32"/>
          <w:szCs w:val="32"/>
          <w:lang w:val="en-US" w:eastAsia="zh-CN"/>
        </w:rPr>
        <w:t>98.37</w:t>
      </w:r>
      <w:r>
        <w:rPr>
          <w:rFonts w:hint="eastAsia" w:ascii="仿宋_GB2312" w:hAnsi="仿宋_GB2312" w:eastAsia="仿宋_GB2312" w:cs="仿宋_GB2312"/>
          <w:sz w:val="32"/>
          <w:szCs w:val="32"/>
          <w:lang w:val="en-US"/>
        </w:rPr>
        <w:t>万元，包含人员经费支出、对个人和家庭的补助支出、商品和服务支出。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rPr>
        <w:t>年无“三公”经费预算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万元，其中：公务接待费0万元，公务用车购置及运行费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6" w:name="bookmark96"/>
      <w:r>
        <w:rPr>
          <w:rFonts w:hint="eastAsia" w:ascii="楷体_GB2312" w:hAnsi="楷体_GB2312" w:eastAsia="楷体_GB2312" w:cs="楷体_GB2312"/>
          <w:b/>
          <w:bCs/>
          <w:sz w:val="32"/>
          <w:szCs w:val="32"/>
        </w:rPr>
        <w:t>（</w:t>
      </w:r>
      <w:bookmarkEnd w:id="6"/>
      <w:r>
        <w:rPr>
          <w:rFonts w:hint="eastAsia" w:ascii="楷体_GB2312" w:hAnsi="楷体_GB2312" w:eastAsia="楷体_GB2312" w:cs="楷体_GB2312"/>
          <w:b/>
          <w:bCs/>
          <w:sz w:val="32"/>
          <w:szCs w:val="32"/>
        </w:rPr>
        <w:t>二）项目支出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rPr>
        <w:t>年度项目支出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无建设性项目支出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bookmarkStart w:id="7" w:name="bookmark102"/>
      <w:r>
        <w:rPr>
          <w:rFonts w:hint="eastAsia" w:ascii="仿宋_GB2312" w:hAnsi="仿宋_GB2312" w:eastAsia="仿宋_GB2312" w:cs="仿宋_GB2312"/>
          <w:sz w:val="32"/>
          <w:szCs w:val="32"/>
          <w:lang w:val="en-US"/>
        </w:rPr>
        <w:t>截至</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rPr>
        <w:t>年12月31日，</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珠晖区委研究中心</w:t>
      </w:r>
      <w:r>
        <w:rPr>
          <w:rFonts w:hint="eastAsia" w:ascii="仿宋_GB2312" w:hAnsi="仿宋_GB2312" w:eastAsia="仿宋_GB2312" w:cs="仿宋_GB2312"/>
          <w:sz w:val="32"/>
          <w:szCs w:val="32"/>
          <w:lang w:val="en-US"/>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辆（台）。</w:t>
      </w:r>
    </w:p>
    <w:bookmarkEnd w:id="7"/>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部门整体支出绩效情况</w:t>
      </w:r>
      <w:bookmarkStart w:id="8" w:name="bookmark1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相关文件要求，我单位对部门整体支出绩效开展了自评，并在统一公开平台公开了部门整体支出绩效评价报告。绩效评价结果显示，我单位在预算配置、预算执行、预算管理等方面工作推进扎实，较好地实现了年度绩效目标。</w:t>
      </w:r>
      <w:r>
        <w:rPr>
          <w:rFonts w:hint="eastAsia" w:ascii="仿宋_GB2312" w:hAnsi="仿宋_GB2312" w:eastAsia="仿宋_GB2312" w:cs="仿宋_GB2312"/>
          <w:sz w:val="32"/>
          <w:szCs w:val="32"/>
        </w:rPr>
        <w:t>绩效评分97分，绩效评价为优。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（一）2021年部门整体支出预算绩效目标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紧紧围绕区委、区政府中心工作，认真开展调查研究和文稿撰写工作，切实履行决策参谋服务职能。坚持以文辅政，精心起草领导文稿。</w:t>
      </w:r>
      <w:r>
        <w:rPr>
          <w:rFonts w:hint="eastAsia" w:ascii="仿宋_GB2312" w:hAnsi="仿宋_GB2312" w:eastAsia="仿宋_GB2312" w:cs="仿宋_GB2312"/>
          <w:sz w:val="32"/>
          <w:szCs w:val="32"/>
        </w:rPr>
        <w:t>全年起草各类工作总结、领导讲话、汇报材料、理论文章50余篇；全年起草调研报告10篇，报送信息200余篇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（二）2021年部门整体支出绩效目标完成情况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2021年，在区委的坚强领导和区委办的关心指导下，区委研究中心紧紧围绕区委中心工作，不断开拓进取、主动作为、求实创新，较好发挥了区委决策“智囊团”和“参谋部”作用。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一、高标定位，精益求精，以文辅政实现新突破。</w:t>
      </w:r>
      <w:r>
        <w:rPr>
          <w:rFonts w:hint="eastAsia" w:ascii="仿宋_GB2312" w:hAnsi="仿宋_GB2312" w:eastAsia="仿宋_GB2312" w:cs="仿宋_GB2312"/>
          <w:sz w:val="32"/>
          <w:szCs w:val="32"/>
          <w:lang w:val="en-US" w:eastAsia="zh-CN"/>
        </w:rPr>
        <w:t>充分发挥以文辅政作用，在文字材料上做到“三精”。</w:t>
      </w:r>
      <w:r>
        <w:rPr>
          <w:rFonts w:hint="eastAsia" w:ascii="仿宋_GB2312" w:hAnsi="仿宋_GB2312" w:eastAsia="仿宋_GB2312" w:cs="仿宋_GB2312"/>
          <w:b/>
          <w:bCs/>
          <w:sz w:val="32"/>
          <w:szCs w:val="32"/>
          <w:lang w:val="en-US" w:eastAsia="zh-CN"/>
        </w:rPr>
        <w:t>一是综合文稿“精品化”。</w:t>
      </w:r>
      <w:r>
        <w:rPr>
          <w:rFonts w:hint="eastAsia" w:ascii="仿宋_GB2312" w:hAnsi="仿宋_GB2312" w:eastAsia="仿宋_GB2312" w:cs="仿宋_GB2312"/>
          <w:sz w:val="32"/>
          <w:szCs w:val="32"/>
          <w:lang w:val="en-US" w:eastAsia="zh-CN"/>
        </w:rPr>
        <w:t>坚持把文稿质量放在第一位，不断增强文字参谋服务的思想性、政策性、针对性和实效性。高质量完成区委经济工作会、省委巡视整改、区第五次党代会、区“十四五”规划、区人大政协换届选举相关会议等全区重要会议文稿，全年共起草各类工作总结、领导讲话、汇报材料、会议纪要、理论文章等300余篇150万余字，为区委科学决策提供了高质量的文字综合服务。</w:t>
      </w:r>
      <w:r>
        <w:rPr>
          <w:rFonts w:hint="eastAsia" w:ascii="仿宋_GB2312" w:hAnsi="仿宋_GB2312" w:eastAsia="仿宋_GB2312" w:cs="仿宋_GB2312"/>
          <w:b/>
          <w:bCs/>
          <w:sz w:val="32"/>
          <w:szCs w:val="32"/>
          <w:lang w:val="en-US" w:eastAsia="zh-CN"/>
        </w:rPr>
        <w:t>二是信息报送“精准化”。</w:t>
      </w:r>
      <w:r>
        <w:rPr>
          <w:rFonts w:hint="eastAsia" w:ascii="仿宋_GB2312" w:hAnsi="仿宋_GB2312" w:eastAsia="仿宋_GB2312" w:cs="仿宋_GB2312"/>
          <w:sz w:val="32"/>
          <w:szCs w:val="32"/>
          <w:lang w:val="en-US" w:eastAsia="zh-CN"/>
        </w:rPr>
        <w:t>克服以往“坐等信息”和“信息二传手”的做法，坚持全员撰写信息，主动了解信息需求、找准信息切入点，确保信息精准有效，客观反映实情。全年共向省委、市委上报信息220条，被省市采用50余条，报送的调研信息客观真实地反映了区委在贯彻落实省委、市委决策部署方面的重要举措和显著成效，事故类信息真实反映了区委在处理全区重大安全事故、突发事件及群体性事件方面的重要部署和成功经验。没有一起信息误报、迟报、漏报、假报、瞒报的事件发生，信息工作位居全市前列。</w:t>
      </w:r>
      <w:r>
        <w:rPr>
          <w:rFonts w:hint="eastAsia" w:ascii="仿宋_GB2312" w:hAnsi="仿宋_GB2312" w:eastAsia="仿宋_GB2312" w:cs="仿宋_GB2312"/>
          <w:b/>
          <w:bCs/>
          <w:sz w:val="32"/>
          <w:szCs w:val="32"/>
          <w:lang w:val="en-US" w:eastAsia="zh-CN"/>
        </w:rPr>
        <w:t>三是调查研究“精深化”。</w:t>
      </w:r>
      <w:r>
        <w:rPr>
          <w:rFonts w:hint="eastAsia" w:ascii="仿宋_GB2312" w:hAnsi="仿宋_GB2312" w:eastAsia="仿宋_GB2312" w:cs="仿宋_GB2312"/>
          <w:sz w:val="32"/>
          <w:szCs w:val="32"/>
          <w:lang w:val="en-US" w:eastAsia="zh-CN"/>
        </w:rPr>
        <w:t>坚持把调查研究作为做好服务决策的基本功，经常深入基层、深入群众，先后围绕产业项目、文明创建、疫情防控、乡村振兴、安全生产、标准化治理等中心工作精心调研10余次，并进行超前研究和跟踪研究，积极探索解决问题的途径和办法，不断提高调研工作质量和水平，为区委决策提供符合实际的政策建议和咨询意见，形成了多篇有情况、有问题、有分析、有建议的调研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二、精心部署，周密安排，服务水平实现新提升。</w:t>
      </w:r>
      <w:r>
        <w:rPr>
          <w:rFonts w:hint="eastAsia" w:ascii="仿宋_GB2312" w:hAnsi="仿宋_GB2312" w:eastAsia="仿宋_GB2312" w:cs="仿宋_GB2312"/>
          <w:sz w:val="32"/>
          <w:szCs w:val="32"/>
          <w:lang w:val="en-US" w:eastAsia="zh-CN"/>
        </w:rPr>
        <w:t>以服务标准化为抓手，全力保障区委各项工作高效运转。</w:t>
      </w:r>
      <w:r>
        <w:rPr>
          <w:rFonts w:hint="eastAsia" w:ascii="仿宋_GB2312" w:hAnsi="仿宋_GB2312" w:eastAsia="仿宋_GB2312" w:cs="仿宋_GB2312"/>
          <w:b/>
          <w:bCs/>
          <w:sz w:val="32"/>
          <w:szCs w:val="32"/>
          <w:lang w:val="en-US" w:eastAsia="zh-CN"/>
        </w:rPr>
        <w:t>一是会务办理突出缜密筹划。</w:t>
      </w:r>
      <w:r>
        <w:rPr>
          <w:rFonts w:hint="eastAsia" w:ascii="仿宋_GB2312" w:hAnsi="仿宋_GB2312" w:eastAsia="仿宋_GB2312" w:cs="仿宋_GB2312"/>
          <w:sz w:val="32"/>
          <w:szCs w:val="32"/>
          <w:lang w:val="en-US" w:eastAsia="zh-CN"/>
        </w:rPr>
        <w:t>始终坚持“早准备、细谋划、高质量”的办会原则，加强会务统筹，严格会议审批，明确办会流程，细化责任分工，实现了标准化、流程式操作，工作效率和服务水平进一步提高。全年共组织区委四届十次全会、区委经济工作会议、区第五次党代会等全区性大型会议20余次。</w:t>
      </w:r>
      <w:r>
        <w:rPr>
          <w:rFonts w:hint="eastAsia" w:ascii="仿宋_GB2312" w:hAnsi="仿宋_GB2312" w:eastAsia="仿宋_GB2312" w:cs="仿宋_GB2312"/>
          <w:b/>
          <w:bCs/>
          <w:sz w:val="32"/>
          <w:szCs w:val="32"/>
          <w:lang w:val="en-US" w:eastAsia="zh-CN"/>
        </w:rPr>
        <w:t>二是活动安排突出未雨绸缪。</w:t>
      </w:r>
      <w:r>
        <w:rPr>
          <w:rFonts w:hint="eastAsia" w:ascii="仿宋_GB2312" w:hAnsi="仿宋_GB2312" w:eastAsia="仿宋_GB2312" w:cs="仿宋_GB2312"/>
          <w:sz w:val="32"/>
          <w:szCs w:val="32"/>
          <w:lang w:val="en-US" w:eastAsia="zh-CN"/>
        </w:rPr>
        <w:t>始终坚持对领导活动安排勤预判、早介入，认真执行区委主要领导工作活动周安排台账并及时通报区人大办、区政府办、区政协办，积极做好横向纵向的工作衔接，做到信息互通，有效避免会议、活动“交叉打架”的情况发生，全年协助区委安排各种工作调研和座谈活动20余次。</w:t>
      </w:r>
      <w:r>
        <w:rPr>
          <w:rFonts w:hint="eastAsia" w:ascii="仿宋_GB2312" w:hAnsi="仿宋_GB2312" w:eastAsia="仿宋_GB2312" w:cs="仿宋_GB2312"/>
          <w:b/>
          <w:bCs/>
          <w:sz w:val="32"/>
          <w:szCs w:val="32"/>
          <w:lang w:val="en-US" w:eastAsia="zh-CN"/>
        </w:rPr>
        <w:t>三是应急值守突出科学高效。</w:t>
      </w:r>
      <w:r>
        <w:rPr>
          <w:rFonts w:hint="eastAsia" w:ascii="仿宋_GB2312" w:hAnsi="仿宋_GB2312" w:eastAsia="仿宋_GB2312" w:cs="仿宋_GB2312"/>
          <w:sz w:val="32"/>
          <w:szCs w:val="32"/>
          <w:lang w:val="en-US" w:eastAsia="zh-CN"/>
        </w:rPr>
        <w:t>严格落实24小时专人值班和法定节假日领导带班值班制度、领导同志外出请示报告制度，同时加强对全区各级各部门值班应急各项制度执行情况的检查抽查，确保来电有人接、遇事有人办、紧急信息随时研判报送，领导交办事项及时落实。全年没有因突发事件处置不及时而造成严重后果的情况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三、内强素质，外塑形象，自身建设迈上新台阶。</w:t>
      </w:r>
      <w:r>
        <w:rPr>
          <w:rFonts w:hint="eastAsia" w:ascii="仿宋_GB2312" w:hAnsi="仿宋_GB2312" w:eastAsia="仿宋_GB2312" w:cs="仿宋_GB2312"/>
          <w:sz w:val="32"/>
          <w:szCs w:val="32"/>
          <w:lang w:val="en-US" w:eastAsia="zh-CN"/>
        </w:rPr>
        <w:t>坚持把工作质量和工作效能放在突出位置。</w:t>
      </w:r>
      <w:r>
        <w:rPr>
          <w:rFonts w:hint="eastAsia" w:ascii="仿宋_GB2312" w:hAnsi="仿宋_GB2312" w:eastAsia="仿宋_GB2312" w:cs="仿宋_GB2312"/>
          <w:b/>
          <w:bCs/>
          <w:sz w:val="32"/>
          <w:szCs w:val="32"/>
          <w:lang w:val="en-US" w:eastAsia="zh-CN"/>
        </w:rPr>
        <w:t>一是强化学习，提升素质。</w:t>
      </w:r>
      <w:r>
        <w:rPr>
          <w:rFonts w:hint="eastAsia" w:ascii="仿宋_GB2312" w:hAnsi="仿宋_GB2312" w:eastAsia="仿宋_GB2312" w:cs="仿宋_GB2312"/>
          <w:sz w:val="32"/>
          <w:szCs w:val="32"/>
          <w:lang w:val="en-US" w:eastAsia="zh-CN"/>
        </w:rPr>
        <w:t>始终把学习作为政治责任、首要任务、立智之本抓紧抓实，与区委办一同组织学习贯彻习近平总书记“七一”重要讲话、党的十九届六中全会，省、市、区党代会精神10余次，开展党史学习专题讨论4次，有效提升了干部队伍的决策参谋能力、理性思维能力和业务创新能力。</w:t>
      </w:r>
      <w:r>
        <w:rPr>
          <w:rFonts w:hint="eastAsia" w:ascii="仿宋_GB2312" w:hAnsi="仿宋_GB2312" w:eastAsia="仿宋_GB2312" w:cs="仿宋_GB2312"/>
          <w:b/>
          <w:bCs/>
          <w:sz w:val="32"/>
          <w:szCs w:val="32"/>
          <w:lang w:val="en-US" w:eastAsia="zh-CN"/>
        </w:rPr>
        <w:t>二是改进作风，增进团结。</w:t>
      </w:r>
      <w:r>
        <w:rPr>
          <w:rFonts w:hint="eastAsia" w:ascii="仿宋_GB2312" w:hAnsi="仿宋_GB2312" w:eastAsia="仿宋_GB2312" w:cs="仿宋_GB2312"/>
          <w:sz w:val="32"/>
          <w:szCs w:val="32"/>
          <w:lang w:val="en-US" w:eastAsia="zh-CN"/>
        </w:rPr>
        <w:t>始终将正风肃纪作为改进党风政风、提高服务效能的重要途径，立足“三服务”核心内容，开展“批评与自我批评”等活动，教育引导全体职工切实转变作风，敢于担当，勇于攻坚，形成了讲实话、干实事、求实效的干事创业氛围。</w:t>
      </w:r>
      <w:r>
        <w:rPr>
          <w:rFonts w:hint="eastAsia" w:ascii="仿宋_GB2312" w:hAnsi="仿宋_GB2312" w:eastAsia="仿宋_GB2312" w:cs="仿宋_GB2312"/>
          <w:b/>
          <w:bCs/>
          <w:sz w:val="32"/>
          <w:szCs w:val="32"/>
          <w:lang w:val="en-US" w:eastAsia="zh-CN"/>
        </w:rPr>
        <w:t>三是建强队伍，筑牢根基。</w:t>
      </w:r>
      <w:r>
        <w:rPr>
          <w:rFonts w:hint="eastAsia" w:ascii="仿宋_GB2312" w:hAnsi="仿宋_GB2312" w:eastAsia="仿宋_GB2312" w:cs="仿宋_GB2312"/>
          <w:sz w:val="32"/>
          <w:szCs w:val="32"/>
          <w:lang w:val="en-US" w:eastAsia="zh-CN"/>
        </w:rPr>
        <w:t>全年对外交流2名领导干部，2名年轻干部，干部队伍全员年轻化。同时加大年轻干部培养，精心选派年轻干部赴省委办、市委办跟班学习，干部队伍理论水平更高、业务能力更强、工作活力更足。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bookmarkEnd w:id="8"/>
      <w:r>
        <w:rPr>
          <w:rFonts w:hint="eastAsia" w:ascii="黑体" w:hAnsi="黑体" w:eastAsia="黑体" w:cs="黑体"/>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部门整体预算的编制、执行和管理过程以及职能发挥和履职效益基本支出经费预算完成率和预算控制率均较好，项目收支中部分项目因受机构改革等因素影响，造成指标下达时间较晚，导致资金未能及时使用。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持续推进预算编制科学化；持续加强预算执行规范化；持续加强财务管理制度。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6"/>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6"/>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60283"/>
    <w:multiLevelType w:val="singleLevel"/>
    <w:tmpl w:val="5D7602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ZjhkOGQzOTg4Yzc0YWZkMWZmNzhjMWJkZWMzMDgifQ=="/>
  </w:docVars>
  <w:rsids>
    <w:rsidRoot w:val="56C81120"/>
    <w:rsid w:val="000031FE"/>
    <w:rsid w:val="00037D5D"/>
    <w:rsid w:val="00056511"/>
    <w:rsid w:val="00067746"/>
    <w:rsid w:val="00123E0D"/>
    <w:rsid w:val="0017144C"/>
    <w:rsid w:val="00182B1B"/>
    <w:rsid w:val="001A6AE7"/>
    <w:rsid w:val="001C10F5"/>
    <w:rsid w:val="001F5066"/>
    <w:rsid w:val="00222E10"/>
    <w:rsid w:val="0023253C"/>
    <w:rsid w:val="00242835"/>
    <w:rsid w:val="00257DC6"/>
    <w:rsid w:val="00275D40"/>
    <w:rsid w:val="00283BC3"/>
    <w:rsid w:val="00294570"/>
    <w:rsid w:val="002A34CA"/>
    <w:rsid w:val="002D47D4"/>
    <w:rsid w:val="00382831"/>
    <w:rsid w:val="00393212"/>
    <w:rsid w:val="003A0DB8"/>
    <w:rsid w:val="003E1F65"/>
    <w:rsid w:val="004060B6"/>
    <w:rsid w:val="00485A46"/>
    <w:rsid w:val="00486E0A"/>
    <w:rsid w:val="004948BF"/>
    <w:rsid w:val="0050463A"/>
    <w:rsid w:val="0051580B"/>
    <w:rsid w:val="00525983"/>
    <w:rsid w:val="00570BA0"/>
    <w:rsid w:val="005854F4"/>
    <w:rsid w:val="00586A64"/>
    <w:rsid w:val="005E4D5E"/>
    <w:rsid w:val="005F5534"/>
    <w:rsid w:val="00611A0A"/>
    <w:rsid w:val="00634EA3"/>
    <w:rsid w:val="00657862"/>
    <w:rsid w:val="00660183"/>
    <w:rsid w:val="006A2690"/>
    <w:rsid w:val="006B0198"/>
    <w:rsid w:val="00782824"/>
    <w:rsid w:val="007D08E9"/>
    <w:rsid w:val="007D531F"/>
    <w:rsid w:val="00835B6B"/>
    <w:rsid w:val="00943F10"/>
    <w:rsid w:val="009553AC"/>
    <w:rsid w:val="00997535"/>
    <w:rsid w:val="009D2052"/>
    <w:rsid w:val="00A035FB"/>
    <w:rsid w:val="00B22A6D"/>
    <w:rsid w:val="00B7473F"/>
    <w:rsid w:val="00BB39D4"/>
    <w:rsid w:val="00C03067"/>
    <w:rsid w:val="00C24AB8"/>
    <w:rsid w:val="00CE5ECA"/>
    <w:rsid w:val="00CE70D2"/>
    <w:rsid w:val="00D304B0"/>
    <w:rsid w:val="00DA1532"/>
    <w:rsid w:val="00DB16B9"/>
    <w:rsid w:val="00DC3293"/>
    <w:rsid w:val="00E330C6"/>
    <w:rsid w:val="00E772E9"/>
    <w:rsid w:val="00ED488E"/>
    <w:rsid w:val="00ED5D4D"/>
    <w:rsid w:val="00EE7503"/>
    <w:rsid w:val="00F25C94"/>
    <w:rsid w:val="00F50A30"/>
    <w:rsid w:val="00F62DAE"/>
    <w:rsid w:val="00F74595"/>
    <w:rsid w:val="02312FDE"/>
    <w:rsid w:val="029744D0"/>
    <w:rsid w:val="030A3C3B"/>
    <w:rsid w:val="03737E75"/>
    <w:rsid w:val="07853A0B"/>
    <w:rsid w:val="0C505A2A"/>
    <w:rsid w:val="0D4E4030"/>
    <w:rsid w:val="0F3C6536"/>
    <w:rsid w:val="111D7620"/>
    <w:rsid w:val="12E6658F"/>
    <w:rsid w:val="15224E9F"/>
    <w:rsid w:val="1810076A"/>
    <w:rsid w:val="1A1C4F3B"/>
    <w:rsid w:val="1CB55F50"/>
    <w:rsid w:val="1F6E185C"/>
    <w:rsid w:val="1F7E147F"/>
    <w:rsid w:val="205265F0"/>
    <w:rsid w:val="205438DB"/>
    <w:rsid w:val="21B019C0"/>
    <w:rsid w:val="236639AE"/>
    <w:rsid w:val="281A0EAC"/>
    <w:rsid w:val="28E26A4A"/>
    <w:rsid w:val="290A0FAD"/>
    <w:rsid w:val="29716BC5"/>
    <w:rsid w:val="2C8F18D7"/>
    <w:rsid w:val="33341AE4"/>
    <w:rsid w:val="33A969D6"/>
    <w:rsid w:val="33B015AE"/>
    <w:rsid w:val="3BDB363C"/>
    <w:rsid w:val="3BE645DA"/>
    <w:rsid w:val="3DB7D2EE"/>
    <w:rsid w:val="3F577654"/>
    <w:rsid w:val="40B95CD0"/>
    <w:rsid w:val="423B1DB6"/>
    <w:rsid w:val="42C22095"/>
    <w:rsid w:val="43472A5E"/>
    <w:rsid w:val="43570F87"/>
    <w:rsid w:val="4999703E"/>
    <w:rsid w:val="4D301426"/>
    <w:rsid w:val="4D625F91"/>
    <w:rsid w:val="4EFFD560"/>
    <w:rsid w:val="527541A2"/>
    <w:rsid w:val="52E51199"/>
    <w:rsid w:val="54365D91"/>
    <w:rsid w:val="56C81120"/>
    <w:rsid w:val="56F073BC"/>
    <w:rsid w:val="596706EB"/>
    <w:rsid w:val="5A387BCA"/>
    <w:rsid w:val="5B8E7E9F"/>
    <w:rsid w:val="5F9423E7"/>
    <w:rsid w:val="62513BD9"/>
    <w:rsid w:val="627B59FE"/>
    <w:rsid w:val="63F654F1"/>
    <w:rsid w:val="66E27882"/>
    <w:rsid w:val="688268EC"/>
    <w:rsid w:val="6D094C10"/>
    <w:rsid w:val="6DEF5B5D"/>
    <w:rsid w:val="6FBDF1F0"/>
    <w:rsid w:val="70A215E7"/>
    <w:rsid w:val="71243E51"/>
    <w:rsid w:val="71282C3F"/>
    <w:rsid w:val="74FA07B0"/>
    <w:rsid w:val="75C57ABA"/>
    <w:rsid w:val="767F4FDB"/>
    <w:rsid w:val="78DD78FF"/>
    <w:rsid w:val="7EAD4C52"/>
    <w:rsid w:val="B0FD0B06"/>
    <w:rsid w:val="B5FA25D5"/>
    <w:rsid w:val="B9FB5699"/>
    <w:rsid w:val="BEA6F241"/>
    <w:rsid w:val="BFFBA017"/>
    <w:rsid w:val="C66DC474"/>
    <w:rsid w:val="EEDFAEB2"/>
    <w:rsid w:val="F7F6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微软雅黑" w:hAnsi="微软雅黑" w:eastAsia="微软雅黑" w:cs="微软雅黑"/>
      <w:sz w:val="14"/>
      <w:szCs w:val="14"/>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1">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2">
    <w:name w:val="Body text|3"/>
    <w:basedOn w:val="1"/>
    <w:qFormat/>
    <w:uiPriority w:val="0"/>
    <w:pPr>
      <w:spacing w:before="220" w:after="720"/>
      <w:ind w:firstLine="520"/>
    </w:pPr>
    <w:rPr>
      <w:sz w:val="32"/>
      <w:szCs w:val="32"/>
    </w:rPr>
  </w:style>
  <w:style w:type="paragraph" w:customStyle="1" w:styleId="23">
    <w:name w:val="Other|1"/>
    <w:basedOn w:val="1"/>
    <w:qFormat/>
    <w:uiPriority w:val="0"/>
    <w:pPr>
      <w:spacing w:line="302" w:lineRule="exact"/>
    </w:pPr>
    <w:rPr>
      <w:rFonts w:ascii="宋体" w:hAnsi="宋体" w:cs="宋体"/>
      <w:sz w:val="19"/>
      <w:szCs w:val="19"/>
      <w:lang w:val="zh-CN" w:bidi="zh-CN"/>
    </w:rPr>
  </w:style>
  <w:style w:type="paragraph" w:customStyle="1" w:styleId="24">
    <w:name w:val="Body text|4"/>
    <w:basedOn w:val="1"/>
    <w:qFormat/>
    <w:uiPriority w:val="0"/>
    <w:pPr>
      <w:spacing w:after="60"/>
      <w:ind w:firstLine="320"/>
    </w:pPr>
    <w:rPr>
      <w:rFonts w:ascii="宋体" w:hAnsi="宋体" w:cs="宋体"/>
      <w:lang w:val="zh-CN" w:bidi="zh-CN"/>
    </w:rPr>
  </w:style>
  <w:style w:type="paragraph" w:customStyle="1" w:styleId="25">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6">
    <w:name w:val="Header or footer|2"/>
    <w:basedOn w:val="1"/>
    <w:qFormat/>
    <w:uiPriority w:val="0"/>
    <w:rPr>
      <w:sz w:val="20"/>
      <w:szCs w:val="20"/>
      <w:lang w:val="zh-CN" w:bidi="zh-CN"/>
    </w:rPr>
  </w:style>
  <w:style w:type="paragraph" w:customStyle="1" w:styleId="27">
    <w:name w:val="Body text|2"/>
    <w:basedOn w:val="1"/>
    <w:qFormat/>
    <w:uiPriority w:val="0"/>
    <w:pPr>
      <w:spacing w:after="470"/>
    </w:pPr>
    <w:rPr>
      <w:b/>
      <w:bCs/>
      <w:sz w:val="19"/>
      <w:szCs w:val="19"/>
      <w:lang w:val="zh-CN" w:bidi="zh-CN"/>
    </w:rPr>
  </w:style>
  <w:style w:type="character" w:customStyle="1" w:styleId="28">
    <w:name w:val="bsharetext"/>
    <w:basedOn w:val="7"/>
    <w:qFormat/>
    <w:uiPriority w:val="0"/>
  </w:style>
  <w:style w:type="character" w:customStyle="1" w:styleId="29">
    <w:name w:val="页眉 字符"/>
    <w:basedOn w:val="7"/>
    <w:link w:val="4"/>
    <w:qFormat/>
    <w:uiPriority w:val="0"/>
    <w:rPr>
      <w:rFonts w:ascii="Calibri" w:hAnsi="Calibri"/>
      <w:kern w:val="2"/>
      <w:sz w:val="18"/>
      <w:szCs w:val="18"/>
    </w:rPr>
  </w:style>
  <w:style w:type="paragraph" w:styleId="30">
    <w:name w:val="List Paragraph"/>
    <w:basedOn w:val="1"/>
    <w:unhideWhenUsed/>
    <w:qFormat/>
    <w:uiPriority w:val="99"/>
    <w:pPr>
      <w:ind w:firstLine="420" w:firstLineChars="200"/>
    </w:pPr>
  </w:style>
  <w:style w:type="character" w:customStyle="1" w:styleId="31">
    <w:name w:val="peoplefilling"/>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887</Words>
  <Characters>942</Characters>
  <Lines>19</Lines>
  <Paragraphs>5</Paragraphs>
  <TotalTime>296</TotalTime>
  <ScaleCrop>false</ScaleCrop>
  <LinksUpToDate>false</LinksUpToDate>
  <CharactersWithSpaces>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2020-05-15T10:55:00Z</dcterms:created>
  <dc:creator></dc:creator>
  <cp:lastModifiedBy>歪脖子小树</cp:lastModifiedBy>
  <cp:lastPrinted>2020-05-18T10:11:00Z</cp:lastPrinted>
  <dcterms:modified xsi:type="dcterms:W3CDTF">2023-12-13T03:24:30Z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AEAEDA58ACBD4CE2882D865E3B1A22B5_13</vt:lpwstr>
  </property>
</Properties>
</file>