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880" w:firstLineChars="200"/>
        <w:jc w:val="center"/>
        <w:textAlignment w:val="auto"/>
        <w:outlineLvl w:val="9"/>
        <w:rPr>
          <w:rFonts w:hint="eastAsia" w:ascii="华文中宋" w:hAnsi="华文中宋" w:eastAsia="华文中宋" w:cs="华文中宋"/>
          <w:b w:val="0"/>
          <w:bCs/>
          <w:kern w:val="2"/>
          <w:sz w:val="44"/>
          <w:szCs w:val="44"/>
          <w:lang w:val="en-US" w:eastAsia="zh-CN" w:bidi="ar-SA"/>
        </w:rPr>
      </w:pPr>
      <w:r>
        <w:rPr>
          <w:rFonts w:hint="eastAsia" w:ascii="华文中宋" w:hAnsi="华文中宋" w:eastAsia="华文中宋" w:cs="华文中宋"/>
          <w:b w:val="0"/>
          <w:bCs/>
          <w:sz w:val="44"/>
          <w:szCs w:val="44"/>
          <w:lang w:val="en-US" w:eastAsia="zh-CN"/>
        </w:rPr>
        <w:t>预算绩效管理工作开展情况</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640" w:firstLineChars="200"/>
        <w:jc w:val="both"/>
        <w:textAlignment w:val="auto"/>
        <w:outlineLvl w:val="9"/>
        <w:rPr>
          <w:rFonts w:hint="eastAsia" w:ascii="仿宋" w:hAnsi="仿宋" w:eastAsia="仿宋" w:cs="Times New Roman"/>
          <w:kern w:val="2"/>
          <w:sz w:val="32"/>
          <w:szCs w:val="32"/>
          <w:lang w:val="en-US" w:eastAsia="zh-CN" w:bidi="ar-SA"/>
        </w:rPr>
      </w:pPr>
      <w:r>
        <w:rPr>
          <w:rFonts w:hint="eastAsia" w:ascii="仿宋" w:hAnsi="仿宋" w:eastAsia="仿宋" w:cs="仿宋"/>
          <w:i w:val="0"/>
          <w:iCs w:val="0"/>
          <w:caps w:val="0"/>
          <w:color w:val="333333"/>
          <w:spacing w:val="0"/>
          <w:kern w:val="0"/>
          <w:sz w:val="32"/>
          <w:szCs w:val="32"/>
          <w:shd w:val="clear" w:color="auto" w:fill="FFFFFF"/>
          <w:lang w:val="en-US" w:eastAsia="zh-CN" w:bidi="ar"/>
        </w:rPr>
        <w:t>2021年，我区深入贯彻“全面实施 预算绩效管理”的政策精神，认真践行“花钱必问效，无效必问责”的绩效理念，扎实推进珠晖区预算绩效管理工作，加快构建全方位、全过程、全覆盖、全公开的预算绩效管理体系，全面提高财政资源配置效益和使用效率。</w:t>
      </w:r>
    </w:p>
    <w:p>
      <w:pPr>
        <w:keepNext w:val="0"/>
        <w:keepLines w:val="0"/>
        <w:pageBreakBefore w:val="0"/>
        <w:widowControl w:val="0"/>
        <w:numPr>
          <w:ilvl w:val="0"/>
          <w:numId w:val="0"/>
        </w:numPr>
        <w:tabs>
          <w:tab w:val="left" w:pos="419"/>
        </w:tabs>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kern w:val="2"/>
          <w:sz w:val="32"/>
          <w:szCs w:val="32"/>
          <w:lang w:val="en-US" w:eastAsia="zh-CN" w:bidi="ar-SA"/>
        </w:rPr>
      </w:pPr>
      <w:bookmarkStart w:id="0" w:name="_GoBack"/>
      <w:bookmarkEnd w:id="0"/>
      <w:r>
        <w:rPr>
          <w:rFonts w:hint="eastAsia" w:ascii="仿宋" w:hAnsi="仿宋" w:eastAsia="仿宋" w:cs="Times New Roman"/>
          <w:kern w:val="2"/>
          <w:sz w:val="32"/>
          <w:szCs w:val="32"/>
          <w:lang w:val="en-US" w:eastAsia="zh-CN" w:bidi="ar-SA"/>
        </w:rPr>
        <w:t>一是实施部门和单位预算绩效管理，对编制2021年部门预算的</w:t>
      </w:r>
      <w:r>
        <w:rPr>
          <w:rFonts w:hint="eastAsia" w:ascii="仿宋_GB2312" w:hAnsi="仿宋_GB2312" w:eastAsia="仿宋_GB2312" w:cs="仿宋_GB2312"/>
          <w:sz w:val="32"/>
          <w:szCs w:val="32"/>
          <w:lang w:val="en-US" w:eastAsia="zh-CN"/>
        </w:rPr>
        <w:t>73个预算单位</w:t>
      </w:r>
      <w:r>
        <w:rPr>
          <w:rFonts w:hint="eastAsia" w:ascii="仿宋" w:hAnsi="仿宋" w:eastAsia="仿宋" w:cs="Times New Roman"/>
          <w:kern w:val="2"/>
          <w:sz w:val="32"/>
          <w:szCs w:val="32"/>
          <w:lang w:val="en-US" w:eastAsia="zh-CN" w:bidi="ar-SA"/>
        </w:rPr>
        <w:t>资金实行了整体绩效目标申报和项目资金申报审核，进一步提高绩效目标质量，申报目标审核通过后并随预算资料在网上进行公开。</w:t>
      </w:r>
    </w:p>
    <w:p>
      <w:pPr>
        <w:keepNext w:val="0"/>
        <w:keepLines w:val="0"/>
        <w:pageBreakBefore w:val="0"/>
        <w:widowControl w:val="0"/>
        <w:numPr>
          <w:ilvl w:val="0"/>
          <w:numId w:val="0"/>
        </w:numPr>
        <w:tabs>
          <w:tab w:val="left" w:pos="419"/>
        </w:tabs>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二是预算绩效制度体系逐步完善，制定了《中共珠晖区委办公室  珠晖区人民政府办公室转发&lt;中共湖南省委办公厅湖南省人民政府办公厅关于全面实施预算绩效管理的实施意见&gt;的通知》、《衡阳市珠晖区财政局关于转发&lt;湖南省预算支出绩效评价管理办法&gt;的通知》等系列制度。</w:t>
      </w:r>
    </w:p>
    <w:p>
      <w:pPr>
        <w:keepNext w:val="0"/>
        <w:keepLines w:val="0"/>
        <w:pageBreakBefore w:val="0"/>
        <w:widowControl w:val="0"/>
        <w:numPr>
          <w:ilvl w:val="0"/>
          <w:numId w:val="0"/>
        </w:numPr>
        <w:tabs>
          <w:tab w:val="left" w:pos="419"/>
        </w:tabs>
        <w:kinsoku/>
        <w:wordWrap/>
        <w:overflowPunct/>
        <w:topLinePunct w:val="0"/>
        <w:autoSpaceDE/>
        <w:autoSpaceDN/>
        <w:bidi w:val="0"/>
        <w:adjustRightInd/>
        <w:snapToGrid/>
        <w:ind w:firstLine="640" w:firstLineChars="200"/>
        <w:jc w:val="both"/>
        <w:textAlignment w:val="auto"/>
        <w:rPr>
          <w:rFonts w:hint="eastAsia" w:ascii="仿宋_GB2312" w:hAnsi="宋体" w:eastAsia="仿宋_GB2312" w:cs="宋体"/>
          <w:color w:val="303030"/>
          <w:kern w:val="0"/>
          <w:sz w:val="32"/>
          <w:szCs w:val="32"/>
          <w:lang w:val="en-US" w:eastAsia="zh-CN" w:bidi="ar-SA"/>
        </w:rPr>
      </w:pPr>
      <w:r>
        <w:rPr>
          <w:rFonts w:hint="eastAsia" w:ascii="仿宋" w:hAnsi="仿宋" w:eastAsia="仿宋" w:cs="Times New Roman"/>
          <w:kern w:val="2"/>
          <w:sz w:val="32"/>
          <w:szCs w:val="32"/>
          <w:lang w:val="en-US" w:eastAsia="zh-CN" w:bidi="ar-SA"/>
        </w:rPr>
        <w:t>三是开展绩效运行监控，</w:t>
      </w:r>
      <w:r>
        <w:rPr>
          <w:rFonts w:hint="default" w:ascii="仿宋" w:hAnsi="仿宋" w:eastAsia="仿宋" w:cs="Times New Roman"/>
          <w:kern w:val="2"/>
          <w:sz w:val="32"/>
          <w:szCs w:val="32"/>
          <w:lang w:val="en-US" w:eastAsia="zh-CN" w:bidi="ar-SA"/>
        </w:rPr>
        <w:t>绩效运行与预算执行“双监控”</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明确方式</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范围与工作要求</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统一监控内容和标准</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监控数据上报时间和程序</w:t>
      </w:r>
      <w:r>
        <w:rPr>
          <w:rFonts w:hint="eastAsia" w:ascii="仿宋" w:hAnsi="仿宋" w:eastAsia="仿宋" w:cs="Times New Roman"/>
          <w:kern w:val="2"/>
          <w:sz w:val="32"/>
          <w:szCs w:val="32"/>
          <w:lang w:val="en-US" w:eastAsia="zh-CN" w:bidi="ar-SA"/>
        </w:rPr>
        <w:t>、</w:t>
      </w:r>
      <w:r>
        <w:rPr>
          <w:rFonts w:hint="default" w:ascii="仿宋" w:hAnsi="仿宋" w:eastAsia="仿宋" w:cs="Times New Roman"/>
          <w:kern w:val="2"/>
          <w:sz w:val="32"/>
          <w:szCs w:val="32"/>
          <w:lang w:val="en-US" w:eastAsia="zh-CN" w:bidi="ar-SA"/>
        </w:rPr>
        <w:t>跟踪监控报告及相关事项的表式</w:t>
      </w:r>
      <w:r>
        <w:rPr>
          <w:rFonts w:hint="eastAsia" w:ascii="仿宋" w:hAnsi="仿宋" w:eastAsia="仿宋" w:cs="Times New Roman"/>
          <w:kern w:val="2"/>
          <w:sz w:val="32"/>
          <w:szCs w:val="32"/>
          <w:lang w:val="en-US" w:eastAsia="zh-CN" w:bidi="ar-SA"/>
        </w:rPr>
        <w:t>。对</w:t>
      </w:r>
      <w:r>
        <w:rPr>
          <w:rFonts w:hint="eastAsia" w:ascii="仿宋_GB2312" w:hAnsi="宋体" w:eastAsia="仿宋_GB2312" w:cs="宋体"/>
          <w:color w:val="303030"/>
          <w:kern w:val="0"/>
          <w:sz w:val="32"/>
          <w:szCs w:val="32"/>
          <w:lang w:val="en-US" w:eastAsia="zh-CN" w:bidi="ar-SA"/>
        </w:rPr>
        <w:t>纳入我区</w:t>
      </w:r>
      <w:r>
        <w:rPr>
          <w:rFonts w:hint="default" w:ascii="仿宋_GB2312" w:hAnsi="宋体" w:eastAsia="仿宋_GB2312" w:cs="宋体"/>
          <w:color w:val="303030"/>
          <w:kern w:val="0"/>
          <w:sz w:val="32"/>
          <w:szCs w:val="32"/>
          <w:lang w:val="en-US" w:eastAsia="zh-CN" w:bidi="ar-SA"/>
        </w:rPr>
        <w:t>20</w:t>
      </w:r>
      <w:r>
        <w:rPr>
          <w:rFonts w:hint="eastAsia" w:ascii="仿宋_GB2312" w:hAnsi="宋体" w:eastAsia="仿宋_GB2312" w:cs="宋体"/>
          <w:color w:val="303030"/>
          <w:kern w:val="0"/>
          <w:sz w:val="32"/>
          <w:szCs w:val="32"/>
          <w:lang w:val="en-US" w:eastAsia="zh-CN" w:bidi="ar-SA"/>
        </w:rPr>
        <w:t>21</w:t>
      </w:r>
      <w:r>
        <w:rPr>
          <w:rFonts w:hint="default" w:ascii="仿宋_GB2312" w:hAnsi="宋体" w:eastAsia="仿宋_GB2312" w:cs="宋体"/>
          <w:color w:val="303030"/>
          <w:kern w:val="0"/>
          <w:sz w:val="32"/>
          <w:szCs w:val="32"/>
          <w:lang w:val="en-US" w:eastAsia="zh-CN" w:bidi="ar-SA"/>
        </w:rPr>
        <w:t>年度预算绩效目标管理的部门</w:t>
      </w:r>
      <w:r>
        <w:rPr>
          <w:rFonts w:hint="eastAsia" w:ascii="仿宋_GB2312" w:hAnsi="宋体" w:eastAsia="仿宋_GB2312" w:cs="宋体"/>
          <w:color w:val="303030"/>
          <w:kern w:val="0"/>
          <w:sz w:val="32"/>
          <w:szCs w:val="32"/>
          <w:lang w:val="en-US" w:eastAsia="zh-CN" w:bidi="ar-SA"/>
        </w:rPr>
        <w:t>单位</w:t>
      </w:r>
      <w:r>
        <w:rPr>
          <w:rFonts w:hint="default" w:ascii="仿宋_GB2312" w:hAnsi="宋体" w:eastAsia="仿宋_GB2312" w:cs="宋体"/>
          <w:color w:val="303030"/>
          <w:kern w:val="0"/>
          <w:sz w:val="32"/>
          <w:szCs w:val="32"/>
          <w:lang w:val="en-US" w:eastAsia="zh-CN" w:bidi="ar-SA"/>
        </w:rPr>
        <w:t>开展</w:t>
      </w:r>
      <w:r>
        <w:rPr>
          <w:rFonts w:hint="eastAsia" w:ascii="仿宋_GB2312" w:hAnsi="宋体" w:eastAsia="仿宋_GB2312" w:cs="宋体"/>
          <w:color w:val="303030"/>
          <w:kern w:val="0"/>
          <w:sz w:val="32"/>
          <w:szCs w:val="32"/>
          <w:lang w:val="en-US" w:eastAsia="zh-CN" w:bidi="ar-SA"/>
        </w:rPr>
        <w:t>1-6月</w:t>
      </w:r>
      <w:r>
        <w:rPr>
          <w:rFonts w:hint="default" w:ascii="仿宋_GB2312" w:hAnsi="宋体" w:eastAsia="仿宋_GB2312" w:cs="宋体"/>
          <w:color w:val="303030"/>
          <w:kern w:val="0"/>
          <w:sz w:val="32"/>
          <w:szCs w:val="32"/>
          <w:lang w:val="en-US" w:eastAsia="zh-CN" w:bidi="ar-SA"/>
        </w:rPr>
        <w:t>绩效运行跟踪监控</w:t>
      </w:r>
      <w:r>
        <w:rPr>
          <w:rFonts w:hint="eastAsia" w:ascii="仿宋_GB2312" w:hAnsi="宋体" w:eastAsia="仿宋_GB2312" w:cs="宋体"/>
          <w:color w:val="303030"/>
          <w:kern w:val="0"/>
          <w:sz w:val="32"/>
          <w:szCs w:val="32"/>
          <w:lang w:val="en-US" w:eastAsia="zh-CN" w:bidi="ar-SA"/>
        </w:rPr>
        <w:t>。</w:t>
      </w:r>
    </w:p>
    <w:p>
      <w:pPr>
        <w:keepNext w:val="0"/>
        <w:keepLines w:val="0"/>
        <w:pageBreakBefore w:val="0"/>
        <w:widowControl w:val="0"/>
        <w:numPr>
          <w:ilvl w:val="0"/>
          <w:numId w:val="0"/>
        </w:numPr>
        <w:tabs>
          <w:tab w:val="left" w:pos="419"/>
        </w:tabs>
        <w:kinsoku/>
        <w:wordWrap/>
        <w:overflowPunct/>
        <w:topLinePunct w:val="0"/>
        <w:autoSpaceDE/>
        <w:autoSpaceDN/>
        <w:bidi w:val="0"/>
        <w:adjustRightInd/>
        <w:snapToGrid/>
        <w:ind w:firstLine="640" w:firstLineChars="200"/>
        <w:jc w:val="both"/>
        <w:textAlignment w:val="auto"/>
        <w:rPr>
          <w:rFonts w:hint="eastAsia" w:ascii="仿宋" w:hAnsi="仿宋" w:eastAsia="仿宋" w:cs="Times New Roman"/>
          <w:kern w:val="2"/>
          <w:sz w:val="32"/>
          <w:szCs w:val="32"/>
          <w:lang w:val="en-US" w:eastAsia="zh-CN" w:bidi="ar-SA"/>
        </w:rPr>
      </w:pPr>
      <w:r>
        <w:rPr>
          <w:rFonts w:hint="eastAsia" w:ascii="仿宋" w:hAnsi="仿宋" w:eastAsia="仿宋" w:cs="Times New Roman"/>
          <w:kern w:val="2"/>
          <w:sz w:val="32"/>
          <w:szCs w:val="32"/>
          <w:lang w:val="en-US" w:eastAsia="zh-CN" w:bidi="ar-SA"/>
        </w:rPr>
        <w:t>四是积极开展绩效评价工作，将2020一级预算单位年整体支出全部纳入绩效自评范围，并开展了专项扶贫、2018年-2020年政府专项债券项目资金、2020年抗疫国债项目、社区运转经费、区级就业资金的绩效自评，并引入第三方机构，开展了政府专项债券项目资金、社区运转经费、区级就业资金的重点绩效评价，并出具绩效评价结果报告。</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M0MTQ0MWM2ZTBjN2NkNGMwNTgzMmJjZDY0ZmZiOGIifQ=="/>
  </w:docVars>
  <w:rsids>
    <w:rsidRoot w:val="00000000"/>
    <w:rsid w:val="22910828"/>
    <w:rsid w:val="50E60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2023-09-26T08:56:00Z</dcterms:created>
  <dc:creator>Administrator</dc:creator>
  <cp:lastModifiedBy>Administrator</cp:lastModifiedBy>
  <dcterms:modified xsi:type="dcterms:W3CDTF">2023-09-26T09:36:37Z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634FE955D01E4726A4B54EAFBE21CFAE_12</vt:lpwstr>
  </property>
</Properties>
</file>