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keepNext/>
        <w:keepLines/>
        <w:spacing w:after="260" w:line="480" w:lineRule="auto"/>
        <w:rPr>
          <w:color w:val="000000"/>
          <w:sz w:val="32"/>
          <w:szCs w:val="32"/>
          <w:lang w:val="en-US"/>
        </w:rPr>
      </w:pPr>
      <w:bookmarkStart w:id="0" w:name="bookmark89"/>
      <w:bookmarkStart w:id="1" w:name="bookmark90"/>
      <w:bookmarkStart w:id="2" w:name="bookmark88"/>
      <w:r>
        <w:rPr>
          <w:rFonts w:hint="eastAsia"/>
          <w:color w:val="000000"/>
          <w:sz w:val="32"/>
          <w:szCs w:val="32"/>
          <w:lang w:val="en-US"/>
        </w:rPr>
        <w:t>部门整体支出绩效报告</w:t>
      </w:r>
      <w:bookmarkEnd w:id="0"/>
      <w:bookmarkEnd w:id="1"/>
      <w:bookmarkEnd w:id="2"/>
    </w:p>
    <w:p>
      <w:pPr>
        <w:pStyle w:val="18"/>
        <w:tabs>
          <w:tab w:val="left" w:pos="1113"/>
        </w:tabs>
        <w:spacing w:line="560" w:lineRule="exact"/>
        <w:ind w:firstLine="500"/>
        <w:rPr>
          <w:rFonts w:ascii="楷体" w:hAnsi="楷体" w:eastAsia="楷体" w:cs="楷体"/>
          <w:b/>
          <w:bCs/>
          <w:color w:val="000000"/>
          <w:sz w:val="32"/>
          <w:szCs w:val="32"/>
        </w:rPr>
      </w:pPr>
      <w:bookmarkStart w:id="3" w:name="bookmark91"/>
      <w:r>
        <w:rPr>
          <w:rFonts w:hint="eastAsia" w:ascii="楷体" w:hAnsi="楷体" w:eastAsia="楷体" w:cs="楷体"/>
          <w:b/>
          <w:bCs/>
          <w:color w:val="000000"/>
          <w:sz w:val="32"/>
          <w:szCs w:val="32"/>
        </w:rPr>
        <w:t>一</w:t>
      </w:r>
      <w:bookmarkEnd w:id="3"/>
      <w:r>
        <w:rPr>
          <w:rFonts w:hint="eastAsia" w:ascii="楷体" w:hAnsi="楷体" w:eastAsia="楷体" w:cs="楷体"/>
          <w:b/>
          <w:bCs/>
          <w:color w:val="000000"/>
          <w:sz w:val="32"/>
          <w:szCs w:val="32"/>
        </w:rPr>
        <w:t>、部门概况</w:t>
      </w:r>
    </w:p>
    <w:p>
      <w:pPr>
        <w:pStyle w:val="18"/>
        <w:tabs>
          <w:tab w:val="left" w:pos="1113"/>
        </w:tabs>
        <w:spacing w:line="560" w:lineRule="exact"/>
        <w:ind w:firstLine="500"/>
        <w:rPr>
          <w:rFonts w:ascii="楷体" w:hAnsi="楷体" w:eastAsia="楷体" w:cs="楷体"/>
          <w:b/>
          <w:bCs/>
          <w:color w:val="000000"/>
          <w:sz w:val="32"/>
          <w:szCs w:val="32"/>
        </w:rPr>
      </w:pPr>
      <w:bookmarkStart w:id="4" w:name="bookmark92"/>
      <w:r>
        <w:rPr>
          <w:rFonts w:hint="eastAsia" w:ascii="楷体" w:hAnsi="楷体" w:eastAsia="楷体" w:cs="楷体"/>
          <w:b/>
          <w:bCs/>
          <w:color w:val="000000"/>
          <w:sz w:val="32"/>
          <w:szCs w:val="32"/>
        </w:rPr>
        <w:t>（</w:t>
      </w:r>
      <w:bookmarkEnd w:id="4"/>
      <w:r>
        <w:rPr>
          <w:rFonts w:hint="eastAsia" w:ascii="楷体" w:hAnsi="楷体" w:eastAsia="楷体" w:cs="楷体"/>
          <w:b/>
          <w:bCs/>
          <w:color w:val="000000"/>
          <w:sz w:val="32"/>
          <w:szCs w:val="32"/>
        </w:rPr>
        <w:t>一）部门基本情况</w:t>
      </w:r>
    </w:p>
    <w:p>
      <w:pPr>
        <w:widowControl/>
        <w:spacing w:line="600" w:lineRule="exact"/>
        <w:ind w:firstLine="627" w:firstLineChars="196"/>
        <w:jc w:val="left"/>
        <w:rPr>
          <w:rFonts w:ascii="仿宋" w:hAnsi="仿宋" w:eastAsia="仿宋" w:cs="仿宋_GB2312"/>
          <w:kern w:val="0"/>
          <w:sz w:val="32"/>
          <w:szCs w:val="32"/>
        </w:rPr>
      </w:pPr>
      <w:r>
        <w:rPr>
          <w:rFonts w:hint="eastAsia" w:ascii="仿宋" w:hAnsi="仿宋" w:eastAsia="仿宋" w:cs="仿宋_GB2312"/>
          <w:kern w:val="0"/>
          <w:sz w:val="32"/>
          <w:szCs w:val="32"/>
        </w:rPr>
        <w:t>部门2</w:t>
      </w:r>
      <w:r>
        <w:rPr>
          <w:rFonts w:ascii="仿宋" w:hAnsi="仿宋" w:eastAsia="仿宋" w:cs="仿宋_GB2312"/>
          <w:kern w:val="0"/>
          <w:sz w:val="32"/>
          <w:szCs w:val="32"/>
        </w:rPr>
        <w:t>018</w:t>
      </w:r>
      <w:r>
        <w:rPr>
          <w:rFonts w:hint="eastAsia" w:ascii="仿宋" w:hAnsi="仿宋" w:eastAsia="仿宋" w:cs="仿宋_GB2312"/>
          <w:kern w:val="0"/>
          <w:sz w:val="32"/>
          <w:szCs w:val="32"/>
        </w:rPr>
        <w:t>年在职人员4人，分别为1个主任，2个副主任，1个科员。部门内设</w:t>
      </w:r>
      <w:r>
        <w:rPr>
          <w:rFonts w:ascii="仿宋" w:hAnsi="仿宋" w:eastAsia="仿宋" w:cs="仿宋_GB2312"/>
          <w:kern w:val="0"/>
          <w:sz w:val="32"/>
          <w:szCs w:val="32"/>
        </w:rPr>
        <w:t>2</w:t>
      </w:r>
      <w:r>
        <w:rPr>
          <w:rFonts w:hint="eastAsia" w:ascii="仿宋" w:hAnsi="仿宋" w:eastAsia="仿宋" w:cs="仿宋_GB2312"/>
          <w:kern w:val="0"/>
          <w:sz w:val="32"/>
          <w:szCs w:val="32"/>
        </w:rPr>
        <w:t>个机构，分别为办公室、窗口建设股。</w:t>
      </w:r>
    </w:p>
    <w:p>
      <w:pPr>
        <w:widowControl/>
        <w:spacing w:line="600" w:lineRule="exact"/>
        <w:ind w:firstLine="627" w:firstLineChars="196"/>
        <w:jc w:val="left"/>
        <w:rPr>
          <w:rFonts w:ascii="仿宋" w:hAnsi="仿宋" w:eastAsia="仿宋" w:cs="仿宋_GB2312"/>
          <w:kern w:val="0"/>
          <w:sz w:val="32"/>
          <w:szCs w:val="32"/>
        </w:rPr>
      </w:pPr>
      <w:r>
        <w:rPr>
          <w:rFonts w:hint="eastAsia" w:ascii="仿宋" w:hAnsi="仿宋" w:eastAsia="仿宋" w:cs="仿宋_GB2312"/>
          <w:kern w:val="0"/>
          <w:sz w:val="32"/>
          <w:szCs w:val="32"/>
        </w:rPr>
        <w:t>部门主要职能：</w:t>
      </w:r>
    </w:p>
    <w:p>
      <w:pPr>
        <w:widowControl/>
        <w:spacing w:line="600" w:lineRule="exact"/>
        <w:ind w:firstLine="627" w:firstLineChars="196"/>
        <w:jc w:val="left"/>
        <w:rPr>
          <w:rFonts w:ascii="仿宋" w:hAnsi="仿宋" w:eastAsia="仿宋" w:cs="仿宋_GB2312"/>
          <w:kern w:val="0"/>
          <w:sz w:val="32"/>
          <w:szCs w:val="32"/>
        </w:rPr>
      </w:pPr>
      <w:bookmarkStart w:id="5" w:name="bookmark93"/>
      <w:r>
        <w:rPr>
          <w:rFonts w:hint="eastAsia" w:ascii="仿宋" w:hAnsi="仿宋" w:eastAsia="仿宋" w:cs="仿宋_GB2312"/>
          <w:kern w:val="0"/>
          <w:sz w:val="32"/>
          <w:szCs w:val="32"/>
        </w:rPr>
        <w:t>1、研究拟定全区政务服务和政务公开总体规划，并组织实施。</w:t>
      </w:r>
    </w:p>
    <w:p>
      <w:pPr>
        <w:widowControl/>
        <w:spacing w:line="600" w:lineRule="exact"/>
        <w:ind w:firstLine="627" w:firstLineChars="196"/>
        <w:jc w:val="left"/>
        <w:rPr>
          <w:rFonts w:ascii="仿宋" w:hAnsi="仿宋" w:eastAsia="仿宋" w:cs="仿宋_GB2312"/>
          <w:kern w:val="0"/>
          <w:sz w:val="32"/>
          <w:szCs w:val="32"/>
        </w:rPr>
      </w:pPr>
      <w:r>
        <w:rPr>
          <w:rFonts w:hint="eastAsia" w:ascii="仿宋" w:hAnsi="仿宋" w:eastAsia="仿宋" w:cs="仿宋_GB2312"/>
          <w:kern w:val="0"/>
          <w:sz w:val="32"/>
          <w:szCs w:val="32"/>
        </w:rPr>
        <w:t>2、负责政务服务中心窗口建设，协调职能进驻，完善和规范管理工作，提高优质服务水平。</w:t>
      </w:r>
    </w:p>
    <w:p>
      <w:pPr>
        <w:widowControl/>
        <w:spacing w:line="600" w:lineRule="exact"/>
        <w:ind w:firstLine="627" w:firstLineChars="196"/>
        <w:jc w:val="left"/>
        <w:rPr>
          <w:rFonts w:ascii="仿宋" w:hAnsi="仿宋" w:eastAsia="仿宋" w:cs="仿宋_GB2312"/>
          <w:kern w:val="0"/>
          <w:sz w:val="32"/>
          <w:szCs w:val="32"/>
        </w:rPr>
      </w:pPr>
      <w:r>
        <w:rPr>
          <w:rFonts w:hint="eastAsia" w:ascii="仿宋" w:hAnsi="仿宋" w:eastAsia="仿宋" w:cs="仿宋_GB2312"/>
          <w:kern w:val="0"/>
          <w:sz w:val="32"/>
          <w:szCs w:val="32"/>
        </w:rPr>
        <w:t>3、协调行政许可项目进入中心办理，对涉及两个以上部门平行审批的事项组织协调和对审批项目的运转情况进行协调、督查。</w:t>
      </w:r>
    </w:p>
    <w:p>
      <w:pPr>
        <w:widowControl/>
        <w:spacing w:line="600" w:lineRule="exact"/>
        <w:ind w:firstLine="627" w:firstLineChars="196"/>
        <w:jc w:val="left"/>
        <w:rPr>
          <w:rFonts w:ascii="仿宋" w:hAnsi="仿宋" w:eastAsia="仿宋" w:cs="仿宋_GB2312"/>
          <w:kern w:val="0"/>
          <w:sz w:val="32"/>
          <w:szCs w:val="32"/>
        </w:rPr>
      </w:pPr>
      <w:r>
        <w:rPr>
          <w:rFonts w:hint="eastAsia" w:ascii="仿宋" w:hAnsi="仿宋" w:eastAsia="仿宋" w:cs="仿宋_GB2312"/>
          <w:kern w:val="0"/>
          <w:sz w:val="32"/>
          <w:szCs w:val="32"/>
        </w:rPr>
        <w:t>4、承担重点招商引资项目需市级许可项目手续的代办工作。</w:t>
      </w:r>
    </w:p>
    <w:p>
      <w:pPr>
        <w:widowControl/>
        <w:spacing w:line="600" w:lineRule="exact"/>
        <w:ind w:firstLine="627" w:firstLineChars="196"/>
        <w:jc w:val="left"/>
        <w:rPr>
          <w:rFonts w:ascii="仿宋" w:hAnsi="仿宋" w:eastAsia="仿宋" w:cs="仿宋_GB2312"/>
          <w:kern w:val="0"/>
          <w:sz w:val="32"/>
          <w:szCs w:val="32"/>
        </w:rPr>
      </w:pPr>
      <w:r>
        <w:rPr>
          <w:rFonts w:hint="eastAsia" w:ascii="仿宋" w:hAnsi="仿宋" w:eastAsia="仿宋" w:cs="仿宋_GB2312"/>
          <w:kern w:val="0"/>
          <w:sz w:val="32"/>
          <w:szCs w:val="32"/>
        </w:rPr>
        <w:t>5、负责权力清单</w:t>
      </w:r>
      <w:bookmarkStart w:id="14" w:name="_GoBack"/>
      <w:bookmarkEnd w:id="14"/>
      <w:r>
        <w:rPr>
          <w:rFonts w:hint="eastAsia" w:ascii="仿宋" w:hAnsi="仿宋" w:eastAsia="仿宋" w:cs="仿宋_GB2312"/>
          <w:kern w:val="0"/>
          <w:sz w:val="32"/>
          <w:szCs w:val="32"/>
        </w:rPr>
        <w:t>汇总发布工作。</w:t>
      </w:r>
    </w:p>
    <w:p>
      <w:pPr>
        <w:widowControl/>
        <w:spacing w:line="600" w:lineRule="exact"/>
        <w:ind w:firstLine="627" w:firstLineChars="196"/>
        <w:jc w:val="left"/>
        <w:rPr>
          <w:rFonts w:ascii="仿宋" w:hAnsi="仿宋" w:eastAsia="仿宋" w:cs="仿宋_GB2312"/>
          <w:kern w:val="0"/>
          <w:sz w:val="32"/>
          <w:szCs w:val="32"/>
        </w:rPr>
      </w:pPr>
      <w:r>
        <w:rPr>
          <w:rFonts w:hint="eastAsia" w:ascii="仿宋" w:hAnsi="仿宋" w:eastAsia="仿宋" w:cs="仿宋_GB2312"/>
          <w:kern w:val="0"/>
          <w:sz w:val="32"/>
          <w:szCs w:val="32"/>
        </w:rPr>
        <w:t>6、承办区委、区政府，市政务服务中心交办的其他事项。</w:t>
      </w:r>
    </w:p>
    <w:p>
      <w:pPr>
        <w:pStyle w:val="18"/>
        <w:tabs>
          <w:tab w:val="left" w:pos="1113"/>
        </w:tabs>
        <w:spacing w:line="560" w:lineRule="exact"/>
        <w:ind w:firstLine="500"/>
        <w:rPr>
          <w:rFonts w:ascii="楷体" w:hAnsi="楷体" w:eastAsia="楷体" w:cs="楷体"/>
          <w:b/>
          <w:bCs/>
          <w:color w:val="000000"/>
          <w:sz w:val="32"/>
          <w:szCs w:val="32"/>
        </w:rPr>
      </w:pPr>
      <w:r>
        <w:rPr>
          <w:rFonts w:hint="eastAsia" w:ascii="楷体" w:hAnsi="楷体" w:eastAsia="楷体" w:cs="楷体"/>
          <w:b/>
          <w:bCs/>
          <w:color w:val="000000"/>
          <w:sz w:val="32"/>
          <w:szCs w:val="32"/>
        </w:rPr>
        <w:t>（</w:t>
      </w:r>
      <w:bookmarkEnd w:id="5"/>
      <w:r>
        <w:rPr>
          <w:rFonts w:hint="eastAsia" w:ascii="楷体" w:hAnsi="楷体" w:eastAsia="楷体" w:cs="楷体"/>
          <w:b/>
          <w:bCs/>
          <w:color w:val="000000"/>
          <w:sz w:val="32"/>
          <w:szCs w:val="32"/>
        </w:rPr>
        <w:t>二）部门整体支出规模、使用方向和主要内容、涉及范围等</w:t>
      </w:r>
    </w:p>
    <w:p>
      <w:pPr>
        <w:spacing w:line="560" w:lineRule="exact"/>
        <w:ind w:firstLine="645"/>
        <w:rPr>
          <w:rFonts w:ascii="楷体" w:hAnsi="楷体" w:eastAsia="楷体" w:cs="楷体"/>
          <w:b/>
          <w:bCs/>
          <w:color w:val="000000"/>
          <w:sz w:val="32"/>
          <w:szCs w:val="32"/>
        </w:rPr>
      </w:pPr>
      <w:r>
        <w:rPr>
          <w:rFonts w:hint="eastAsia" w:ascii="仿宋" w:hAnsi="仿宋" w:eastAsia="仿宋" w:cs="仿宋_GB2312"/>
          <w:kern w:val="0"/>
          <w:sz w:val="32"/>
          <w:szCs w:val="32"/>
        </w:rPr>
        <w:t>我单位</w:t>
      </w:r>
      <w:r>
        <w:rPr>
          <w:rFonts w:ascii="仿宋" w:hAnsi="仿宋" w:eastAsia="仿宋" w:cs="仿宋_GB2312"/>
          <w:kern w:val="0"/>
          <w:sz w:val="32"/>
          <w:szCs w:val="32"/>
        </w:rPr>
        <w:t>2018度收入总计</w:t>
      </w:r>
      <w:r>
        <w:rPr>
          <w:rFonts w:hint="eastAsia" w:ascii="仿宋" w:hAnsi="仿宋" w:eastAsia="仿宋" w:cs="仿宋_GB2312"/>
          <w:kern w:val="0"/>
          <w:sz w:val="32"/>
          <w:szCs w:val="32"/>
        </w:rPr>
        <w:t>133.63</w:t>
      </w:r>
      <w:r>
        <w:rPr>
          <w:rFonts w:ascii="仿宋" w:hAnsi="仿宋" w:eastAsia="仿宋" w:cs="仿宋_GB2312"/>
          <w:kern w:val="0"/>
          <w:sz w:val="32"/>
          <w:szCs w:val="32"/>
        </w:rPr>
        <w:t>万元，其中财政拨款收入</w:t>
      </w:r>
      <w:r>
        <w:rPr>
          <w:rFonts w:hint="eastAsia" w:ascii="仿宋" w:hAnsi="仿宋" w:eastAsia="仿宋" w:cs="仿宋_GB2312"/>
          <w:kern w:val="0"/>
          <w:sz w:val="32"/>
          <w:szCs w:val="32"/>
        </w:rPr>
        <w:t>133.63</w:t>
      </w:r>
      <w:r>
        <w:rPr>
          <w:rFonts w:ascii="仿宋" w:hAnsi="仿宋" w:eastAsia="仿宋" w:cs="仿宋_GB2312"/>
          <w:kern w:val="0"/>
          <w:sz w:val="32"/>
          <w:szCs w:val="32"/>
        </w:rPr>
        <w:t>万元，占本年收入</w:t>
      </w:r>
      <w:r>
        <w:rPr>
          <w:rFonts w:hint="eastAsia" w:ascii="仿宋" w:hAnsi="仿宋" w:eastAsia="仿宋" w:cs="仿宋_GB2312"/>
          <w:kern w:val="0"/>
          <w:sz w:val="32"/>
          <w:szCs w:val="32"/>
        </w:rPr>
        <w:t>100</w:t>
      </w:r>
      <w:r>
        <w:rPr>
          <w:rFonts w:ascii="仿宋" w:hAnsi="仿宋" w:eastAsia="仿宋" w:cs="仿宋_GB2312"/>
          <w:kern w:val="0"/>
          <w:sz w:val="32"/>
          <w:szCs w:val="32"/>
        </w:rPr>
        <w:t>%；其他收入</w:t>
      </w:r>
      <w:r>
        <w:rPr>
          <w:rFonts w:hint="eastAsia" w:ascii="仿宋" w:hAnsi="仿宋" w:eastAsia="仿宋" w:cs="仿宋_GB2312"/>
          <w:kern w:val="0"/>
          <w:sz w:val="32"/>
          <w:szCs w:val="32"/>
        </w:rPr>
        <w:t>0</w:t>
      </w:r>
      <w:r>
        <w:rPr>
          <w:rFonts w:ascii="仿宋" w:hAnsi="仿宋" w:eastAsia="仿宋" w:cs="仿宋_GB2312"/>
          <w:kern w:val="0"/>
          <w:sz w:val="32"/>
          <w:szCs w:val="32"/>
        </w:rPr>
        <w:t>万元，占本年收入</w:t>
      </w:r>
      <w:r>
        <w:rPr>
          <w:rFonts w:hint="eastAsia" w:ascii="仿宋" w:hAnsi="仿宋" w:eastAsia="仿宋" w:cs="仿宋_GB2312"/>
          <w:kern w:val="0"/>
          <w:sz w:val="32"/>
          <w:szCs w:val="32"/>
        </w:rPr>
        <w:t>0</w:t>
      </w:r>
      <w:r>
        <w:rPr>
          <w:rFonts w:ascii="仿宋" w:hAnsi="仿宋" w:eastAsia="仿宋" w:cs="仿宋_GB2312"/>
          <w:kern w:val="0"/>
          <w:sz w:val="32"/>
          <w:szCs w:val="32"/>
        </w:rPr>
        <w:t>%。本年支出总计</w:t>
      </w:r>
      <w:r>
        <w:rPr>
          <w:rFonts w:hint="eastAsia" w:ascii="仿宋" w:hAnsi="仿宋" w:eastAsia="仿宋" w:cs="仿宋_GB2312"/>
          <w:kern w:val="0"/>
          <w:sz w:val="32"/>
          <w:szCs w:val="32"/>
        </w:rPr>
        <w:t>133.63</w:t>
      </w:r>
      <w:r>
        <w:rPr>
          <w:rFonts w:ascii="仿宋" w:hAnsi="仿宋" w:eastAsia="仿宋" w:cs="仿宋_GB2312"/>
          <w:kern w:val="0"/>
          <w:sz w:val="32"/>
          <w:szCs w:val="32"/>
        </w:rPr>
        <w:t>万元，其中：</w:t>
      </w:r>
      <w:r>
        <w:rPr>
          <w:rFonts w:hint="eastAsia" w:ascii="仿宋" w:hAnsi="仿宋" w:eastAsia="仿宋" w:cs="仿宋_GB2312"/>
          <w:kern w:val="0"/>
          <w:sz w:val="32"/>
          <w:szCs w:val="32"/>
        </w:rPr>
        <w:t>财政拨款</w:t>
      </w:r>
      <w:r>
        <w:rPr>
          <w:rFonts w:ascii="仿宋" w:hAnsi="仿宋" w:eastAsia="仿宋" w:cs="仿宋_GB2312"/>
          <w:kern w:val="0"/>
          <w:sz w:val="32"/>
          <w:szCs w:val="32"/>
        </w:rPr>
        <w:t>支出</w:t>
      </w:r>
      <w:r>
        <w:rPr>
          <w:rFonts w:hint="eastAsia" w:ascii="仿宋" w:hAnsi="仿宋" w:eastAsia="仿宋" w:cs="仿宋_GB2312"/>
          <w:kern w:val="0"/>
          <w:sz w:val="32"/>
          <w:szCs w:val="32"/>
        </w:rPr>
        <w:t>133.63</w:t>
      </w:r>
      <w:r>
        <w:rPr>
          <w:rFonts w:ascii="仿宋" w:hAnsi="仿宋" w:eastAsia="仿宋" w:cs="仿宋_GB2312"/>
          <w:kern w:val="0"/>
          <w:sz w:val="32"/>
          <w:szCs w:val="32"/>
        </w:rPr>
        <w:t>万元，占本年支出的</w:t>
      </w:r>
      <w:r>
        <w:rPr>
          <w:rFonts w:hint="eastAsia" w:ascii="仿宋" w:hAnsi="仿宋" w:eastAsia="仿宋" w:cs="仿宋_GB2312"/>
          <w:kern w:val="0"/>
          <w:sz w:val="32"/>
          <w:szCs w:val="32"/>
        </w:rPr>
        <w:t>100</w:t>
      </w:r>
      <w:r>
        <w:rPr>
          <w:rFonts w:ascii="仿宋" w:hAnsi="仿宋" w:eastAsia="仿宋" w:cs="仿宋_GB2312"/>
          <w:kern w:val="0"/>
          <w:sz w:val="32"/>
          <w:szCs w:val="32"/>
        </w:rPr>
        <w:t>%</w:t>
      </w:r>
      <w:r>
        <w:rPr>
          <w:rFonts w:hint="eastAsia" w:ascii="仿宋" w:hAnsi="仿宋" w:eastAsia="仿宋" w:cs="仿宋_GB2312"/>
          <w:kern w:val="0"/>
          <w:sz w:val="32"/>
          <w:szCs w:val="32"/>
        </w:rPr>
        <w:t>。</w:t>
      </w:r>
    </w:p>
    <w:p>
      <w:pPr>
        <w:pStyle w:val="18"/>
        <w:tabs>
          <w:tab w:val="left" w:pos="1113"/>
        </w:tabs>
        <w:spacing w:line="560" w:lineRule="exact"/>
        <w:ind w:firstLine="500"/>
        <w:rPr>
          <w:rFonts w:ascii="楷体" w:hAnsi="楷体" w:eastAsia="楷体" w:cs="楷体"/>
          <w:b/>
          <w:bCs/>
          <w:color w:val="000000"/>
          <w:sz w:val="32"/>
          <w:szCs w:val="32"/>
        </w:rPr>
      </w:pPr>
      <w:bookmarkStart w:id="6" w:name="bookmark94"/>
      <w:r>
        <w:rPr>
          <w:rFonts w:hint="eastAsia" w:ascii="楷体" w:hAnsi="楷体" w:eastAsia="楷体" w:cs="楷体"/>
          <w:b/>
          <w:bCs/>
          <w:color w:val="000000"/>
          <w:sz w:val="32"/>
          <w:szCs w:val="32"/>
        </w:rPr>
        <w:t>二</w:t>
      </w:r>
      <w:bookmarkEnd w:id="6"/>
      <w:r>
        <w:rPr>
          <w:rFonts w:hint="eastAsia" w:ascii="楷体" w:hAnsi="楷体" w:eastAsia="楷体" w:cs="楷体"/>
          <w:b/>
          <w:bCs/>
          <w:color w:val="000000"/>
          <w:sz w:val="32"/>
          <w:szCs w:val="32"/>
        </w:rPr>
        <w:t>、部门整体支出管理及使用情况</w:t>
      </w:r>
    </w:p>
    <w:p>
      <w:pPr>
        <w:pStyle w:val="18"/>
        <w:tabs>
          <w:tab w:val="left" w:pos="1111"/>
        </w:tabs>
        <w:spacing w:line="560" w:lineRule="exact"/>
        <w:ind w:firstLine="500"/>
        <w:rPr>
          <w:rFonts w:ascii="楷体" w:hAnsi="楷体" w:eastAsia="楷体" w:cs="楷体"/>
          <w:b/>
          <w:bCs/>
          <w:color w:val="000000"/>
          <w:sz w:val="32"/>
          <w:szCs w:val="32"/>
        </w:rPr>
      </w:pPr>
      <w:bookmarkStart w:id="7" w:name="bookmark95"/>
      <w:r>
        <w:rPr>
          <w:rFonts w:hint="eastAsia" w:ascii="楷体" w:hAnsi="楷体" w:eastAsia="楷体" w:cs="楷体"/>
          <w:b/>
          <w:bCs/>
          <w:color w:val="000000"/>
          <w:sz w:val="32"/>
          <w:szCs w:val="32"/>
        </w:rPr>
        <w:t>（</w:t>
      </w:r>
      <w:bookmarkEnd w:id="7"/>
      <w:r>
        <w:rPr>
          <w:rFonts w:hint="eastAsia" w:ascii="楷体" w:hAnsi="楷体" w:eastAsia="楷体" w:cs="楷体"/>
          <w:b/>
          <w:bCs/>
          <w:color w:val="000000"/>
          <w:sz w:val="32"/>
          <w:szCs w:val="32"/>
        </w:rPr>
        <w:t>一）基本支出</w:t>
      </w:r>
    </w:p>
    <w:p>
      <w:pPr>
        <w:spacing w:line="560" w:lineRule="exact"/>
        <w:ind w:firstLine="645"/>
        <w:rPr>
          <w:rFonts w:ascii="仿宋" w:hAnsi="仿宋" w:eastAsia="仿宋" w:cs="仿宋_GB2312"/>
          <w:kern w:val="0"/>
          <w:sz w:val="32"/>
          <w:szCs w:val="32"/>
        </w:rPr>
      </w:pPr>
      <w:r>
        <w:rPr>
          <w:rFonts w:hint="eastAsia" w:ascii="仿宋" w:hAnsi="仿宋" w:eastAsia="仿宋" w:cs="仿宋_GB2312"/>
          <w:kern w:val="0"/>
          <w:sz w:val="32"/>
          <w:szCs w:val="32"/>
        </w:rPr>
        <w:t>2018年基本支出为49.63万元，</w:t>
      </w:r>
      <w:bookmarkStart w:id="8" w:name="bookmark96"/>
      <w:r>
        <w:rPr>
          <w:rFonts w:ascii="仿宋" w:hAnsi="仿宋" w:eastAsia="仿宋" w:cs="仿宋_GB2312"/>
          <w:kern w:val="0"/>
          <w:sz w:val="32"/>
          <w:szCs w:val="32"/>
        </w:rPr>
        <w:t>其中人员经费支出</w:t>
      </w:r>
      <w:r>
        <w:rPr>
          <w:rFonts w:hint="eastAsia" w:ascii="仿宋" w:hAnsi="仿宋" w:eastAsia="仿宋" w:cs="仿宋_GB2312"/>
          <w:kern w:val="0"/>
          <w:sz w:val="32"/>
          <w:szCs w:val="32"/>
        </w:rPr>
        <w:t>47.13</w:t>
      </w:r>
      <w:r>
        <w:rPr>
          <w:rFonts w:ascii="仿宋" w:hAnsi="仿宋" w:eastAsia="仿宋" w:cs="仿宋_GB2312"/>
          <w:kern w:val="0"/>
          <w:sz w:val="32"/>
          <w:szCs w:val="32"/>
        </w:rPr>
        <w:t>万元，用于基本工资、津补贴、考核绩效工资、奖金发放、社会保障缴费、职业年金缴费等支出；公用支出</w:t>
      </w:r>
      <w:r>
        <w:rPr>
          <w:rFonts w:hint="eastAsia" w:ascii="仿宋" w:hAnsi="仿宋" w:eastAsia="仿宋" w:cs="仿宋_GB2312"/>
          <w:kern w:val="0"/>
          <w:sz w:val="32"/>
          <w:szCs w:val="32"/>
        </w:rPr>
        <w:t>2.5</w:t>
      </w:r>
      <w:r>
        <w:rPr>
          <w:rFonts w:ascii="仿宋" w:hAnsi="仿宋" w:eastAsia="仿宋" w:cs="仿宋_GB2312"/>
          <w:kern w:val="0"/>
          <w:sz w:val="32"/>
          <w:szCs w:val="32"/>
        </w:rPr>
        <w:t>万元，主要用于办公费、工会经费</w:t>
      </w:r>
      <w:r>
        <w:rPr>
          <w:rFonts w:hint="eastAsia" w:ascii="仿宋" w:hAnsi="仿宋" w:eastAsia="仿宋" w:cs="仿宋_GB2312"/>
          <w:kern w:val="0"/>
          <w:sz w:val="32"/>
          <w:szCs w:val="32"/>
        </w:rPr>
        <w:t>、水、电费、维（护）费、办公设备购置</w:t>
      </w:r>
      <w:r>
        <w:rPr>
          <w:rFonts w:ascii="仿宋" w:hAnsi="仿宋" w:eastAsia="仿宋" w:cs="仿宋_GB2312"/>
          <w:kern w:val="0"/>
          <w:sz w:val="32"/>
          <w:szCs w:val="32"/>
        </w:rPr>
        <w:t>等</w:t>
      </w:r>
      <w:r>
        <w:rPr>
          <w:rFonts w:hint="eastAsia" w:ascii="仿宋" w:hAnsi="仿宋" w:eastAsia="仿宋" w:cs="仿宋_GB2312"/>
          <w:kern w:val="0"/>
          <w:sz w:val="32"/>
          <w:szCs w:val="32"/>
        </w:rPr>
        <w:t>日常</w:t>
      </w:r>
      <w:r>
        <w:rPr>
          <w:rFonts w:ascii="仿宋" w:hAnsi="仿宋" w:eastAsia="仿宋" w:cs="仿宋_GB2312"/>
          <w:kern w:val="0"/>
          <w:sz w:val="32"/>
          <w:szCs w:val="32"/>
        </w:rPr>
        <w:t>方面支出；</w:t>
      </w:r>
      <w:r>
        <w:rPr>
          <w:rFonts w:hint="eastAsia" w:ascii="仿宋" w:hAnsi="仿宋" w:eastAsia="仿宋" w:cs="仿宋_GB2312"/>
          <w:kern w:val="0"/>
          <w:sz w:val="32"/>
          <w:szCs w:val="32"/>
        </w:rPr>
        <w:t>。</w:t>
      </w:r>
    </w:p>
    <w:p>
      <w:pPr>
        <w:spacing w:line="560" w:lineRule="exact"/>
        <w:ind w:firstLine="645"/>
        <w:rPr>
          <w:rFonts w:ascii="仿宋" w:hAnsi="仿宋" w:eastAsia="仿宋" w:cs="仿宋_GB2312"/>
          <w:kern w:val="0"/>
          <w:sz w:val="32"/>
          <w:szCs w:val="32"/>
        </w:rPr>
      </w:pPr>
      <w:r>
        <w:rPr>
          <w:rFonts w:hint="eastAsia" w:ascii="仿宋" w:hAnsi="仿宋" w:eastAsia="仿宋" w:cs="仿宋_GB2312"/>
          <w:kern w:val="0"/>
          <w:sz w:val="32"/>
          <w:szCs w:val="32"/>
        </w:rPr>
        <w:t xml:space="preserve"> “三公”经费支出为零。</w:t>
      </w:r>
    </w:p>
    <w:p>
      <w:pPr>
        <w:widowControl/>
        <w:spacing w:line="600" w:lineRule="exact"/>
        <w:ind w:firstLine="630" w:firstLineChars="196"/>
        <w:jc w:val="left"/>
        <w:rPr>
          <w:rFonts w:ascii="楷体" w:hAnsi="楷体" w:eastAsia="楷体" w:cs="楷体"/>
          <w:b/>
          <w:bCs/>
          <w:color w:val="000000"/>
          <w:sz w:val="32"/>
          <w:szCs w:val="32"/>
        </w:rPr>
      </w:pPr>
      <w:r>
        <w:rPr>
          <w:rFonts w:hint="eastAsia" w:ascii="楷体" w:hAnsi="楷体" w:eastAsia="楷体" w:cs="楷体"/>
          <w:b/>
          <w:bCs/>
          <w:color w:val="000000"/>
          <w:sz w:val="32"/>
          <w:szCs w:val="32"/>
        </w:rPr>
        <w:t>（</w:t>
      </w:r>
      <w:bookmarkEnd w:id="8"/>
      <w:r>
        <w:rPr>
          <w:rFonts w:hint="eastAsia" w:ascii="楷体" w:hAnsi="楷体" w:eastAsia="楷体" w:cs="楷体"/>
          <w:b/>
          <w:bCs/>
          <w:color w:val="000000"/>
          <w:sz w:val="32"/>
          <w:szCs w:val="32"/>
        </w:rPr>
        <w:t>二）项目支出</w:t>
      </w:r>
    </w:p>
    <w:p>
      <w:pPr>
        <w:spacing w:line="490" w:lineRule="atLeast"/>
        <w:ind w:firstLine="640"/>
        <w:rPr>
          <w:rFonts w:ascii="仿宋" w:hAnsi="仿宋" w:eastAsia="仿宋" w:cs="仿宋_GB2312"/>
          <w:kern w:val="0"/>
          <w:sz w:val="32"/>
          <w:szCs w:val="32"/>
        </w:rPr>
      </w:pPr>
      <w:bookmarkStart w:id="9" w:name="bookmark100"/>
      <w:r>
        <w:rPr>
          <w:rFonts w:ascii="仿宋" w:hAnsi="仿宋" w:eastAsia="仿宋" w:cs="仿宋_GB2312"/>
          <w:kern w:val="0"/>
          <w:sz w:val="32"/>
          <w:szCs w:val="32"/>
        </w:rPr>
        <w:t>2018年度</w:t>
      </w:r>
      <w:r>
        <w:rPr>
          <w:rFonts w:hint="eastAsia" w:ascii="仿宋" w:hAnsi="仿宋" w:eastAsia="仿宋" w:cs="仿宋_GB2312"/>
          <w:kern w:val="0"/>
          <w:sz w:val="32"/>
          <w:szCs w:val="32"/>
        </w:rPr>
        <w:t>项目</w:t>
      </w:r>
      <w:r>
        <w:rPr>
          <w:rFonts w:ascii="仿宋" w:hAnsi="仿宋" w:eastAsia="仿宋" w:cs="仿宋_GB2312"/>
          <w:kern w:val="0"/>
          <w:sz w:val="32"/>
          <w:szCs w:val="32"/>
        </w:rPr>
        <w:t>支出</w:t>
      </w:r>
      <w:r>
        <w:rPr>
          <w:rFonts w:hint="eastAsia" w:ascii="仿宋" w:hAnsi="仿宋" w:eastAsia="仿宋" w:cs="仿宋_GB2312"/>
          <w:kern w:val="0"/>
          <w:sz w:val="32"/>
          <w:szCs w:val="32"/>
        </w:rPr>
        <w:t>84</w:t>
      </w:r>
      <w:r>
        <w:rPr>
          <w:rFonts w:ascii="仿宋" w:hAnsi="仿宋" w:eastAsia="仿宋" w:cs="仿宋_GB2312"/>
          <w:kern w:val="0"/>
          <w:sz w:val="32"/>
          <w:szCs w:val="32"/>
        </w:rPr>
        <w:t>万元</w:t>
      </w:r>
      <w:r>
        <w:rPr>
          <w:rFonts w:hint="eastAsia" w:ascii="仿宋" w:hAnsi="仿宋" w:eastAsia="仿宋" w:cs="仿宋_GB2312"/>
          <w:kern w:val="0"/>
          <w:sz w:val="32"/>
          <w:szCs w:val="32"/>
        </w:rPr>
        <w:t>,其中</w:t>
      </w:r>
      <w:r>
        <w:rPr>
          <w:rFonts w:ascii="微软雅黑" w:hAnsi="微软雅黑" w:cs="宋体"/>
          <w:color w:val="333333"/>
          <w:kern w:val="0"/>
          <w:sz w:val="32"/>
          <w:szCs w:val="32"/>
        </w:rPr>
        <w:t>政务服务大厅运行经费，资金总额</w:t>
      </w:r>
      <w:r>
        <w:rPr>
          <w:rFonts w:ascii="微软雅黑" w:hAnsi="微软雅黑" w:cs="宋体"/>
          <w:color w:val="000000"/>
          <w:kern w:val="0"/>
          <w:sz w:val="24"/>
        </w:rPr>
        <w:t> </w:t>
      </w:r>
      <w:r>
        <w:rPr>
          <w:rFonts w:ascii="微软雅黑" w:hAnsi="微软雅黑" w:cs="宋体"/>
          <w:color w:val="333333"/>
          <w:kern w:val="0"/>
          <w:sz w:val="32"/>
          <w:szCs w:val="32"/>
        </w:rPr>
        <w:t> 6</w:t>
      </w:r>
      <w:r>
        <w:rPr>
          <w:rFonts w:ascii="微软雅黑" w:hAnsi="微软雅黑" w:cs="宋体"/>
          <w:color w:val="333333"/>
          <w:kern w:val="0"/>
          <w:sz w:val="32"/>
        </w:rPr>
        <w:t> </w:t>
      </w:r>
      <w:r>
        <w:rPr>
          <w:rFonts w:ascii="微软雅黑" w:hAnsi="微软雅黑" w:cs="宋体"/>
          <w:color w:val="333333"/>
          <w:kern w:val="0"/>
          <w:sz w:val="32"/>
          <w:szCs w:val="32"/>
        </w:rPr>
        <w:t>万元，办税大厅经费，资金总额</w:t>
      </w:r>
      <w:r>
        <w:rPr>
          <w:rFonts w:ascii="微软雅黑" w:hAnsi="微软雅黑" w:cs="宋体"/>
          <w:color w:val="000000"/>
          <w:kern w:val="0"/>
          <w:sz w:val="24"/>
        </w:rPr>
        <w:t> </w:t>
      </w:r>
      <w:r>
        <w:rPr>
          <w:rFonts w:ascii="微软雅黑" w:hAnsi="微软雅黑" w:cs="宋体"/>
          <w:color w:val="333333"/>
          <w:kern w:val="0"/>
          <w:sz w:val="32"/>
          <w:szCs w:val="32"/>
        </w:rPr>
        <w:t> 78</w:t>
      </w:r>
      <w:r>
        <w:rPr>
          <w:rFonts w:ascii="微软雅黑" w:hAnsi="微软雅黑" w:cs="宋体"/>
          <w:color w:val="333333"/>
          <w:kern w:val="0"/>
          <w:sz w:val="32"/>
        </w:rPr>
        <w:t> </w:t>
      </w:r>
      <w:r>
        <w:rPr>
          <w:rFonts w:ascii="微软雅黑" w:hAnsi="微软雅黑" w:cs="宋体"/>
          <w:color w:val="333333"/>
          <w:kern w:val="0"/>
          <w:sz w:val="32"/>
          <w:szCs w:val="32"/>
        </w:rPr>
        <w:t>万元</w:t>
      </w:r>
      <w:r>
        <w:rPr>
          <w:rFonts w:hint="eastAsia" w:ascii="微软雅黑" w:hAnsi="微软雅黑" w:cs="宋体"/>
          <w:color w:val="333333"/>
          <w:kern w:val="0"/>
          <w:sz w:val="32"/>
          <w:szCs w:val="32"/>
        </w:rPr>
        <w:t>。</w:t>
      </w:r>
    </w:p>
    <w:p>
      <w:pPr>
        <w:pStyle w:val="18"/>
        <w:tabs>
          <w:tab w:val="left" w:pos="1111"/>
        </w:tabs>
        <w:spacing w:line="560" w:lineRule="exact"/>
        <w:ind w:firstLine="500"/>
        <w:rPr>
          <w:rFonts w:ascii="楷体" w:hAnsi="楷体" w:eastAsia="楷体" w:cs="楷体"/>
          <w:b/>
          <w:bCs/>
          <w:color w:val="000000"/>
          <w:sz w:val="32"/>
          <w:szCs w:val="32"/>
        </w:rPr>
      </w:pPr>
      <w:r>
        <w:rPr>
          <w:rFonts w:hint="eastAsia" w:ascii="楷体" w:hAnsi="楷体" w:eastAsia="楷体" w:cs="楷体"/>
          <w:b/>
          <w:bCs/>
          <w:color w:val="000000"/>
          <w:sz w:val="32"/>
          <w:szCs w:val="32"/>
        </w:rPr>
        <w:t>三</w:t>
      </w:r>
      <w:bookmarkEnd w:id="9"/>
      <w:r>
        <w:rPr>
          <w:rFonts w:hint="eastAsia" w:ascii="楷体" w:hAnsi="楷体" w:eastAsia="楷体" w:cs="楷体"/>
          <w:b/>
          <w:bCs/>
          <w:color w:val="000000"/>
          <w:sz w:val="32"/>
          <w:szCs w:val="32"/>
        </w:rPr>
        <w:t>、部门项目组织实施情况</w:t>
      </w:r>
    </w:p>
    <w:p>
      <w:pPr>
        <w:widowControl/>
        <w:spacing w:line="600" w:lineRule="exact"/>
        <w:ind w:firstLine="627" w:firstLineChars="196"/>
        <w:jc w:val="left"/>
        <w:rPr>
          <w:rFonts w:ascii="仿宋" w:hAnsi="仿宋" w:eastAsia="仿宋" w:cs="仿宋_GB2312"/>
          <w:kern w:val="0"/>
          <w:sz w:val="32"/>
          <w:szCs w:val="32"/>
        </w:rPr>
      </w:pPr>
      <w:bookmarkStart w:id="10" w:name="bookmark101"/>
      <w:r>
        <w:rPr>
          <w:rFonts w:hint="eastAsia" w:ascii="仿宋" w:hAnsi="仿宋" w:eastAsia="仿宋" w:cs="仿宋_GB2312"/>
          <w:kern w:val="0"/>
          <w:sz w:val="32"/>
          <w:szCs w:val="32"/>
        </w:rPr>
        <w:t>无建设性项目支出</w:t>
      </w:r>
    </w:p>
    <w:p>
      <w:pPr>
        <w:pStyle w:val="18"/>
        <w:tabs>
          <w:tab w:val="left" w:pos="1111"/>
        </w:tabs>
        <w:spacing w:line="560" w:lineRule="exact"/>
        <w:ind w:firstLine="500"/>
        <w:rPr>
          <w:rFonts w:ascii="楷体" w:hAnsi="楷体" w:eastAsia="楷体" w:cs="楷体"/>
          <w:b/>
          <w:bCs/>
          <w:color w:val="000000"/>
          <w:sz w:val="32"/>
          <w:szCs w:val="32"/>
        </w:rPr>
      </w:pPr>
      <w:r>
        <w:rPr>
          <w:rFonts w:hint="eastAsia" w:ascii="楷体" w:hAnsi="楷体" w:eastAsia="楷体" w:cs="楷体"/>
          <w:b/>
          <w:bCs/>
          <w:color w:val="000000"/>
          <w:sz w:val="32"/>
          <w:szCs w:val="32"/>
        </w:rPr>
        <w:t>四</w:t>
      </w:r>
      <w:bookmarkEnd w:id="10"/>
      <w:r>
        <w:rPr>
          <w:rFonts w:hint="eastAsia" w:ascii="楷体" w:hAnsi="楷体" w:eastAsia="楷体" w:cs="楷体"/>
          <w:b/>
          <w:bCs/>
          <w:color w:val="000000"/>
          <w:sz w:val="32"/>
          <w:szCs w:val="32"/>
        </w:rPr>
        <w:t>、资产管理情况</w:t>
      </w:r>
    </w:p>
    <w:p>
      <w:pPr>
        <w:spacing w:line="600" w:lineRule="exact"/>
        <w:ind w:firstLine="640" w:firstLineChars="200"/>
        <w:rPr>
          <w:rFonts w:ascii="楷体" w:hAnsi="楷体" w:eastAsia="楷体" w:cs="楷体"/>
          <w:b/>
          <w:bCs/>
          <w:color w:val="000000"/>
          <w:sz w:val="32"/>
          <w:szCs w:val="32"/>
        </w:rPr>
      </w:pPr>
      <w:r>
        <w:rPr>
          <w:rFonts w:ascii="仿宋" w:hAnsi="仿宋" w:eastAsia="仿宋" w:cs="仿宋_GB2312"/>
          <w:kern w:val="0"/>
          <w:sz w:val="32"/>
          <w:szCs w:val="32"/>
        </w:rPr>
        <w:t>截至</w:t>
      </w:r>
      <w:r>
        <w:rPr>
          <w:rFonts w:hint="eastAsia" w:ascii="仿宋" w:hAnsi="仿宋" w:eastAsia="仿宋" w:cs="仿宋_GB2312"/>
          <w:kern w:val="0"/>
          <w:sz w:val="32"/>
          <w:szCs w:val="32"/>
        </w:rPr>
        <w:t>2018</w:t>
      </w:r>
      <w:r>
        <w:rPr>
          <w:rFonts w:ascii="仿宋" w:hAnsi="仿宋" w:eastAsia="仿宋" w:cs="仿宋_GB2312"/>
          <w:kern w:val="0"/>
          <w:sz w:val="32"/>
          <w:szCs w:val="32"/>
        </w:rPr>
        <w:t>年12月31日，本单位共有车辆</w:t>
      </w:r>
      <w:r>
        <w:rPr>
          <w:rFonts w:hint="eastAsia" w:ascii="仿宋" w:hAnsi="仿宋" w:eastAsia="仿宋" w:cs="仿宋_GB2312"/>
          <w:kern w:val="0"/>
          <w:sz w:val="32"/>
          <w:szCs w:val="32"/>
        </w:rPr>
        <w:t>0</w:t>
      </w:r>
      <w:r>
        <w:rPr>
          <w:rFonts w:ascii="仿宋" w:hAnsi="仿宋" w:eastAsia="仿宋" w:cs="仿宋_GB2312"/>
          <w:kern w:val="0"/>
          <w:sz w:val="32"/>
          <w:szCs w:val="32"/>
        </w:rPr>
        <w:t>辆，其中，领导干部用车</w:t>
      </w:r>
      <w:r>
        <w:rPr>
          <w:rFonts w:hint="eastAsia" w:ascii="仿宋" w:hAnsi="仿宋" w:eastAsia="仿宋" w:cs="仿宋_GB2312"/>
          <w:kern w:val="0"/>
          <w:sz w:val="32"/>
          <w:szCs w:val="32"/>
        </w:rPr>
        <w:t>0</w:t>
      </w:r>
      <w:r>
        <w:rPr>
          <w:rFonts w:ascii="仿宋" w:hAnsi="仿宋" w:eastAsia="仿宋" w:cs="仿宋_GB2312"/>
          <w:kern w:val="0"/>
          <w:sz w:val="32"/>
          <w:szCs w:val="32"/>
        </w:rPr>
        <w:t>辆、机要通信用车</w:t>
      </w:r>
      <w:r>
        <w:rPr>
          <w:rFonts w:hint="eastAsia" w:ascii="仿宋" w:hAnsi="仿宋" w:eastAsia="仿宋" w:cs="仿宋_GB2312"/>
          <w:kern w:val="0"/>
          <w:sz w:val="32"/>
          <w:szCs w:val="32"/>
        </w:rPr>
        <w:t>0</w:t>
      </w:r>
      <w:r>
        <w:rPr>
          <w:rFonts w:ascii="仿宋" w:hAnsi="仿宋" w:eastAsia="仿宋" w:cs="仿宋_GB2312"/>
          <w:kern w:val="0"/>
          <w:sz w:val="32"/>
          <w:szCs w:val="32"/>
        </w:rPr>
        <w:t>辆、应急保障用车</w:t>
      </w:r>
      <w:r>
        <w:rPr>
          <w:rFonts w:hint="eastAsia" w:ascii="仿宋" w:hAnsi="仿宋" w:eastAsia="仿宋" w:cs="仿宋_GB2312"/>
          <w:kern w:val="0"/>
          <w:sz w:val="32"/>
          <w:szCs w:val="32"/>
        </w:rPr>
        <w:t>0</w:t>
      </w:r>
      <w:r>
        <w:rPr>
          <w:rFonts w:ascii="仿宋" w:hAnsi="仿宋" w:eastAsia="仿宋" w:cs="仿宋_GB2312"/>
          <w:kern w:val="0"/>
          <w:sz w:val="32"/>
          <w:szCs w:val="32"/>
        </w:rPr>
        <w:t>辆、执法执勤用车</w:t>
      </w:r>
      <w:r>
        <w:rPr>
          <w:rFonts w:hint="eastAsia" w:ascii="仿宋" w:hAnsi="仿宋" w:eastAsia="仿宋" w:cs="仿宋_GB2312"/>
          <w:kern w:val="0"/>
          <w:sz w:val="32"/>
          <w:szCs w:val="32"/>
        </w:rPr>
        <w:t>0</w:t>
      </w:r>
      <w:r>
        <w:rPr>
          <w:rFonts w:ascii="仿宋" w:hAnsi="仿宋" w:eastAsia="仿宋" w:cs="仿宋_GB2312"/>
          <w:kern w:val="0"/>
          <w:sz w:val="32"/>
          <w:szCs w:val="32"/>
        </w:rPr>
        <w:t>辆、特种专业技术用车</w:t>
      </w:r>
      <w:r>
        <w:rPr>
          <w:rFonts w:hint="eastAsia" w:ascii="仿宋" w:hAnsi="仿宋" w:eastAsia="仿宋" w:cs="仿宋_GB2312"/>
          <w:kern w:val="0"/>
          <w:sz w:val="32"/>
          <w:szCs w:val="32"/>
        </w:rPr>
        <w:t>0</w:t>
      </w:r>
      <w:r>
        <w:rPr>
          <w:rFonts w:ascii="仿宋" w:hAnsi="仿宋" w:eastAsia="仿宋" w:cs="仿宋_GB2312"/>
          <w:kern w:val="0"/>
          <w:sz w:val="32"/>
          <w:szCs w:val="32"/>
        </w:rPr>
        <w:t>辆、其他用车</w:t>
      </w:r>
      <w:r>
        <w:rPr>
          <w:rFonts w:hint="eastAsia" w:ascii="仿宋" w:hAnsi="仿宋" w:eastAsia="仿宋" w:cs="仿宋_GB2312"/>
          <w:kern w:val="0"/>
          <w:sz w:val="32"/>
          <w:szCs w:val="32"/>
        </w:rPr>
        <w:t>0</w:t>
      </w:r>
      <w:r>
        <w:rPr>
          <w:rFonts w:ascii="仿宋" w:hAnsi="仿宋" w:eastAsia="仿宋" w:cs="仿宋_GB2312"/>
          <w:kern w:val="0"/>
          <w:sz w:val="32"/>
          <w:szCs w:val="32"/>
        </w:rPr>
        <w:t>辆，其他用车主要是</w:t>
      </w:r>
      <w:r>
        <w:rPr>
          <w:rFonts w:hint="eastAsia" w:ascii="仿宋" w:hAnsi="仿宋" w:eastAsia="仿宋" w:cs="仿宋_GB2312"/>
          <w:kern w:val="0"/>
          <w:sz w:val="32"/>
          <w:szCs w:val="32"/>
        </w:rPr>
        <w:t>无</w:t>
      </w:r>
      <w:r>
        <w:rPr>
          <w:rFonts w:ascii="仿宋" w:hAnsi="仿宋" w:eastAsia="仿宋" w:cs="仿宋_GB2312"/>
          <w:kern w:val="0"/>
          <w:sz w:val="32"/>
          <w:szCs w:val="32"/>
        </w:rPr>
        <w:t>；单位价值50万元以上通用设备</w:t>
      </w:r>
      <w:r>
        <w:rPr>
          <w:rFonts w:hint="eastAsia" w:ascii="仿宋" w:hAnsi="仿宋" w:eastAsia="仿宋" w:cs="仿宋_GB2312"/>
          <w:kern w:val="0"/>
          <w:sz w:val="32"/>
          <w:szCs w:val="32"/>
        </w:rPr>
        <w:t>0</w:t>
      </w:r>
      <w:r>
        <w:rPr>
          <w:rFonts w:ascii="仿宋" w:hAnsi="仿宋" w:eastAsia="仿宋" w:cs="仿宋_GB2312"/>
          <w:kern w:val="0"/>
          <w:sz w:val="32"/>
          <w:szCs w:val="32"/>
        </w:rPr>
        <w:t>台（套）；单位价值100万元以上专用设备</w:t>
      </w:r>
      <w:r>
        <w:rPr>
          <w:rFonts w:hint="eastAsia" w:ascii="仿宋" w:hAnsi="仿宋" w:eastAsia="仿宋" w:cs="仿宋_GB2312"/>
          <w:kern w:val="0"/>
          <w:sz w:val="32"/>
          <w:szCs w:val="32"/>
        </w:rPr>
        <w:t>0</w:t>
      </w:r>
      <w:r>
        <w:rPr>
          <w:rFonts w:ascii="仿宋" w:hAnsi="仿宋" w:eastAsia="仿宋" w:cs="仿宋_GB2312"/>
          <w:kern w:val="0"/>
          <w:sz w:val="32"/>
          <w:szCs w:val="32"/>
        </w:rPr>
        <w:t>台（套）。</w:t>
      </w:r>
    </w:p>
    <w:p>
      <w:pPr>
        <w:pStyle w:val="18"/>
        <w:tabs>
          <w:tab w:val="left" w:pos="1111"/>
        </w:tabs>
        <w:spacing w:line="560" w:lineRule="exact"/>
        <w:ind w:firstLine="500"/>
        <w:rPr>
          <w:rFonts w:ascii="楷体" w:hAnsi="楷体" w:eastAsia="楷体" w:cs="楷体"/>
          <w:b/>
          <w:bCs/>
          <w:color w:val="000000"/>
          <w:sz w:val="32"/>
          <w:szCs w:val="32"/>
        </w:rPr>
      </w:pPr>
      <w:bookmarkStart w:id="11" w:name="bookmark102"/>
      <w:r>
        <w:rPr>
          <w:rFonts w:hint="eastAsia" w:ascii="楷体" w:hAnsi="楷体" w:eastAsia="楷体" w:cs="楷体"/>
          <w:b/>
          <w:bCs/>
          <w:color w:val="000000"/>
          <w:sz w:val="32"/>
          <w:szCs w:val="32"/>
        </w:rPr>
        <w:t>五</w:t>
      </w:r>
      <w:bookmarkEnd w:id="11"/>
      <w:r>
        <w:rPr>
          <w:rFonts w:hint="eastAsia" w:ascii="楷体" w:hAnsi="楷体" w:eastAsia="楷体" w:cs="楷体"/>
          <w:b/>
          <w:bCs/>
          <w:color w:val="000000"/>
          <w:sz w:val="32"/>
          <w:szCs w:val="32"/>
        </w:rPr>
        <w:t>、部门整体支出绩效情况</w:t>
      </w:r>
    </w:p>
    <w:p>
      <w:pPr>
        <w:widowControl/>
        <w:spacing w:line="600" w:lineRule="exact"/>
        <w:ind w:firstLine="627" w:firstLineChars="196"/>
        <w:jc w:val="left"/>
        <w:rPr>
          <w:rFonts w:ascii="仿宋" w:hAnsi="仿宋" w:eastAsia="仿宋" w:cs="仿宋_GB2312"/>
          <w:kern w:val="0"/>
          <w:sz w:val="32"/>
          <w:szCs w:val="32"/>
        </w:rPr>
      </w:pPr>
      <w:bookmarkStart w:id="12" w:name="bookmark103"/>
      <w:r>
        <w:rPr>
          <w:rFonts w:hint="eastAsia" w:ascii="仿宋" w:hAnsi="仿宋" w:eastAsia="仿宋" w:cs="仿宋_GB2312"/>
          <w:kern w:val="0"/>
          <w:sz w:val="32"/>
          <w:szCs w:val="32"/>
        </w:rPr>
        <w:t>1、研究拟定全区政务服务和政务公开总体规划，并组织实施。承担重点招商引资项目需市级许可项目手续的代办工作。承办区委、区政府，市政务服务中心交办的其他事项。2、负责进驻单位窗口日常管理，协调与进驻单位的合作，督促完成派驻单位和政务大厅赋予的各项工作任务。负责政务服务中心窗口建设，协调职能进驻，完善和规范管理工作，提高优质服务水平。协调行政许可项目进入中心办理，对涉及两个以上部门平行审批的事项组织协调和对审批项目的运转情况进行协调、督查。</w:t>
      </w:r>
    </w:p>
    <w:p>
      <w:pPr>
        <w:pStyle w:val="18"/>
        <w:tabs>
          <w:tab w:val="left" w:pos="1111"/>
        </w:tabs>
        <w:spacing w:line="560" w:lineRule="exact"/>
        <w:ind w:firstLine="500"/>
        <w:rPr>
          <w:rFonts w:ascii="楷体" w:hAnsi="楷体" w:eastAsia="楷体" w:cs="楷体"/>
          <w:b/>
          <w:bCs/>
          <w:color w:val="000000"/>
          <w:sz w:val="32"/>
          <w:szCs w:val="32"/>
        </w:rPr>
      </w:pPr>
      <w:r>
        <w:rPr>
          <w:rFonts w:hint="eastAsia" w:ascii="楷体" w:hAnsi="楷体" w:eastAsia="楷体" w:cs="楷体"/>
          <w:b/>
          <w:bCs/>
          <w:color w:val="000000"/>
          <w:sz w:val="32"/>
          <w:szCs w:val="32"/>
        </w:rPr>
        <w:t>六</w:t>
      </w:r>
      <w:bookmarkEnd w:id="12"/>
      <w:r>
        <w:rPr>
          <w:rFonts w:hint="eastAsia" w:ascii="楷体" w:hAnsi="楷体" w:eastAsia="楷体" w:cs="楷体"/>
          <w:b/>
          <w:bCs/>
          <w:color w:val="000000"/>
          <w:sz w:val="32"/>
          <w:szCs w:val="32"/>
        </w:rPr>
        <w:t>、存在的主要问题</w:t>
      </w:r>
    </w:p>
    <w:p>
      <w:pPr>
        <w:widowControl/>
        <w:spacing w:line="600" w:lineRule="exact"/>
        <w:ind w:firstLine="627" w:firstLineChars="196"/>
        <w:jc w:val="left"/>
        <w:rPr>
          <w:rFonts w:ascii="仿宋" w:hAnsi="仿宋" w:eastAsia="仿宋" w:cs="仿宋_GB2312"/>
          <w:kern w:val="0"/>
          <w:sz w:val="32"/>
          <w:szCs w:val="32"/>
        </w:rPr>
      </w:pPr>
      <w:bookmarkStart w:id="13" w:name="bookmark104"/>
      <w:r>
        <w:rPr>
          <w:rFonts w:hint="eastAsia" w:ascii="仿宋" w:hAnsi="仿宋" w:eastAsia="仿宋" w:cs="仿宋_GB2312"/>
          <w:kern w:val="0"/>
          <w:sz w:val="32"/>
          <w:szCs w:val="32"/>
        </w:rPr>
        <w:t>1</w:t>
      </w:r>
      <w:r>
        <w:rPr>
          <w:rFonts w:ascii="仿宋" w:hAnsi="仿宋" w:eastAsia="仿宋" w:cs="仿宋_GB2312"/>
          <w:kern w:val="0"/>
          <w:sz w:val="32"/>
          <w:szCs w:val="32"/>
        </w:rPr>
        <w:t>、业务经费年初预算安排不足。由于预算安排不足，缺口资金只能调剂其他资金使用。</w:t>
      </w:r>
    </w:p>
    <w:p>
      <w:pPr>
        <w:widowControl/>
        <w:spacing w:line="600" w:lineRule="exact"/>
        <w:ind w:firstLine="627" w:firstLineChars="196"/>
        <w:jc w:val="left"/>
        <w:rPr>
          <w:rFonts w:ascii="仿宋" w:hAnsi="仿宋" w:eastAsia="仿宋" w:cs="仿宋_GB2312"/>
          <w:kern w:val="0"/>
          <w:sz w:val="32"/>
          <w:szCs w:val="32"/>
        </w:rPr>
      </w:pPr>
      <w:r>
        <w:rPr>
          <w:rFonts w:ascii="仿宋" w:hAnsi="仿宋" w:eastAsia="仿宋" w:cs="仿宋_GB2312"/>
          <w:kern w:val="0"/>
          <w:sz w:val="32"/>
          <w:szCs w:val="32"/>
        </w:rPr>
        <w:t>2、年初预算编制不够精细。预算编制不够明确和细化，预算编制的合理性需要提高。</w:t>
      </w:r>
    </w:p>
    <w:p>
      <w:pPr>
        <w:pStyle w:val="18"/>
        <w:tabs>
          <w:tab w:val="left" w:pos="1111"/>
        </w:tabs>
        <w:spacing w:line="560" w:lineRule="exact"/>
        <w:ind w:firstLine="500"/>
        <w:rPr>
          <w:rFonts w:ascii="楷体" w:hAnsi="楷体" w:eastAsia="楷体" w:cs="楷体"/>
          <w:b/>
          <w:bCs/>
          <w:color w:val="000000"/>
          <w:sz w:val="32"/>
          <w:szCs w:val="32"/>
        </w:rPr>
      </w:pPr>
      <w:r>
        <w:rPr>
          <w:rFonts w:hint="eastAsia" w:ascii="楷体" w:hAnsi="楷体" w:eastAsia="楷体" w:cs="楷体"/>
          <w:b/>
          <w:bCs/>
          <w:color w:val="000000"/>
          <w:sz w:val="32"/>
          <w:szCs w:val="32"/>
        </w:rPr>
        <w:t>七</w:t>
      </w:r>
      <w:bookmarkEnd w:id="13"/>
      <w:r>
        <w:rPr>
          <w:rFonts w:hint="eastAsia" w:ascii="楷体" w:hAnsi="楷体" w:eastAsia="楷体" w:cs="楷体"/>
          <w:b/>
          <w:bCs/>
          <w:color w:val="000000"/>
          <w:sz w:val="32"/>
          <w:szCs w:val="32"/>
        </w:rPr>
        <w:t>、改进措施和有关建议</w:t>
      </w:r>
    </w:p>
    <w:p>
      <w:pPr>
        <w:widowControl/>
        <w:spacing w:line="600" w:lineRule="exact"/>
        <w:ind w:firstLine="627" w:firstLineChars="196"/>
        <w:jc w:val="left"/>
        <w:rPr>
          <w:rFonts w:ascii="仿宋" w:hAnsi="仿宋" w:eastAsia="仿宋" w:cs="仿宋_GB2312"/>
          <w:kern w:val="0"/>
          <w:sz w:val="32"/>
          <w:szCs w:val="32"/>
        </w:rPr>
      </w:pPr>
      <w:r>
        <w:rPr>
          <w:rFonts w:hint="eastAsia" w:ascii="仿宋" w:hAnsi="仿宋" w:eastAsia="仿宋" w:cs="仿宋_GB2312"/>
          <w:kern w:val="0"/>
          <w:sz w:val="32"/>
          <w:szCs w:val="32"/>
        </w:rPr>
        <w:t>推行政府机关绩效管理制度是推进政府职能转变、提高政府执行力和公信力的重要举措，是转变机关作风、加强政府勤政廉政建设的重要抓手。近年来，团区委高度重视绩效评价工作，下一步，我们将继续加强绩效管理，争取产生更多的经济效益和更好的社会效益。</w:t>
      </w:r>
    </w:p>
    <w:p>
      <w:pPr>
        <w:spacing w:line="1" w:lineRule="exact"/>
        <w:jc w:val="center"/>
        <w:rPr>
          <w:rFonts w:ascii="宋体" w:hAnsi="宋体" w:cs="宋体"/>
          <w:sz w:val="18"/>
          <w:szCs w:val="18"/>
        </w:rPr>
      </w:pPr>
    </w:p>
    <w:sectPr>
      <w:footerReference r:id="rId3" w:type="default"/>
      <w:footerReference r:id="rId4" w:type="even"/>
      <w:pgSz w:w="11906" w:h="16838"/>
      <w:pgMar w:top="1383" w:right="1701" w:bottom="127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monospace">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30" o:spid="_x0000_s4098" o:spt="202" type="#_x0000_t202" style="position:absolute;left:0pt;margin-left:79.6pt;margin-top:766.25pt;height:8.4pt;width:47.5pt;mso-position-horizontal-relative:page;mso-position-vertical-relative:page;mso-wrap-style:non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">
          <v:path/>
          <v:fill on="f" focussize="0,0"/>
          <v:stroke on="f" joinstyle="miter"/>
          <v:imagedata o:title=""/>
          <o:lock v:ext="edit"/>
          <v:textbox inset="0mm,0mm,0mm,0mm" style="mso-fit-shape-to-text:t;">
            <w:txbxContent>
              <w:p>
                <w:pPr>
                  <w:pStyle w:val="24"/>
                  <w:jc w:val="left"/>
                  <w:rPr>
                    <w:sz w:val="24"/>
                    <w:szCs w:val="24"/>
                  </w:rPr>
                </w:pPr>
                <w:r>
                  <w:rPr>
                    <w:rFonts w:ascii="Courier New" w:hAnsi="Courier New" w:eastAsia="Courier New" w:cs="Courier New"/>
                    <w:color w:val="000000"/>
                    <w:sz w:val="24"/>
                    <w:szCs w:val="24"/>
                    <w:lang w:val="en-US" w:eastAsia="en-US" w:bidi="en-US"/>
                  </w:rPr>
                  <w:t>—</w:t>
                </w:r>
                <w:r>
                  <w:fldChar w:fldCharType="begin"/>
                </w:r>
                <w:r>
                  <w:instrText xml:space="preserve"> PAGE \* MERGEFORMAT </w:instrText>
                </w:r>
                <w:r>
                  <w:fldChar w:fldCharType="separate"/>
                </w:r>
                <w:r>
                  <w:rPr>
                    <w:rFonts w:ascii="Courier New" w:hAnsi="Courier New" w:eastAsia="Courier New" w:cs="Courier New"/>
                    <w:color w:val="000000"/>
                    <w:sz w:val="24"/>
                    <w:szCs w:val="24"/>
                  </w:rPr>
                  <w:t>#</w:t>
                </w:r>
                <w:r>
                  <w:rPr>
                    <w:rFonts w:ascii="Courier New" w:hAnsi="Courier New" w:eastAsia="Courier New" w:cs="Courier New"/>
                    <w:color w:val="000000"/>
                    <w:sz w:val="24"/>
                    <w:szCs w:val="24"/>
                  </w:rPr>
                  <w:fldChar w:fldCharType="end"/>
                </w:r>
                <w:r>
                  <w:rPr>
                    <w:rFonts w:ascii="Courier New" w:hAnsi="Courier New" w:eastAsia="Courier New" w:cs="Courier New"/>
                    <w:color w:val="000000"/>
                    <w:sz w:val="24"/>
                    <w:szCs w:val="24"/>
                  </w:rPr>
                  <w:t xml:space="preserve"> </w:t>
                </w:r>
                <w:r>
                  <w:rPr>
                    <w:rFonts w:ascii="Courier New" w:hAnsi="Courier New" w:eastAsia="Courier New" w:cs="Courier New"/>
                    <w:color w:val="000000"/>
                    <w:sz w:val="24"/>
                    <w:szCs w:val="24"/>
                    <w:lang w:val="en-US" w:eastAsia="en-US" w:bidi="en-US"/>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gyNjliNmFhM2MwMzlkOWIzMzJmOTYxZTZkZDAzNjMifQ=="/>
  </w:docVars>
  <w:rsids>
    <w:rsidRoot w:val="56C81120"/>
    <w:rsid w:val="0016374C"/>
    <w:rsid w:val="0017604A"/>
    <w:rsid w:val="00284A51"/>
    <w:rsid w:val="00284DA5"/>
    <w:rsid w:val="002C6190"/>
    <w:rsid w:val="00332A2A"/>
    <w:rsid w:val="003F63FA"/>
    <w:rsid w:val="004C3AFD"/>
    <w:rsid w:val="004F3812"/>
    <w:rsid w:val="005F13EB"/>
    <w:rsid w:val="00640C76"/>
    <w:rsid w:val="0074164E"/>
    <w:rsid w:val="0074312F"/>
    <w:rsid w:val="00754DC7"/>
    <w:rsid w:val="007769A2"/>
    <w:rsid w:val="007853D5"/>
    <w:rsid w:val="007D385E"/>
    <w:rsid w:val="00855B52"/>
    <w:rsid w:val="008C0842"/>
    <w:rsid w:val="0097358C"/>
    <w:rsid w:val="00985479"/>
    <w:rsid w:val="00A24419"/>
    <w:rsid w:val="00A41173"/>
    <w:rsid w:val="00A53C7B"/>
    <w:rsid w:val="00AB14F3"/>
    <w:rsid w:val="00AC0A90"/>
    <w:rsid w:val="00B80932"/>
    <w:rsid w:val="00B931B5"/>
    <w:rsid w:val="00BE42F2"/>
    <w:rsid w:val="00C37B5E"/>
    <w:rsid w:val="00C47587"/>
    <w:rsid w:val="00C51A7E"/>
    <w:rsid w:val="00D0046F"/>
    <w:rsid w:val="00DB7F13"/>
    <w:rsid w:val="00E34399"/>
    <w:rsid w:val="00E60F7C"/>
    <w:rsid w:val="00EC3326"/>
    <w:rsid w:val="00F372DD"/>
    <w:rsid w:val="00F64571"/>
    <w:rsid w:val="00FC55FB"/>
    <w:rsid w:val="02312FDE"/>
    <w:rsid w:val="030A3C3B"/>
    <w:rsid w:val="03737E75"/>
    <w:rsid w:val="0C505A2A"/>
    <w:rsid w:val="15224E9F"/>
    <w:rsid w:val="1810076A"/>
    <w:rsid w:val="1CB55F50"/>
    <w:rsid w:val="1F6E185C"/>
    <w:rsid w:val="205265F0"/>
    <w:rsid w:val="236639AE"/>
    <w:rsid w:val="290A0FAD"/>
    <w:rsid w:val="2C8F18D7"/>
    <w:rsid w:val="33B015AE"/>
    <w:rsid w:val="3BE645DA"/>
    <w:rsid w:val="3F577654"/>
    <w:rsid w:val="423B1DB6"/>
    <w:rsid w:val="4999703E"/>
    <w:rsid w:val="4D301426"/>
    <w:rsid w:val="4D625F91"/>
    <w:rsid w:val="527541A2"/>
    <w:rsid w:val="52E51199"/>
    <w:rsid w:val="56C81120"/>
    <w:rsid w:val="56F073BC"/>
    <w:rsid w:val="5B8E7E9F"/>
    <w:rsid w:val="62513BD9"/>
    <w:rsid w:val="6713059D"/>
    <w:rsid w:val="67837EE3"/>
    <w:rsid w:val="688268EC"/>
    <w:rsid w:val="78FB1F24"/>
    <w:rsid w:val="7EAD4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2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kern w:val="0"/>
      <w:sz w:val="24"/>
    </w:rPr>
  </w:style>
  <w:style w:type="character" w:styleId="7">
    <w:name w:val="FollowedHyperlink"/>
    <w:basedOn w:val="6"/>
    <w:qFormat/>
    <w:uiPriority w:val="0"/>
    <w:rPr>
      <w:color w:val="800080"/>
      <w:u w:val="none"/>
    </w:rPr>
  </w:style>
  <w:style w:type="character" w:styleId="8">
    <w:name w:val="Emphasis"/>
    <w:basedOn w:val="6"/>
    <w:qFormat/>
    <w:uiPriority w:val="0"/>
  </w:style>
  <w:style w:type="character" w:styleId="9">
    <w:name w:val="HTML Definition"/>
    <w:basedOn w:val="6"/>
    <w:qFormat/>
    <w:uiPriority w:val="0"/>
  </w:style>
  <w:style w:type="character" w:styleId="10">
    <w:name w:val="HTML Typewriter"/>
    <w:basedOn w:val="6"/>
    <w:qFormat/>
    <w:uiPriority w:val="0"/>
    <w:rPr>
      <w:rFonts w:ascii="monospace" w:hAnsi="monospace" w:eastAsia="monospace" w:cs="monospace"/>
      <w:sz w:val="20"/>
    </w:rPr>
  </w:style>
  <w:style w:type="character" w:styleId="11">
    <w:name w:val="HTML Acronym"/>
    <w:basedOn w:val="6"/>
    <w:qFormat/>
    <w:uiPriority w:val="0"/>
  </w:style>
  <w:style w:type="character" w:styleId="12">
    <w:name w:val="HTML Variable"/>
    <w:basedOn w:val="6"/>
    <w:qFormat/>
    <w:uiPriority w:val="0"/>
  </w:style>
  <w:style w:type="character" w:styleId="13">
    <w:name w:val="Hyperlink"/>
    <w:basedOn w:val="6"/>
    <w:qFormat/>
    <w:uiPriority w:val="0"/>
    <w:rPr>
      <w:color w:val="0000FF"/>
      <w:u w:val="none"/>
    </w:rPr>
  </w:style>
  <w:style w:type="character" w:styleId="14">
    <w:name w:val="HTML Code"/>
    <w:basedOn w:val="6"/>
    <w:qFormat/>
    <w:uiPriority w:val="0"/>
    <w:rPr>
      <w:rFonts w:ascii="微软雅黑" w:hAnsi="微软雅黑" w:eastAsia="微软雅黑" w:cs="微软雅黑"/>
      <w:sz w:val="14"/>
      <w:szCs w:val="14"/>
    </w:rPr>
  </w:style>
  <w:style w:type="character" w:styleId="15">
    <w:name w:val="HTML Cite"/>
    <w:basedOn w:val="6"/>
    <w:qFormat/>
    <w:uiPriority w:val="0"/>
  </w:style>
  <w:style w:type="character" w:styleId="16">
    <w:name w:val="HTML Keyboard"/>
    <w:basedOn w:val="6"/>
    <w:qFormat/>
    <w:uiPriority w:val="0"/>
    <w:rPr>
      <w:rFonts w:hint="default" w:ascii="monospace" w:hAnsi="monospace" w:eastAsia="monospace" w:cs="monospace"/>
      <w:sz w:val="20"/>
    </w:rPr>
  </w:style>
  <w:style w:type="character" w:styleId="17">
    <w:name w:val="HTML Sample"/>
    <w:basedOn w:val="6"/>
    <w:qFormat/>
    <w:uiPriority w:val="0"/>
    <w:rPr>
      <w:rFonts w:hint="default" w:ascii="monospace" w:hAnsi="monospace" w:eastAsia="monospace" w:cs="monospace"/>
    </w:rPr>
  </w:style>
  <w:style w:type="paragraph" w:customStyle="1" w:styleId="18">
    <w:name w:val="Body text|1"/>
    <w:basedOn w:val="1"/>
    <w:qFormat/>
    <w:uiPriority w:val="0"/>
    <w:pPr>
      <w:spacing w:line="408" w:lineRule="auto"/>
      <w:ind w:firstLine="400"/>
    </w:pPr>
    <w:rPr>
      <w:rFonts w:ascii="宋体" w:hAnsi="宋体" w:cs="宋体"/>
      <w:sz w:val="19"/>
      <w:szCs w:val="19"/>
      <w:lang w:val="zh-CN" w:bidi="zh-CN"/>
    </w:rPr>
  </w:style>
  <w:style w:type="paragraph" w:customStyle="1" w:styleId="19">
    <w:name w:val="Heading #2|1"/>
    <w:basedOn w:val="1"/>
    <w:qFormat/>
    <w:uiPriority w:val="0"/>
    <w:pPr>
      <w:spacing w:after="300"/>
      <w:jc w:val="center"/>
      <w:outlineLvl w:val="1"/>
    </w:pPr>
    <w:rPr>
      <w:rFonts w:ascii="宋体" w:hAnsi="宋体" w:cs="宋体"/>
      <w:sz w:val="44"/>
      <w:szCs w:val="44"/>
      <w:lang w:val="zh-CN" w:bidi="zh-CN"/>
    </w:rPr>
  </w:style>
  <w:style w:type="paragraph" w:customStyle="1" w:styleId="20">
    <w:name w:val="Body text|3"/>
    <w:basedOn w:val="1"/>
    <w:qFormat/>
    <w:uiPriority w:val="0"/>
    <w:pPr>
      <w:spacing w:before="220" w:after="720"/>
      <w:ind w:firstLine="520"/>
    </w:pPr>
    <w:rPr>
      <w:sz w:val="32"/>
      <w:szCs w:val="32"/>
    </w:rPr>
  </w:style>
  <w:style w:type="paragraph" w:customStyle="1" w:styleId="21">
    <w:name w:val="Other|1"/>
    <w:basedOn w:val="1"/>
    <w:qFormat/>
    <w:uiPriority w:val="0"/>
    <w:pPr>
      <w:spacing w:line="302" w:lineRule="exact"/>
    </w:pPr>
    <w:rPr>
      <w:rFonts w:ascii="宋体" w:hAnsi="宋体" w:cs="宋体"/>
      <w:sz w:val="19"/>
      <w:szCs w:val="19"/>
      <w:lang w:val="zh-CN" w:bidi="zh-CN"/>
    </w:rPr>
  </w:style>
  <w:style w:type="paragraph" w:customStyle="1" w:styleId="22">
    <w:name w:val="Body text|4"/>
    <w:basedOn w:val="1"/>
    <w:qFormat/>
    <w:uiPriority w:val="0"/>
    <w:pPr>
      <w:spacing w:after="60"/>
      <w:ind w:firstLine="320"/>
    </w:pPr>
    <w:rPr>
      <w:rFonts w:ascii="宋体" w:hAnsi="宋体" w:cs="宋体"/>
      <w:lang w:val="zh-CN" w:bidi="zh-CN"/>
    </w:rPr>
  </w:style>
  <w:style w:type="paragraph" w:customStyle="1" w:styleId="23">
    <w:name w:val="Table caption|1"/>
    <w:basedOn w:val="1"/>
    <w:qFormat/>
    <w:uiPriority w:val="0"/>
    <w:pPr>
      <w:spacing w:line="302" w:lineRule="exact"/>
      <w:jc w:val="right"/>
    </w:pPr>
    <w:rPr>
      <w:rFonts w:ascii="宋体" w:hAnsi="宋体" w:cs="宋体"/>
      <w:sz w:val="19"/>
      <w:szCs w:val="19"/>
      <w:lang w:val="zh-CN" w:bidi="zh-CN"/>
    </w:rPr>
  </w:style>
  <w:style w:type="paragraph" w:customStyle="1" w:styleId="24">
    <w:name w:val="Header or footer|2"/>
    <w:basedOn w:val="1"/>
    <w:qFormat/>
    <w:uiPriority w:val="0"/>
    <w:rPr>
      <w:sz w:val="20"/>
      <w:szCs w:val="20"/>
      <w:lang w:val="zh-CN" w:bidi="zh-CN"/>
    </w:rPr>
  </w:style>
  <w:style w:type="paragraph" w:customStyle="1" w:styleId="25">
    <w:name w:val="Body text|2"/>
    <w:basedOn w:val="1"/>
    <w:qFormat/>
    <w:uiPriority w:val="0"/>
    <w:pPr>
      <w:spacing w:after="470"/>
    </w:pPr>
    <w:rPr>
      <w:b/>
      <w:bCs/>
      <w:sz w:val="19"/>
      <w:szCs w:val="19"/>
      <w:lang w:val="zh-CN" w:bidi="zh-CN"/>
    </w:rPr>
  </w:style>
  <w:style w:type="character" w:customStyle="1" w:styleId="26">
    <w:name w:val="bsharetext"/>
    <w:basedOn w:val="6"/>
    <w:qFormat/>
    <w:uiPriority w:val="0"/>
  </w:style>
  <w:style w:type="character" w:customStyle="1" w:styleId="27">
    <w:name w:val="页眉 Char"/>
    <w:basedOn w:val="6"/>
    <w:link w:val="3"/>
    <w:uiPriority w:val="0"/>
    <w:rPr>
      <w:rFonts w:ascii="Calibri" w:hAnsi="Calibri"/>
      <w:kern w:val="2"/>
      <w:sz w:val="18"/>
      <w:szCs w:val="18"/>
    </w:rPr>
  </w:style>
  <w:style w:type="character" w:customStyle="1" w:styleId="28">
    <w:name w:val="apple-converted-space"/>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1175</Words>
  <Characters>1234</Characters>
  <Lines>9</Lines>
  <Paragraphs>2</Paragraphs>
  <TotalTime>516</TotalTime>
  <ScaleCrop>false</ScaleCrop>
  <LinksUpToDate>false</LinksUpToDate>
  <CharactersWithSpaces>1241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2020-05-15T02:55:00Z</dcterms:created>
  <dc:creator></dc:creator>
  <cp:lastModifiedBy>歪脖子小树</cp:lastModifiedBy>
  <cp:lastPrinted>2020-05-18T02:11:00Z</cp:lastPrinted>
  <dcterms:modified xsi:type="dcterms:W3CDTF">2023-09-18T09:03:33Z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17557CB5B152459E880222665550E486_12</vt:lpwstr>
  </property>
</Properties>
</file>