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方正小标宋_GBK"/>
          <w:b/>
          <w:bCs/>
          <w:sz w:val="44"/>
          <w:szCs w:val="44"/>
        </w:rPr>
      </w:pPr>
      <w:r>
        <w:rPr>
          <w:rFonts w:hint="eastAsia" w:eastAsia="方正小标宋_GBK"/>
          <w:b/>
          <w:bCs/>
          <w:sz w:val="44"/>
          <w:szCs w:val="44"/>
          <w:lang w:eastAsia="zh-CN"/>
        </w:rPr>
        <w:t>2022年</w:t>
      </w:r>
      <w:r>
        <w:rPr>
          <w:rFonts w:eastAsia="方正小标宋_GBK"/>
          <w:b/>
          <w:bCs/>
          <w:sz w:val="44"/>
          <w:szCs w:val="44"/>
        </w:rPr>
        <w:t>预算重要事项说明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</w:p>
    <w:p>
      <w:pPr>
        <w:spacing w:line="360" w:lineRule="auto"/>
        <w:ind w:firstLine="643" w:firstLineChars="200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一、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2022年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一般公共预算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  <w:t>收入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预算说明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全区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一般公共预算收入预期151741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%。地方一般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公共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预算收入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预期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29268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6.5%，其中：税收收入预期23421万元，增长9.5%；非税收入预期5847万元，下降4.04%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spacing w:line="360" w:lineRule="auto"/>
        <w:ind w:firstLine="643" w:firstLineChars="200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  <w:t>二、2022年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一般公共预算支出预算说明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全区一般公共预算支出安排134832万元。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其中：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基本支出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57396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万元，较上年增加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13417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30.51%；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专项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77436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万元，较上年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增加3385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增长4.57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，主要是老旧小区改造、隐性债务还本付息、城市低保、农村低保、社区运转等专项经费。</w:t>
      </w:r>
    </w:p>
    <w:p>
      <w:pPr>
        <w:spacing w:line="360" w:lineRule="auto"/>
        <w:ind w:firstLine="643" w:firstLineChars="200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  <w:t>三、2022年税收返还和转移支付预算说明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返还性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4397万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元，与20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年执行数持平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一般性转移支付61816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其中，均衡性转移支付16067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元，县级基本财力保障机制奖补资金5813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农村税费改革转移支付收入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730万元，调整工资转移支付收入2133万元，企业事业单位划转补助收入3280万元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、文化旅游体育与传媒共同财政事权转移支付收入91万元、教育共同财政事权转移支付收入5213万元、社会保障和就业共同财政事权转移支付收入8273万元、卫生健康共同财政事权转移支付收入14267万元、农林水共同财政事权转移支付收入1857万元、住房保障共同财政事权转移支付收入2142万元、其他一般性转移支付收入1950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。 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3、专项转移支付收入17808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万元，主要为社区运转资金1000万元、环卫、园林、广场等专项经费1719万元、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农田水利建设支出960万元、廉租房、公共租赁住房和棚户区改造4919万元等。</w:t>
      </w:r>
    </w:p>
    <w:p>
      <w:pPr>
        <w:spacing w:line="360" w:lineRule="auto"/>
        <w:ind w:firstLine="643" w:firstLineChars="200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四、2022年“三公”经费预算说明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衡阳市珠晖区本级部门，包括区级行政单位（含参照公务员法管理的事业单位）、事业单位和其他单位使用当年公共财政拨款（包括公共财政经费拨款和纳入预算管理的非税收入拨款）安排的2022年“三公”经费预算为383.2万元，其中：公务接待费45.6万元、因公出国（境）费0万元、公务用车购置费0万元、公务用车运行维护费337.6万元，比上年减少100.8万元。</w:t>
      </w:r>
    </w:p>
    <w:p>
      <w:pPr>
        <w:spacing w:line="360" w:lineRule="auto"/>
        <w:ind w:firstLine="643" w:firstLineChars="200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五、2022年财政重要事项说明</w:t>
      </w:r>
    </w:p>
    <w:p>
      <w:pPr>
        <w:spacing w:line="360" w:lineRule="auto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2022年乡村振兴专项资金2491万元，其中衔衔接推进乡村振兴补助资金1491万元，乡村振兴扶持引导资金1000万元。防疫经费1000万元。政府债务付息1807.73万元。隐性债务还本付息4900万元。</w:t>
      </w:r>
    </w:p>
    <w:p>
      <w:pPr>
        <w:spacing w:line="360" w:lineRule="auto"/>
        <w:ind w:firstLine="643" w:firstLineChars="200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六、珠晖区举借债务及偿还债务情况说明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60" w:lineRule="auto"/>
        <w:ind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1、2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021年底，全区全口径债务余额21.13亿元，其中：政府债务8.9亿元，隐性债务12.21亿元，其他需要关注类债务0.02亿元。2022年，珠晖区将严格落实防范和化解政府性债务风险系列文件要求，完成2022年化债目标任务，做到总量不增加、存量逐年减、底线不突破，确保不发生政府性债务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2、举借债务方面：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21年新增政府债务27200万元。其中：新增一般政府债券4100万元，主要安排用于雪亮工程231万元、民生工程210万元、江东中医院检测核酸实验室建设121万元、人民医院疫情防控体系建设50万元、老旧小区700万元、乡村振兴730万元、创文创卫工程款580万元、农村公路项目建设278万元、人民医院疫情防控体系建设50万元、茶山卫生院公共卫生体系建设40万元、小水库除险加固92万元、茶山大桥建设及辅路575万元、新政务服务大厅智慧化改造项目188万元、乡村雪亮工程150万元、共羽毛球场建设105万元；新增专项政府债券23100万元，安排用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狮山片棚改三期洪塘安置点建设项目金额10000万元，和平乡苏洲湾安置点项目金额13100万元。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60" w:lineRule="auto"/>
        <w:ind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按照预算法规定，市县确需举借政府债务的，由省级政府发行地方政府债券代为举借。2022年我区将在政府债务限额内，积极争取政府债券资金。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676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3、偿还债务情况方面：统筹安排偿债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资金0.18亿元，用于地方政府一般债券付息。</w:t>
      </w:r>
    </w:p>
    <w:p>
      <w:pPr>
        <w:spacing w:line="360" w:lineRule="auto"/>
        <w:ind w:firstLine="643" w:firstLineChars="200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七、预算绩效管理工作开展情况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60" w:lineRule="auto"/>
        <w:ind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一是对编制2021年部门预算的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73个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预算单位资金实行了整体绩效目标申报和项目资金申报，</w:t>
      </w:r>
      <w:r>
        <w:rPr>
          <w:rFonts w:hint="eastAsia" w:ascii="仿宋_GB2312" w:hAnsi="仿宋_GB2312" w:eastAsia="仿宋_GB2312" w:cs="仿宋_GB2312"/>
          <w:color w:val="303030"/>
          <w:kern w:val="0"/>
          <w:sz w:val="32"/>
          <w:szCs w:val="32"/>
          <w:lang w:val="en-US" w:eastAsia="zh-CN" w:bidi="ar-SA"/>
        </w:rPr>
        <w:t>对于未按要求报送绩效目标及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审核未通过的，不得申请预算。二是强化预算绩效管理。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实施部门和单位预算绩效管理，完善预算绩效制度体系，开展了2020年公益性岗位补贴、2020年社区运转经费、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酃湖片棚改三期（城中村）酃湖乡东湖村安置点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项目的重点绩效评价。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0C7B4C"/>
    <w:rsid w:val="444413B8"/>
    <w:rsid w:val="6CAF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2022-06-02T00:58:00Z</dcterms:created>
  <dc:creator>Administrator</dc:creator>
  <cp:lastModifiedBy>Administrator</cp:lastModifiedBy>
  <dcterms:modified xsi:type="dcterms:W3CDTF">2022-06-06T01:40:57Z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53499C45500B4D1B87F1B121EB4C7AD5</vt:lpwstr>
  </property>
</Properties>
</file>